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5023"/>
        <w:gridCol w:w="3499"/>
      </w:tblGrid>
      <w:tr w:rsidR="000A0ACD" w14:paraId="4B19E5A9" w14:textId="77777777">
        <w:tc>
          <w:tcPr>
            <w:tcW w:w="2947" w:type="pct"/>
          </w:tcPr>
          <w:p w14:paraId="07A655BD" w14:textId="66DB1AA8" w:rsidR="000A0ACD" w:rsidRDefault="00362A99">
            <w:pPr>
              <w:rPr>
                <w:rFonts w:ascii="Times New Roman" w:hAnsi="Times New Roman"/>
                <w:sz w:val="28"/>
                <w:szCs w:val="28"/>
              </w:rPr>
            </w:pPr>
            <w:r>
              <w:rPr>
                <w:rFonts w:ascii="Times New Roman" w:hAnsi="Times New Roman"/>
                <w:sz w:val="28"/>
                <w:szCs w:val="28"/>
              </w:rPr>
              <w:t>证券代码：</w:t>
            </w:r>
            <w:r>
              <w:rPr>
                <w:rFonts w:ascii="Times New Roman" w:hAnsi="Times New Roman"/>
                <w:sz w:val="28"/>
                <w:szCs w:val="28"/>
              </w:rPr>
              <w:t>600860.SH</w:t>
            </w:r>
          </w:p>
        </w:tc>
        <w:tc>
          <w:tcPr>
            <w:tcW w:w="2053" w:type="pct"/>
          </w:tcPr>
          <w:p w14:paraId="1333F3BA" w14:textId="77777777" w:rsidR="000A0ACD" w:rsidRDefault="00362A99">
            <w:pPr>
              <w:ind w:right="560"/>
              <w:jc w:val="right"/>
              <w:rPr>
                <w:rFonts w:ascii="Times New Roman" w:hAnsi="Times New Roman"/>
                <w:sz w:val="28"/>
                <w:szCs w:val="28"/>
              </w:rPr>
            </w:pPr>
            <w:r>
              <w:rPr>
                <w:rFonts w:ascii="Times New Roman" w:hAnsi="Times New Roman"/>
                <w:sz w:val="28"/>
                <w:szCs w:val="28"/>
              </w:rPr>
              <w:t>证券简称：京城</w:t>
            </w:r>
            <w:r>
              <w:rPr>
                <w:rFonts w:ascii="Times New Roman" w:hAnsi="Times New Roman" w:hint="eastAsia"/>
                <w:sz w:val="28"/>
                <w:szCs w:val="28"/>
              </w:rPr>
              <w:t>股份</w:t>
            </w:r>
          </w:p>
        </w:tc>
      </w:tr>
      <w:tr w:rsidR="000A0ACD" w14:paraId="47206D43" w14:textId="77777777">
        <w:tc>
          <w:tcPr>
            <w:tcW w:w="2947" w:type="pct"/>
          </w:tcPr>
          <w:p w14:paraId="3B8C5BFC" w14:textId="77777777" w:rsidR="000A0ACD" w:rsidRDefault="00362A99">
            <w:pPr>
              <w:rPr>
                <w:rFonts w:ascii="Times New Roman" w:hAnsi="Times New Roman"/>
                <w:sz w:val="28"/>
                <w:szCs w:val="28"/>
              </w:rPr>
            </w:pPr>
            <w:r>
              <w:rPr>
                <w:rFonts w:ascii="Times New Roman" w:hAnsi="Times New Roman" w:hint="eastAsia"/>
                <w:sz w:val="28"/>
                <w:szCs w:val="28"/>
              </w:rPr>
              <w:t>证券代码：</w:t>
            </w:r>
            <w:r>
              <w:rPr>
                <w:rFonts w:ascii="Times New Roman" w:hAnsi="Times New Roman" w:hint="eastAsia"/>
                <w:sz w:val="28"/>
                <w:szCs w:val="28"/>
              </w:rPr>
              <w:t>0</w:t>
            </w:r>
            <w:r>
              <w:rPr>
                <w:rFonts w:ascii="Times New Roman" w:hAnsi="Times New Roman"/>
                <w:sz w:val="28"/>
                <w:szCs w:val="28"/>
              </w:rPr>
              <w:t>0187.HK</w:t>
            </w:r>
          </w:p>
        </w:tc>
        <w:tc>
          <w:tcPr>
            <w:tcW w:w="2053" w:type="pct"/>
          </w:tcPr>
          <w:p w14:paraId="12B1B95A" w14:textId="77777777" w:rsidR="000A0ACD" w:rsidRDefault="00362A99">
            <w:pPr>
              <w:jc w:val="right"/>
              <w:rPr>
                <w:rFonts w:ascii="Times New Roman" w:hAnsi="Times New Roman"/>
                <w:sz w:val="28"/>
                <w:szCs w:val="28"/>
              </w:rPr>
            </w:pPr>
            <w:r>
              <w:rPr>
                <w:rFonts w:ascii="Times New Roman" w:hAnsi="Times New Roman" w:hint="eastAsia"/>
                <w:sz w:val="28"/>
                <w:szCs w:val="28"/>
              </w:rPr>
              <w:t>证券简称：京城机电股份</w:t>
            </w:r>
          </w:p>
        </w:tc>
      </w:tr>
    </w:tbl>
    <w:p w14:paraId="420C8CB0" w14:textId="77777777" w:rsidR="000A0ACD" w:rsidRDefault="000A0ACD">
      <w:pPr>
        <w:pStyle w:val="affffd"/>
        <w:spacing w:before="156"/>
        <w:ind w:firstLineChars="0" w:firstLine="0"/>
        <w:jc w:val="center"/>
      </w:pPr>
    </w:p>
    <w:p w14:paraId="767E249C" w14:textId="77777777" w:rsidR="000A0ACD" w:rsidRDefault="00362A99">
      <w:pPr>
        <w:pStyle w:val="affffd"/>
        <w:spacing w:before="156"/>
        <w:ind w:firstLineChars="0" w:firstLine="0"/>
        <w:jc w:val="center"/>
      </w:pPr>
      <w:r>
        <w:rPr>
          <w:noProof/>
        </w:rPr>
        <w:drawing>
          <wp:inline distT="0" distB="0" distL="0" distR="0" wp14:anchorId="19723EDF" wp14:editId="4EE2A6E2">
            <wp:extent cx="993775" cy="9461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93775" cy="946150"/>
                    </a:xfrm>
                    <a:prstGeom prst="rect">
                      <a:avLst/>
                    </a:prstGeom>
                    <a:noFill/>
                    <a:ln>
                      <a:noFill/>
                    </a:ln>
                  </pic:spPr>
                </pic:pic>
              </a:graphicData>
            </a:graphic>
          </wp:inline>
        </w:drawing>
      </w:r>
    </w:p>
    <w:p w14:paraId="604F6B5B" w14:textId="77777777" w:rsidR="000A0ACD" w:rsidRDefault="000A0ACD">
      <w:pPr>
        <w:pStyle w:val="affffd"/>
        <w:spacing w:before="156"/>
        <w:ind w:firstLineChars="0" w:firstLine="0"/>
        <w:jc w:val="center"/>
      </w:pPr>
    </w:p>
    <w:p w14:paraId="61D67778" w14:textId="77777777" w:rsidR="000A0ACD" w:rsidRDefault="00362A99">
      <w:pPr>
        <w:spacing w:beforeLines="50" w:before="156" w:afterLines="50" w:after="156"/>
        <w:jc w:val="center"/>
        <w:rPr>
          <w:rFonts w:ascii="Times New Roman" w:hAnsi="Times New Roman"/>
          <w:b/>
          <w:bCs/>
          <w:sz w:val="36"/>
          <w:szCs w:val="36"/>
        </w:rPr>
      </w:pPr>
      <w:bookmarkStart w:id="0" w:name="_Hlk59715621"/>
      <w:r>
        <w:rPr>
          <w:rFonts w:ascii="Times New Roman" w:hAnsi="Times New Roman" w:hint="eastAsia"/>
          <w:b/>
          <w:bCs/>
          <w:sz w:val="36"/>
          <w:szCs w:val="36"/>
        </w:rPr>
        <w:t>北京京城机电股份有限公司</w:t>
      </w:r>
      <w:bookmarkStart w:id="1" w:name="_Hlk54697479"/>
      <w:bookmarkStart w:id="2" w:name="_Hlk4181904"/>
      <w:bookmarkStart w:id="3" w:name="_Hlk500753247"/>
      <w:r>
        <w:rPr>
          <w:rFonts w:ascii="Times New Roman" w:hAnsi="Times New Roman" w:hint="eastAsia"/>
          <w:b/>
          <w:bCs/>
          <w:sz w:val="36"/>
          <w:szCs w:val="36"/>
        </w:rPr>
        <w:t>关于</w:t>
      </w:r>
    </w:p>
    <w:p w14:paraId="7BB228A2" w14:textId="262B83FD" w:rsidR="000A0ACD" w:rsidRDefault="00362A99">
      <w:pPr>
        <w:spacing w:beforeLines="50" w:before="156" w:afterLines="50" w:after="156"/>
        <w:jc w:val="center"/>
        <w:rPr>
          <w:rFonts w:ascii="Times New Roman" w:hAnsi="Times New Roman"/>
          <w:b/>
          <w:bCs/>
          <w:sz w:val="36"/>
          <w:szCs w:val="36"/>
        </w:rPr>
      </w:pPr>
      <w:r>
        <w:rPr>
          <w:rFonts w:ascii="Times New Roman" w:hAnsi="Times New Roman" w:hint="eastAsia"/>
          <w:b/>
          <w:bCs/>
          <w:sz w:val="36"/>
          <w:szCs w:val="36"/>
        </w:rPr>
        <w:t>发行股份及支付现金购买资产并募集配套资金</w:t>
      </w:r>
      <w:bookmarkEnd w:id="1"/>
      <w:r>
        <w:rPr>
          <w:rFonts w:ascii="Times New Roman" w:hAnsi="Times New Roman" w:hint="eastAsia"/>
          <w:b/>
          <w:bCs/>
          <w:sz w:val="36"/>
          <w:szCs w:val="36"/>
        </w:rPr>
        <w:t>的</w:t>
      </w:r>
    </w:p>
    <w:bookmarkEnd w:id="0"/>
    <w:bookmarkEnd w:id="2"/>
    <w:bookmarkEnd w:id="3"/>
    <w:p w14:paraId="7CCDBA38" w14:textId="77777777" w:rsidR="000A0ACD" w:rsidRPr="002A687D" w:rsidRDefault="00362A99">
      <w:pPr>
        <w:spacing w:beforeLines="50" w:before="156" w:afterLines="50" w:after="156"/>
        <w:jc w:val="center"/>
        <w:rPr>
          <w:rFonts w:ascii="Times New Roman" w:hAnsi="Times New Roman"/>
          <w:b/>
          <w:bCs/>
          <w:spacing w:val="-20"/>
          <w:sz w:val="36"/>
          <w:szCs w:val="36"/>
        </w:rPr>
      </w:pPr>
      <w:r w:rsidRPr="002A687D">
        <w:rPr>
          <w:rFonts w:ascii="Times New Roman" w:hAnsi="Times New Roman"/>
          <w:b/>
          <w:bCs/>
          <w:spacing w:val="-20"/>
          <w:sz w:val="36"/>
          <w:szCs w:val="36"/>
        </w:rPr>
        <w:t>&lt;</w:t>
      </w:r>
      <w:r w:rsidRPr="002A687D">
        <w:rPr>
          <w:rFonts w:ascii="Times New Roman" w:hAnsi="Times New Roman"/>
          <w:b/>
          <w:bCs/>
          <w:spacing w:val="-20"/>
          <w:sz w:val="36"/>
          <w:szCs w:val="36"/>
        </w:rPr>
        <w:t>中国证监会行政许可项目审查一次反馈意见通知书</w:t>
      </w:r>
      <w:r w:rsidRPr="002A687D">
        <w:rPr>
          <w:rFonts w:ascii="Times New Roman" w:hAnsi="Times New Roman"/>
          <w:b/>
          <w:bCs/>
          <w:spacing w:val="-20"/>
          <w:sz w:val="36"/>
          <w:szCs w:val="36"/>
        </w:rPr>
        <w:t>&gt;</w:t>
      </w:r>
    </w:p>
    <w:p w14:paraId="7B6E01C8" w14:textId="77777777" w:rsidR="000A0ACD" w:rsidRDefault="00362A99">
      <w:pPr>
        <w:spacing w:beforeLines="50" w:before="156" w:afterLines="50" w:after="156"/>
        <w:jc w:val="center"/>
        <w:rPr>
          <w:rFonts w:ascii="Times New Roman" w:hAnsi="Times New Roman"/>
          <w:b/>
          <w:bCs/>
          <w:sz w:val="36"/>
          <w:szCs w:val="36"/>
        </w:rPr>
      </w:pPr>
      <w:r>
        <w:rPr>
          <w:rFonts w:ascii="Times New Roman" w:hAnsi="Times New Roman"/>
          <w:b/>
          <w:bCs/>
          <w:sz w:val="36"/>
          <w:szCs w:val="36"/>
        </w:rPr>
        <w:t>之</w:t>
      </w:r>
    </w:p>
    <w:p w14:paraId="46475735" w14:textId="77777777" w:rsidR="000A0ACD" w:rsidRDefault="00362A99">
      <w:pPr>
        <w:spacing w:beforeLines="50" w:before="156" w:afterLines="50" w:after="156"/>
        <w:jc w:val="center"/>
        <w:rPr>
          <w:rFonts w:ascii="Times New Roman" w:hAnsi="Times New Roman"/>
          <w:b/>
          <w:bCs/>
          <w:sz w:val="36"/>
          <w:szCs w:val="36"/>
        </w:rPr>
      </w:pPr>
      <w:r>
        <w:rPr>
          <w:rFonts w:ascii="Times New Roman" w:hAnsi="Times New Roman"/>
          <w:b/>
          <w:bCs/>
          <w:sz w:val="36"/>
          <w:szCs w:val="36"/>
        </w:rPr>
        <w:t>反馈意见回复</w:t>
      </w:r>
    </w:p>
    <w:p w14:paraId="39E96857" w14:textId="77777777" w:rsidR="000A0ACD" w:rsidRDefault="000A0ACD">
      <w:pPr>
        <w:spacing w:beforeLines="50" w:before="156"/>
        <w:jc w:val="center"/>
        <w:rPr>
          <w:rFonts w:ascii="Times New Roman" w:hAnsi="Times New Roman"/>
          <w:b/>
          <w:bCs/>
          <w:color w:val="000000"/>
          <w:sz w:val="28"/>
          <w:szCs w:val="32"/>
        </w:rPr>
      </w:pPr>
    </w:p>
    <w:p w14:paraId="4A54B483" w14:textId="77777777" w:rsidR="000A0ACD" w:rsidRDefault="000A0ACD">
      <w:pPr>
        <w:spacing w:beforeLines="50" w:before="156"/>
        <w:jc w:val="center"/>
        <w:rPr>
          <w:rFonts w:ascii="Times New Roman" w:hAnsi="Times New Roman"/>
          <w:b/>
          <w:bCs/>
          <w:color w:val="000000"/>
          <w:sz w:val="28"/>
          <w:szCs w:val="32"/>
        </w:rPr>
      </w:pPr>
    </w:p>
    <w:p w14:paraId="2E9DD670" w14:textId="77777777" w:rsidR="000A0ACD" w:rsidRDefault="00362A99">
      <w:pPr>
        <w:spacing w:beforeLines="50" w:before="156"/>
        <w:jc w:val="center"/>
        <w:rPr>
          <w:rFonts w:ascii="Times New Roman" w:hAnsi="Times New Roman"/>
          <w:b/>
          <w:bCs/>
          <w:color w:val="000000"/>
          <w:sz w:val="28"/>
          <w:szCs w:val="32"/>
        </w:rPr>
      </w:pPr>
      <w:r>
        <w:rPr>
          <w:rFonts w:ascii="Times New Roman" w:hAnsi="Times New Roman" w:hint="eastAsia"/>
          <w:b/>
          <w:bCs/>
          <w:color w:val="000000"/>
          <w:sz w:val="28"/>
          <w:szCs w:val="32"/>
        </w:rPr>
        <w:t>独立财务顾问</w:t>
      </w:r>
    </w:p>
    <w:p w14:paraId="78386026" w14:textId="77777777" w:rsidR="000A0ACD" w:rsidRDefault="00362A99">
      <w:pPr>
        <w:pStyle w:val="affffd"/>
        <w:widowControl w:val="0"/>
        <w:spacing w:beforeLines="0" w:line="240" w:lineRule="auto"/>
        <w:ind w:firstLineChars="0" w:firstLine="0"/>
        <w:jc w:val="center"/>
      </w:pPr>
      <w:bookmarkStart w:id="4" w:name="_Hlk19798868"/>
      <w:r>
        <w:rPr>
          <w:noProof/>
        </w:rPr>
        <w:drawing>
          <wp:inline distT="0" distB="0" distL="0" distR="0" wp14:anchorId="68291CF1" wp14:editId="0C483886">
            <wp:extent cx="2830830" cy="564515"/>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30830" cy="564515"/>
                    </a:xfrm>
                    <a:prstGeom prst="rect">
                      <a:avLst/>
                    </a:prstGeom>
                    <a:noFill/>
                    <a:ln>
                      <a:noFill/>
                    </a:ln>
                  </pic:spPr>
                </pic:pic>
              </a:graphicData>
            </a:graphic>
          </wp:inline>
        </w:drawing>
      </w:r>
      <w:bookmarkEnd w:id="4"/>
    </w:p>
    <w:p w14:paraId="25CD8D5D" w14:textId="77777777" w:rsidR="000A0ACD" w:rsidRDefault="00362A99">
      <w:pPr>
        <w:spacing w:beforeLines="100" w:before="312" w:afterLines="50" w:after="156"/>
        <w:jc w:val="center"/>
        <w:rPr>
          <w:rFonts w:ascii="Times New Roman" w:hAnsi="Times New Roman"/>
          <w:b/>
          <w:bCs/>
          <w:sz w:val="44"/>
          <w:szCs w:val="44"/>
        </w:rPr>
      </w:pPr>
      <w:r>
        <w:rPr>
          <w:rFonts w:ascii="Times New Roman" w:hAnsi="Times New Roman" w:hint="eastAsia"/>
          <w:b/>
          <w:bCs/>
          <w:color w:val="000000"/>
          <w:sz w:val="28"/>
          <w:szCs w:val="32"/>
        </w:rPr>
        <w:t>二</w:t>
      </w:r>
      <w:bookmarkStart w:id="5" w:name="_Hlk19798878"/>
      <w:r>
        <w:rPr>
          <w:rFonts w:ascii="Times New Roman" w:hAnsi="Times New Roman" w:hint="eastAsia"/>
          <w:b/>
          <w:bCs/>
          <w:color w:val="000000"/>
          <w:sz w:val="28"/>
          <w:szCs w:val="32"/>
        </w:rPr>
        <w:t>〇</w:t>
      </w:r>
      <w:bookmarkEnd w:id="5"/>
      <w:r>
        <w:rPr>
          <w:rFonts w:ascii="Times New Roman" w:hAnsi="Times New Roman" w:hint="eastAsia"/>
          <w:b/>
          <w:bCs/>
          <w:color w:val="000000"/>
          <w:sz w:val="28"/>
          <w:szCs w:val="32"/>
        </w:rPr>
        <w:t>二一年四月</w:t>
      </w:r>
    </w:p>
    <w:p w14:paraId="59B4F07E" w14:textId="77777777" w:rsidR="000A0ACD" w:rsidRDefault="000A0ACD">
      <w:pPr>
        <w:spacing w:beforeLines="50" w:before="156" w:line="360" w:lineRule="auto"/>
        <w:jc w:val="both"/>
        <w:rPr>
          <w:rFonts w:ascii="Times New Roman" w:eastAsia="黑体" w:hAnsi="Times New Roman" w:cs="Times New Roman"/>
          <w:bCs/>
          <w:color w:val="000000"/>
          <w:szCs w:val="21"/>
        </w:rPr>
      </w:pPr>
    </w:p>
    <w:p w14:paraId="0D7AE519" w14:textId="77777777" w:rsidR="000A0ACD" w:rsidRDefault="000A0ACD">
      <w:pPr>
        <w:spacing w:beforeLines="50" w:before="156" w:line="360" w:lineRule="auto"/>
        <w:jc w:val="both"/>
        <w:rPr>
          <w:rFonts w:ascii="Times New Roman" w:eastAsia="黑体" w:hAnsi="Times New Roman" w:cs="Times New Roman"/>
          <w:bCs/>
          <w:color w:val="000000"/>
          <w:szCs w:val="21"/>
        </w:rPr>
        <w:sectPr w:rsidR="000A0ACD">
          <w:pgSz w:w="11906" w:h="16838"/>
          <w:pgMar w:top="1440" w:right="1800" w:bottom="1440" w:left="1800" w:header="851" w:footer="992" w:gutter="0"/>
          <w:cols w:space="425"/>
          <w:docGrid w:type="lines" w:linePitch="312"/>
        </w:sectPr>
      </w:pPr>
    </w:p>
    <w:p w14:paraId="3EB3A2F5" w14:textId="77777777" w:rsidR="000A0ACD" w:rsidRDefault="00362A99">
      <w:pPr>
        <w:spacing w:beforeLines="50" w:before="156" w:line="360" w:lineRule="auto"/>
        <w:ind w:firstLineChars="200" w:firstLine="482"/>
        <w:jc w:val="both"/>
        <w:rPr>
          <w:rFonts w:ascii="Times New Roman" w:hAnsi="Times New Roman" w:cs="Times New Roman"/>
          <w:b/>
          <w:color w:val="000000"/>
          <w:szCs w:val="21"/>
        </w:rPr>
      </w:pPr>
      <w:r>
        <w:rPr>
          <w:rFonts w:ascii="Times New Roman" w:hAnsi="Times New Roman" w:cs="Times New Roman" w:hint="eastAsia"/>
          <w:b/>
          <w:color w:val="000000"/>
          <w:szCs w:val="21"/>
        </w:rPr>
        <w:lastRenderedPageBreak/>
        <w:t>中国证券监督管理委员会：</w:t>
      </w:r>
    </w:p>
    <w:p w14:paraId="0C7F77A9"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贵会于</w:t>
      </w:r>
      <w:r>
        <w:rPr>
          <w:rFonts w:ascii="Times New Roman" w:hAnsi="Times New Roman" w:cs="Times New Roman"/>
          <w:bCs/>
          <w:color w:val="000000"/>
          <w:szCs w:val="21"/>
        </w:rPr>
        <w:t>2021</w:t>
      </w:r>
      <w:r>
        <w:rPr>
          <w:rFonts w:ascii="Times New Roman" w:hAnsi="Times New Roman" w:cs="Times New Roman"/>
          <w:bCs/>
          <w:color w:val="000000"/>
          <w:szCs w:val="21"/>
        </w:rPr>
        <w:t>年</w:t>
      </w:r>
      <w:r>
        <w:rPr>
          <w:rFonts w:ascii="Times New Roman" w:hAnsi="Times New Roman" w:cs="Times New Roman"/>
          <w:bCs/>
          <w:color w:val="000000"/>
          <w:szCs w:val="21"/>
        </w:rPr>
        <w:t>3</w:t>
      </w:r>
      <w:r>
        <w:rPr>
          <w:rFonts w:ascii="Times New Roman" w:hAnsi="Times New Roman" w:cs="Times New Roman"/>
          <w:bCs/>
          <w:color w:val="000000"/>
          <w:szCs w:val="21"/>
        </w:rPr>
        <w:t>月</w:t>
      </w:r>
      <w:r>
        <w:rPr>
          <w:rFonts w:ascii="Times New Roman" w:hAnsi="Times New Roman" w:cs="Times New Roman"/>
          <w:bCs/>
          <w:color w:val="000000"/>
          <w:szCs w:val="21"/>
        </w:rPr>
        <w:t>10</w:t>
      </w:r>
      <w:r>
        <w:rPr>
          <w:rFonts w:ascii="Times New Roman" w:hAnsi="Times New Roman" w:cs="Times New Roman"/>
          <w:bCs/>
          <w:color w:val="000000"/>
          <w:szCs w:val="21"/>
        </w:rPr>
        <w:t>日对</w:t>
      </w:r>
      <w:r>
        <w:rPr>
          <w:rFonts w:ascii="Times New Roman" w:hAnsi="Times New Roman" w:cs="Times New Roman" w:hint="eastAsia"/>
          <w:bCs/>
          <w:color w:val="000000"/>
          <w:szCs w:val="21"/>
        </w:rPr>
        <w:t>北京京城机电股份有限公司发行股份及支付现金购买资产并募集配套资金</w:t>
      </w:r>
      <w:r>
        <w:rPr>
          <w:rFonts w:ascii="Times New Roman" w:hAnsi="Times New Roman" w:cs="Times New Roman"/>
          <w:bCs/>
          <w:color w:val="000000"/>
          <w:szCs w:val="21"/>
        </w:rPr>
        <w:t>申请文件出具的《中国证监会行政许可项目审查一次反馈意见通知书》（</w:t>
      </w:r>
      <w:r>
        <w:rPr>
          <w:rFonts w:ascii="Times New Roman" w:hAnsi="Times New Roman" w:cs="Times New Roman"/>
          <w:bCs/>
          <w:color w:val="000000"/>
          <w:szCs w:val="21"/>
        </w:rPr>
        <w:t>210440</w:t>
      </w:r>
      <w:r>
        <w:rPr>
          <w:rFonts w:ascii="Times New Roman" w:hAnsi="Times New Roman" w:cs="Times New Roman"/>
          <w:bCs/>
          <w:color w:val="000000"/>
          <w:szCs w:val="21"/>
        </w:rPr>
        <w:t>号）（以下简称</w:t>
      </w:r>
      <w:r>
        <w:rPr>
          <w:rFonts w:ascii="Times New Roman" w:hAnsi="Times New Roman" w:cs="Times New Roman" w:hint="eastAsia"/>
          <w:bCs/>
          <w:color w:val="000000"/>
          <w:szCs w:val="21"/>
        </w:rPr>
        <w:t>“</w:t>
      </w:r>
      <w:r>
        <w:rPr>
          <w:rFonts w:ascii="Times New Roman" w:hAnsi="Times New Roman" w:cs="Times New Roman"/>
          <w:bCs/>
          <w:color w:val="000000"/>
          <w:szCs w:val="21"/>
        </w:rPr>
        <w:t>《反馈意见》</w:t>
      </w:r>
      <w:r>
        <w:rPr>
          <w:rFonts w:ascii="Times New Roman" w:hAnsi="Times New Roman" w:cs="Times New Roman" w:hint="eastAsia"/>
          <w:bCs/>
          <w:color w:val="000000"/>
          <w:szCs w:val="21"/>
        </w:rPr>
        <w:t>”</w:t>
      </w:r>
      <w:r>
        <w:rPr>
          <w:rFonts w:ascii="Times New Roman" w:hAnsi="Times New Roman" w:cs="Times New Roman"/>
          <w:bCs/>
          <w:color w:val="000000"/>
          <w:szCs w:val="21"/>
        </w:rPr>
        <w:t>）收悉。根据贵会的要求，</w:t>
      </w:r>
      <w:r>
        <w:rPr>
          <w:rFonts w:ascii="Times New Roman" w:hAnsi="Times New Roman" w:cs="Times New Roman" w:hint="eastAsia"/>
          <w:bCs/>
          <w:color w:val="000000"/>
          <w:szCs w:val="21"/>
        </w:rPr>
        <w:t>北京京城机电股份有限公司</w:t>
      </w:r>
      <w:r>
        <w:rPr>
          <w:rFonts w:ascii="Times New Roman" w:hAnsi="Times New Roman" w:cs="Times New Roman"/>
          <w:bCs/>
          <w:color w:val="000000"/>
          <w:szCs w:val="21"/>
        </w:rPr>
        <w:t>已会同</w:t>
      </w:r>
      <w:r>
        <w:rPr>
          <w:rFonts w:ascii="Times New Roman" w:hAnsi="Times New Roman" w:cs="Times New Roman" w:hint="eastAsia"/>
          <w:bCs/>
          <w:color w:val="000000"/>
          <w:szCs w:val="21"/>
        </w:rPr>
        <w:t>中信建投证券股份有限公司</w:t>
      </w:r>
      <w:r>
        <w:rPr>
          <w:rFonts w:ascii="Times New Roman" w:hAnsi="Times New Roman" w:cs="Times New Roman"/>
          <w:bCs/>
          <w:color w:val="000000"/>
          <w:szCs w:val="21"/>
        </w:rPr>
        <w:t>、</w:t>
      </w:r>
      <w:r>
        <w:rPr>
          <w:rFonts w:ascii="Times New Roman" w:hAnsi="Times New Roman" w:cs="Times New Roman" w:hint="eastAsia"/>
          <w:bCs/>
          <w:color w:val="000000"/>
          <w:szCs w:val="21"/>
        </w:rPr>
        <w:t>北京市康达律师事务所</w:t>
      </w:r>
      <w:r>
        <w:rPr>
          <w:rFonts w:ascii="Times New Roman" w:hAnsi="Times New Roman" w:cs="Times New Roman"/>
          <w:bCs/>
          <w:color w:val="000000"/>
          <w:szCs w:val="21"/>
        </w:rPr>
        <w:t>、</w:t>
      </w:r>
      <w:r>
        <w:rPr>
          <w:rFonts w:ascii="Times New Roman" w:hAnsi="Times New Roman" w:cs="Times New Roman" w:hint="eastAsia"/>
          <w:bCs/>
          <w:color w:val="000000"/>
          <w:szCs w:val="21"/>
        </w:rPr>
        <w:t>信永中和会计师事务所（特殊普通合伙）</w:t>
      </w:r>
      <w:r>
        <w:rPr>
          <w:rFonts w:ascii="Times New Roman" w:hAnsi="Times New Roman" w:cs="Times New Roman"/>
          <w:bCs/>
          <w:color w:val="000000"/>
          <w:szCs w:val="21"/>
        </w:rPr>
        <w:t>、</w:t>
      </w:r>
      <w:r>
        <w:rPr>
          <w:rFonts w:ascii="Times New Roman" w:hAnsi="Times New Roman" w:cs="Times New Roman" w:hint="eastAsia"/>
          <w:bCs/>
          <w:color w:val="000000"/>
          <w:szCs w:val="21"/>
        </w:rPr>
        <w:t>北京中同华资产评估有限公司</w:t>
      </w:r>
      <w:r>
        <w:rPr>
          <w:rFonts w:ascii="Times New Roman" w:hAnsi="Times New Roman" w:cs="Times New Roman"/>
          <w:bCs/>
          <w:color w:val="000000"/>
          <w:szCs w:val="21"/>
        </w:rPr>
        <w:t>对《反馈意见》所列问题认真进行了逐项落实并书面回复如下，请予审核。</w:t>
      </w:r>
    </w:p>
    <w:p w14:paraId="111E3C07"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本回复中所引用的简称和释义，如无特别说明，与《北京京城机电股份有限公司发行股份及支付现金购买资产并募集配套资金报告书（草案）（修订稿）》中具有相同含义。</w:t>
      </w:r>
    </w:p>
    <w:p w14:paraId="4FF1A3C5" w14:textId="77777777" w:rsidR="000A0ACD" w:rsidRDefault="000A0ACD">
      <w:pPr>
        <w:spacing w:beforeLines="50" w:before="156" w:line="360" w:lineRule="auto"/>
        <w:jc w:val="both"/>
        <w:rPr>
          <w:rFonts w:ascii="Times New Roman" w:hAnsi="Times New Roman" w:cs="Times New Roman"/>
          <w:bCs/>
          <w:color w:val="000000"/>
          <w:szCs w:val="21"/>
        </w:rPr>
      </w:pPr>
    </w:p>
    <w:p w14:paraId="0424A47F" w14:textId="77777777" w:rsidR="000A0ACD" w:rsidRDefault="000A0ACD">
      <w:pPr>
        <w:spacing w:beforeLines="50" w:before="156" w:line="360" w:lineRule="auto"/>
        <w:jc w:val="both"/>
        <w:rPr>
          <w:rFonts w:ascii="Times New Roman" w:hAnsi="Times New Roman" w:cs="Times New Roman"/>
          <w:bCs/>
          <w:color w:val="000000"/>
          <w:szCs w:val="21"/>
        </w:rPr>
        <w:sectPr w:rsidR="000A0ACD">
          <w:footerReference w:type="default" r:id="rId11"/>
          <w:pgSz w:w="11906" w:h="16838"/>
          <w:pgMar w:top="1440" w:right="1800" w:bottom="1440" w:left="1800" w:header="851" w:footer="992" w:gutter="0"/>
          <w:cols w:space="425"/>
          <w:docGrid w:type="lines" w:linePitch="312"/>
        </w:sectPr>
      </w:pPr>
    </w:p>
    <w:p w14:paraId="0CC74D25" w14:textId="77777777" w:rsidR="000A0ACD" w:rsidRDefault="00362A99">
      <w:pPr>
        <w:pStyle w:val="TOC1"/>
        <w:jc w:val="center"/>
        <w:outlineLvl w:val="0"/>
        <w:rPr>
          <w:rFonts w:ascii="宋体" w:hAnsi="宋体"/>
          <w:bCs w:val="0"/>
          <w:color w:val="000000"/>
          <w:sz w:val="28"/>
          <w:szCs w:val="28"/>
        </w:rPr>
      </w:pPr>
      <w:bookmarkStart w:id="6" w:name="_Toc69256865"/>
      <w:r>
        <w:rPr>
          <w:rFonts w:ascii="宋体" w:hAnsi="宋体" w:hint="eastAsia"/>
          <w:bCs w:val="0"/>
          <w:color w:val="000000"/>
          <w:sz w:val="28"/>
          <w:szCs w:val="28"/>
        </w:rPr>
        <w:lastRenderedPageBreak/>
        <w:t>目</w:t>
      </w:r>
      <w:r>
        <w:rPr>
          <w:rFonts w:ascii="宋体" w:hAnsi="宋体"/>
          <w:bCs w:val="0"/>
          <w:color w:val="000000"/>
          <w:sz w:val="28"/>
          <w:szCs w:val="28"/>
        </w:rPr>
        <w:t xml:space="preserve">   </w:t>
      </w:r>
      <w:r>
        <w:rPr>
          <w:rFonts w:ascii="宋体" w:hAnsi="宋体" w:hint="eastAsia"/>
          <w:bCs w:val="0"/>
          <w:color w:val="000000"/>
          <w:sz w:val="28"/>
          <w:szCs w:val="28"/>
        </w:rPr>
        <w:t>录</w:t>
      </w:r>
      <w:bookmarkEnd w:id="6"/>
    </w:p>
    <w:p w14:paraId="442851C0" w14:textId="1006A6D9" w:rsidR="000A0ACD" w:rsidRDefault="00362A99">
      <w:pPr>
        <w:pStyle w:val="TOC1"/>
        <w:spacing w:beforeLines="50" w:before="156" w:line="240" w:lineRule="auto"/>
        <w:rPr>
          <w:noProof/>
          <w:sz w:val="21"/>
          <w:szCs w:val="22"/>
        </w:rPr>
      </w:pPr>
      <w:r>
        <w:rPr>
          <w:bCs w:val="0"/>
          <w:color w:val="000000"/>
          <w:sz w:val="28"/>
          <w:szCs w:val="28"/>
        </w:rPr>
        <w:fldChar w:fldCharType="begin"/>
      </w:r>
      <w:r>
        <w:rPr>
          <w:bCs w:val="0"/>
          <w:color w:val="000000"/>
          <w:sz w:val="28"/>
          <w:szCs w:val="28"/>
        </w:rPr>
        <w:instrText xml:space="preserve"> TOC \o "1-1" \h \z \u </w:instrText>
      </w:r>
      <w:r>
        <w:rPr>
          <w:bCs w:val="0"/>
          <w:color w:val="000000"/>
          <w:sz w:val="28"/>
          <w:szCs w:val="28"/>
        </w:rPr>
        <w:fldChar w:fldCharType="separate"/>
      </w:r>
      <w:hyperlink w:anchor="_Toc69256866" w:history="1">
        <w:r>
          <w:rPr>
            <w:rStyle w:val="affffa"/>
            <w:rFonts w:hint="eastAsia"/>
            <w:noProof/>
          </w:rPr>
          <w:t>第一题</w:t>
        </w:r>
        <w:r>
          <w:rPr>
            <w:noProof/>
          </w:rPr>
          <w:tab/>
        </w:r>
        <w:r>
          <w:rPr>
            <w:noProof/>
          </w:rPr>
          <w:fldChar w:fldCharType="begin"/>
        </w:r>
        <w:r>
          <w:rPr>
            <w:noProof/>
          </w:rPr>
          <w:instrText xml:space="preserve"> PAGEREF _Toc69256866 \h </w:instrText>
        </w:r>
        <w:r>
          <w:rPr>
            <w:noProof/>
          </w:rPr>
        </w:r>
        <w:r>
          <w:rPr>
            <w:noProof/>
          </w:rPr>
          <w:fldChar w:fldCharType="separate"/>
        </w:r>
        <w:r w:rsidR="00902988">
          <w:rPr>
            <w:noProof/>
          </w:rPr>
          <w:t>4</w:t>
        </w:r>
        <w:r>
          <w:rPr>
            <w:noProof/>
          </w:rPr>
          <w:fldChar w:fldCharType="end"/>
        </w:r>
      </w:hyperlink>
    </w:p>
    <w:p w14:paraId="59D51AF9" w14:textId="0DEC5F81" w:rsidR="000A0ACD" w:rsidRDefault="007D7C70">
      <w:pPr>
        <w:pStyle w:val="TOC1"/>
        <w:spacing w:beforeLines="50" w:before="156" w:line="240" w:lineRule="auto"/>
        <w:rPr>
          <w:noProof/>
          <w:sz w:val="21"/>
          <w:szCs w:val="22"/>
        </w:rPr>
      </w:pPr>
      <w:hyperlink w:anchor="_Toc69256867" w:history="1">
        <w:r w:rsidR="00362A99">
          <w:rPr>
            <w:rStyle w:val="affffa"/>
            <w:rFonts w:hint="eastAsia"/>
            <w:noProof/>
          </w:rPr>
          <w:t>第二题</w:t>
        </w:r>
        <w:r w:rsidR="00362A99">
          <w:rPr>
            <w:noProof/>
          </w:rPr>
          <w:tab/>
        </w:r>
        <w:r w:rsidR="00362A99">
          <w:rPr>
            <w:noProof/>
          </w:rPr>
          <w:fldChar w:fldCharType="begin"/>
        </w:r>
        <w:r w:rsidR="00362A99">
          <w:rPr>
            <w:noProof/>
          </w:rPr>
          <w:instrText xml:space="preserve"> PAGEREF _Toc69256867 \h </w:instrText>
        </w:r>
        <w:r w:rsidR="00362A99">
          <w:rPr>
            <w:noProof/>
          </w:rPr>
        </w:r>
        <w:r w:rsidR="00362A99">
          <w:rPr>
            <w:noProof/>
          </w:rPr>
          <w:fldChar w:fldCharType="separate"/>
        </w:r>
        <w:r w:rsidR="00902988">
          <w:rPr>
            <w:noProof/>
          </w:rPr>
          <w:t>15</w:t>
        </w:r>
        <w:r w:rsidR="00362A99">
          <w:rPr>
            <w:noProof/>
          </w:rPr>
          <w:fldChar w:fldCharType="end"/>
        </w:r>
      </w:hyperlink>
    </w:p>
    <w:p w14:paraId="5F78B5B2" w14:textId="31B6841C" w:rsidR="000A0ACD" w:rsidRDefault="007D7C70">
      <w:pPr>
        <w:pStyle w:val="TOC1"/>
        <w:spacing w:beforeLines="50" w:before="156" w:line="240" w:lineRule="auto"/>
        <w:rPr>
          <w:noProof/>
          <w:sz w:val="21"/>
          <w:szCs w:val="22"/>
        </w:rPr>
      </w:pPr>
      <w:hyperlink w:anchor="_Toc69256868" w:history="1">
        <w:r w:rsidR="00362A99">
          <w:rPr>
            <w:rStyle w:val="affffa"/>
            <w:rFonts w:hint="eastAsia"/>
            <w:noProof/>
          </w:rPr>
          <w:t>第三题</w:t>
        </w:r>
        <w:r w:rsidR="00362A99">
          <w:rPr>
            <w:noProof/>
          </w:rPr>
          <w:tab/>
        </w:r>
        <w:r w:rsidR="00362A99">
          <w:rPr>
            <w:noProof/>
          </w:rPr>
          <w:fldChar w:fldCharType="begin"/>
        </w:r>
        <w:r w:rsidR="00362A99">
          <w:rPr>
            <w:noProof/>
          </w:rPr>
          <w:instrText xml:space="preserve"> PAGEREF _Toc69256868 \h </w:instrText>
        </w:r>
        <w:r w:rsidR="00362A99">
          <w:rPr>
            <w:noProof/>
          </w:rPr>
        </w:r>
        <w:r w:rsidR="00362A99">
          <w:rPr>
            <w:noProof/>
          </w:rPr>
          <w:fldChar w:fldCharType="separate"/>
        </w:r>
        <w:r w:rsidR="00902988">
          <w:rPr>
            <w:noProof/>
          </w:rPr>
          <w:t>18</w:t>
        </w:r>
        <w:r w:rsidR="00362A99">
          <w:rPr>
            <w:noProof/>
          </w:rPr>
          <w:fldChar w:fldCharType="end"/>
        </w:r>
      </w:hyperlink>
    </w:p>
    <w:p w14:paraId="34DF5571" w14:textId="7FB289C7" w:rsidR="000A0ACD" w:rsidRDefault="007D7C70">
      <w:pPr>
        <w:pStyle w:val="TOC1"/>
        <w:spacing w:beforeLines="50" w:before="156" w:line="240" w:lineRule="auto"/>
        <w:rPr>
          <w:noProof/>
          <w:sz w:val="21"/>
          <w:szCs w:val="22"/>
        </w:rPr>
      </w:pPr>
      <w:hyperlink w:anchor="_Toc69256869" w:history="1">
        <w:r w:rsidR="00362A99">
          <w:rPr>
            <w:rStyle w:val="affffa"/>
            <w:rFonts w:hint="eastAsia"/>
            <w:noProof/>
          </w:rPr>
          <w:t>第四题</w:t>
        </w:r>
        <w:r w:rsidR="00362A99">
          <w:rPr>
            <w:noProof/>
          </w:rPr>
          <w:tab/>
        </w:r>
        <w:r w:rsidR="00362A99">
          <w:rPr>
            <w:noProof/>
          </w:rPr>
          <w:fldChar w:fldCharType="begin"/>
        </w:r>
        <w:r w:rsidR="00362A99">
          <w:rPr>
            <w:noProof/>
          </w:rPr>
          <w:instrText xml:space="preserve"> PAGEREF _Toc69256869 \h </w:instrText>
        </w:r>
        <w:r w:rsidR="00362A99">
          <w:rPr>
            <w:noProof/>
          </w:rPr>
        </w:r>
        <w:r w:rsidR="00362A99">
          <w:rPr>
            <w:noProof/>
          </w:rPr>
          <w:fldChar w:fldCharType="separate"/>
        </w:r>
        <w:r w:rsidR="00902988">
          <w:rPr>
            <w:noProof/>
          </w:rPr>
          <w:t>44</w:t>
        </w:r>
        <w:r w:rsidR="00362A99">
          <w:rPr>
            <w:noProof/>
          </w:rPr>
          <w:fldChar w:fldCharType="end"/>
        </w:r>
      </w:hyperlink>
    </w:p>
    <w:p w14:paraId="76DD997A" w14:textId="53694F6F" w:rsidR="000A0ACD" w:rsidRDefault="007D7C70">
      <w:pPr>
        <w:pStyle w:val="TOC1"/>
        <w:spacing w:beforeLines="50" w:before="156" w:line="240" w:lineRule="auto"/>
        <w:rPr>
          <w:noProof/>
          <w:sz w:val="21"/>
          <w:szCs w:val="22"/>
        </w:rPr>
      </w:pPr>
      <w:hyperlink w:anchor="_Toc69256870" w:history="1">
        <w:r w:rsidR="00362A99">
          <w:rPr>
            <w:rStyle w:val="affffa"/>
            <w:rFonts w:hint="eastAsia"/>
            <w:noProof/>
          </w:rPr>
          <w:t>第五题</w:t>
        </w:r>
        <w:r w:rsidR="00362A99">
          <w:rPr>
            <w:noProof/>
          </w:rPr>
          <w:tab/>
        </w:r>
        <w:r w:rsidR="00362A99">
          <w:rPr>
            <w:noProof/>
          </w:rPr>
          <w:fldChar w:fldCharType="begin"/>
        </w:r>
        <w:r w:rsidR="00362A99">
          <w:rPr>
            <w:noProof/>
          </w:rPr>
          <w:instrText xml:space="preserve"> PAGEREF _Toc69256870 \h </w:instrText>
        </w:r>
        <w:r w:rsidR="00362A99">
          <w:rPr>
            <w:noProof/>
          </w:rPr>
        </w:r>
        <w:r w:rsidR="00362A99">
          <w:rPr>
            <w:noProof/>
          </w:rPr>
          <w:fldChar w:fldCharType="separate"/>
        </w:r>
        <w:r w:rsidR="00902988">
          <w:rPr>
            <w:noProof/>
          </w:rPr>
          <w:t>54</w:t>
        </w:r>
        <w:r w:rsidR="00362A99">
          <w:rPr>
            <w:noProof/>
          </w:rPr>
          <w:fldChar w:fldCharType="end"/>
        </w:r>
      </w:hyperlink>
    </w:p>
    <w:p w14:paraId="2E55DDD3" w14:textId="38496976" w:rsidR="000A0ACD" w:rsidRDefault="007D7C70">
      <w:pPr>
        <w:pStyle w:val="TOC1"/>
        <w:spacing w:beforeLines="50" w:before="156" w:line="240" w:lineRule="auto"/>
        <w:rPr>
          <w:noProof/>
          <w:sz w:val="21"/>
          <w:szCs w:val="22"/>
        </w:rPr>
      </w:pPr>
      <w:hyperlink w:anchor="_Toc69256871" w:history="1">
        <w:r w:rsidR="00362A99">
          <w:rPr>
            <w:rStyle w:val="affffa"/>
            <w:rFonts w:hint="eastAsia"/>
            <w:noProof/>
          </w:rPr>
          <w:t>第六题</w:t>
        </w:r>
        <w:r w:rsidR="00362A99">
          <w:rPr>
            <w:noProof/>
          </w:rPr>
          <w:tab/>
        </w:r>
        <w:r w:rsidR="00362A99">
          <w:rPr>
            <w:noProof/>
          </w:rPr>
          <w:fldChar w:fldCharType="begin"/>
        </w:r>
        <w:r w:rsidR="00362A99">
          <w:rPr>
            <w:noProof/>
          </w:rPr>
          <w:instrText xml:space="preserve"> PAGEREF _Toc69256871 \h </w:instrText>
        </w:r>
        <w:r w:rsidR="00362A99">
          <w:rPr>
            <w:noProof/>
          </w:rPr>
        </w:r>
        <w:r w:rsidR="00362A99">
          <w:rPr>
            <w:noProof/>
          </w:rPr>
          <w:fldChar w:fldCharType="separate"/>
        </w:r>
        <w:r w:rsidR="00902988">
          <w:rPr>
            <w:noProof/>
          </w:rPr>
          <w:t>66</w:t>
        </w:r>
        <w:r w:rsidR="00362A99">
          <w:rPr>
            <w:noProof/>
          </w:rPr>
          <w:fldChar w:fldCharType="end"/>
        </w:r>
      </w:hyperlink>
    </w:p>
    <w:p w14:paraId="2F2BAEE9" w14:textId="323D9123" w:rsidR="000A0ACD" w:rsidRDefault="007D7C70">
      <w:pPr>
        <w:pStyle w:val="TOC1"/>
        <w:spacing w:beforeLines="50" w:before="156" w:line="240" w:lineRule="auto"/>
        <w:rPr>
          <w:noProof/>
          <w:sz w:val="21"/>
          <w:szCs w:val="22"/>
        </w:rPr>
      </w:pPr>
      <w:hyperlink w:anchor="_Toc69256872" w:history="1">
        <w:r w:rsidR="00362A99">
          <w:rPr>
            <w:rStyle w:val="affffa"/>
            <w:rFonts w:hint="eastAsia"/>
            <w:noProof/>
          </w:rPr>
          <w:t>第七题</w:t>
        </w:r>
        <w:r w:rsidR="00362A99">
          <w:rPr>
            <w:noProof/>
          </w:rPr>
          <w:tab/>
        </w:r>
        <w:r w:rsidR="00362A99">
          <w:rPr>
            <w:noProof/>
          </w:rPr>
          <w:fldChar w:fldCharType="begin"/>
        </w:r>
        <w:r w:rsidR="00362A99">
          <w:rPr>
            <w:noProof/>
          </w:rPr>
          <w:instrText xml:space="preserve"> PAGEREF _Toc69256872 \h </w:instrText>
        </w:r>
        <w:r w:rsidR="00362A99">
          <w:rPr>
            <w:noProof/>
          </w:rPr>
        </w:r>
        <w:r w:rsidR="00362A99">
          <w:rPr>
            <w:noProof/>
          </w:rPr>
          <w:fldChar w:fldCharType="separate"/>
        </w:r>
        <w:r w:rsidR="00902988">
          <w:rPr>
            <w:noProof/>
          </w:rPr>
          <w:t>74</w:t>
        </w:r>
        <w:r w:rsidR="00362A99">
          <w:rPr>
            <w:noProof/>
          </w:rPr>
          <w:fldChar w:fldCharType="end"/>
        </w:r>
      </w:hyperlink>
    </w:p>
    <w:p w14:paraId="39E1F085" w14:textId="7D1F520C" w:rsidR="000A0ACD" w:rsidRDefault="007D7C70">
      <w:pPr>
        <w:pStyle w:val="TOC1"/>
        <w:spacing w:beforeLines="50" w:before="156" w:line="240" w:lineRule="auto"/>
        <w:rPr>
          <w:noProof/>
          <w:sz w:val="21"/>
          <w:szCs w:val="22"/>
        </w:rPr>
      </w:pPr>
      <w:hyperlink w:anchor="_Toc69256873" w:history="1">
        <w:r w:rsidR="00362A99">
          <w:rPr>
            <w:rStyle w:val="affffa"/>
            <w:rFonts w:hint="eastAsia"/>
            <w:noProof/>
          </w:rPr>
          <w:t>第八题</w:t>
        </w:r>
        <w:r w:rsidR="00362A99">
          <w:rPr>
            <w:noProof/>
          </w:rPr>
          <w:tab/>
        </w:r>
        <w:r w:rsidR="00362A99">
          <w:rPr>
            <w:noProof/>
          </w:rPr>
          <w:fldChar w:fldCharType="begin"/>
        </w:r>
        <w:r w:rsidR="00362A99">
          <w:rPr>
            <w:noProof/>
          </w:rPr>
          <w:instrText xml:space="preserve"> PAGEREF _Toc69256873 \h </w:instrText>
        </w:r>
        <w:r w:rsidR="00362A99">
          <w:rPr>
            <w:noProof/>
          </w:rPr>
        </w:r>
        <w:r w:rsidR="00362A99">
          <w:rPr>
            <w:noProof/>
          </w:rPr>
          <w:fldChar w:fldCharType="separate"/>
        </w:r>
        <w:r w:rsidR="00902988">
          <w:rPr>
            <w:noProof/>
          </w:rPr>
          <w:t>80</w:t>
        </w:r>
        <w:r w:rsidR="00362A99">
          <w:rPr>
            <w:noProof/>
          </w:rPr>
          <w:fldChar w:fldCharType="end"/>
        </w:r>
      </w:hyperlink>
    </w:p>
    <w:p w14:paraId="2BD4E9EC" w14:textId="002A8BC6" w:rsidR="000A0ACD" w:rsidRDefault="007D7C70">
      <w:pPr>
        <w:pStyle w:val="TOC1"/>
        <w:spacing w:beforeLines="50" w:before="156" w:line="240" w:lineRule="auto"/>
        <w:rPr>
          <w:noProof/>
          <w:sz w:val="21"/>
          <w:szCs w:val="22"/>
        </w:rPr>
      </w:pPr>
      <w:hyperlink w:anchor="_Toc69256874" w:history="1">
        <w:r w:rsidR="00362A99">
          <w:rPr>
            <w:rStyle w:val="affffa"/>
            <w:rFonts w:hint="eastAsia"/>
            <w:noProof/>
          </w:rPr>
          <w:t>第九题</w:t>
        </w:r>
        <w:r w:rsidR="00362A99">
          <w:rPr>
            <w:noProof/>
          </w:rPr>
          <w:tab/>
        </w:r>
        <w:r w:rsidR="00362A99">
          <w:rPr>
            <w:noProof/>
          </w:rPr>
          <w:fldChar w:fldCharType="begin"/>
        </w:r>
        <w:r w:rsidR="00362A99">
          <w:rPr>
            <w:noProof/>
          </w:rPr>
          <w:instrText xml:space="preserve"> PAGEREF _Toc69256874 \h </w:instrText>
        </w:r>
        <w:r w:rsidR="00362A99">
          <w:rPr>
            <w:noProof/>
          </w:rPr>
        </w:r>
        <w:r w:rsidR="00362A99">
          <w:rPr>
            <w:noProof/>
          </w:rPr>
          <w:fldChar w:fldCharType="separate"/>
        </w:r>
        <w:r w:rsidR="00902988">
          <w:rPr>
            <w:noProof/>
          </w:rPr>
          <w:t>86</w:t>
        </w:r>
        <w:r w:rsidR="00362A99">
          <w:rPr>
            <w:noProof/>
          </w:rPr>
          <w:fldChar w:fldCharType="end"/>
        </w:r>
      </w:hyperlink>
    </w:p>
    <w:p w14:paraId="221EC0C7" w14:textId="73FE7500" w:rsidR="000A0ACD" w:rsidRDefault="007D7C70">
      <w:pPr>
        <w:pStyle w:val="TOC1"/>
        <w:spacing w:beforeLines="50" w:before="156" w:line="240" w:lineRule="auto"/>
        <w:rPr>
          <w:noProof/>
          <w:sz w:val="21"/>
          <w:szCs w:val="22"/>
        </w:rPr>
      </w:pPr>
      <w:hyperlink w:anchor="_Toc69256875" w:history="1">
        <w:r w:rsidR="00362A99">
          <w:rPr>
            <w:rStyle w:val="affffa"/>
            <w:rFonts w:hint="eastAsia"/>
            <w:noProof/>
          </w:rPr>
          <w:t>第十题</w:t>
        </w:r>
        <w:r w:rsidR="00362A99">
          <w:rPr>
            <w:noProof/>
          </w:rPr>
          <w:tab/>
        </w:r>
        <w:r w:rsidR="00362A99">
          <w:rPr>
            <w:noProof/>
          </w:rPr>
          <w:fldChar w:fldCharType="begin"/>
        </w:r>
        <w:r w:rsidR="00362A99">
          <w:rPr>
            <w:noProof/>
          </w:rPr>
          <w:instrText xml:space="preserve"> PAGEREF _Toc69256875 \h </w:instrText>
        </w:r>
        <w:r w:rsidR="00362A99">
          <w:rPr>
            <w:noProof/>
          </w:rPr>
        </w:r>
        <w:r w:rsidR="00362A99">
          <w:rPr>
            <w:noProof/>
          </w:rPr>
          <w:fldChar w:fldCharType="separate"/>
        </w:r>
        <w:r w:rsidR="00902988">
          <w:rPr>
            <w:noProof/>
          </w:rPr>
          <w:t>95</w:t>
        </w:r>
        <w:r w:rsidR="00362A99">
          <w:rPr>
            <w:noProof/>
          </w:rPr>
          <w:fldChar w:fldCharType="end"/>
        </w:r>
      </w:hyperlink>
    </w:p>
    <w:p w14:paraId="10D6550F" w14:textId="09217E4A" w:rsidR="000A0ACD" w:rsidRDefault="007D7C70">
      <w:pPr>
        <w:pStyle w:val="TOC1"/>
        <w:spacing w:beforeLines="50" w:before="156" w:line="240" w:lineRule="auto"/>
        <w:rPr>
          <w:noProof/>
          <w:sz w:val="21"/>
          <w:szCs w:val="22"/>
        </w:rPr>
      </w:pPr>
      <w:hyperlink w:anchor="_Toc69256876" w:history="1">
        <w:r w:rsidR="00362A99">
          <w:rPr>
            <w:rStyle w:val="affffa"/>
            <w:rFonts w:hint="eastAsia"/>
            <w:noProof/>
          </w:rPr>
          <w:t>第十一题</w:t>
        </w:r>
        <w:r w:rsidR="00362A99">
          <w:rPr>
            <w:noProof/>
          </w:rPr>
          <w:tab/>
        </w:r>
        <w:r w:rsidR="00362A99">
          <w:rPr>
            <w:noProof/>
          </w:rPr>
          <w:fldChar w:fldCharType="begin"/>
        </w:r>
        <w:r w:rsidR="00362A99">
          <w:rPr>
            <w:noProof/>
          </w:rPr>
          <w:instrText xml:space="preserve"> PAGEREF _Toc69256876 \h </w:instrText>
        </w:r>
        <w:r w:rsidR="00362A99">
          <w:rPr>
            <w:noProof/>
          </w:rPr>
        </w:r>
        <w:r w:rsidR="00362A99">
          <w:rPr>
            <w:noProof/>
          </w:rPr>
          <w:fldChar w:fldCharType="separate"/>
        </w:r>
        <w:r w:rsidR="00902988">
          <w:rPr>
            <w:noProof/>
          </w:rPr>
          <w:t>101</w:t>
        </w:r>
        <w:r w:rsidR="00362A99">
          <w:rPr>
            <w:noProof/>
          </w:rPr>
          <w:fldChar w:fldCharType="end"/>
        </w:r>
      </w:hyperlink>
    </w:p>
    <w:p w14:paraId="0989CDDC" w14:textId="268AB52D" w:rsidR="000A0ACD" w:rsidRDefault="007D7C70">
      <w:pPr>
        <w:pStyle w:val="TOC1"/>
        <w:spacing w:beforeLines="50" w:before="156" w:line="240" w:lineRule="auto"/>
        <w:rPr>
          <w:noProof/>
          <w:sz w:val="21"/>
          <w:szCs w:val="22"/>
        </w:rPr>
      </w:pPr>
      <w:hyperlink w:anchor="_Toc69256877" w:history="1">
        <w:r w:rsidR="00362A99">
          <w:rPr>
            <w:rStyle w:val="affffa"/>
            <w:rFonts w:hint="eastAsia"/>
            <w:noProof/>
          </w:rPr>
          <w:t>第十二题</w:t>
        </w:r>
        <w:r w:rsidR="00362A99">
          <w:rPr>
            <w:noProof/>
          </w:rPr>
          <w:tab/>
        </w:r>
        <w:r w:rsidR="00362A99">
          <w:rPr>
            <w:noProof/>
          </w:rPr>
          <w:fldChar w:fldCharType="begin"/>
        </w:r>
        <w:r w:rsidR="00362A99">
          <w:rPr>
            <w:noProof/>
          </w:rPr>
          <w:instrText xml:space="preserve"> PAGEREF _Toc69256877 \h </w:instrText>
        </w:r>
        <w:r w:rsidR="00362A99">
          <w:rPr>
            <w:noProof/>
          </w:rPr>
        </w:r>
        <w:r w:rsidR="00362A99">
          <w:rPr>
            <w:noProof/>
          </w:rPr>
          <w:fldChar w:fldCharType="separate"/>
        </w:r>
        <w:r w:rsidR="00902988">
          <w:rPr>
            <w:noProof/>
          </w:rPr>
          <w:t>108</w:t>
        </w:r>
        <w:r w:rsidR="00362A99">
          <w:rPr>
            <w:noProof/>
          </w:rPr>
          <w:fldChar w:fldCharType="end"/>
        </w:r>
      </w:hyperlink>
    </w:p>
    <w:p w14:paraId="06AB2740" w14:textId="108C92D0" w:rsidR="000A0ACD" w:rsidRDefault="007D7C70">
      <w:pPr>
        <w:pStyle w:val="TOC1"/>
        <w:spacing w:beforeLines="50" w:before="156" w:line="240" w:lineRule="auto"/>
        <w:rPr>
          <w:noProof/>
          <w:sz w:val="21"/>
          <w:szCs w:val="22"/>
        </w:rPr>
      </w:pPr>
      <w:hyperlink w:anchor="_Toc69256878" w:history="1">
        <w:r w:rsidR="00362A99">
          <w:rPr>
            <w:rStyle w:val="affffa"/>
            <w:rFonts w:hint="eastAsia"/>
            <w:noProof/>
          </w:rPr>
          <w:t>第十三题</w:t>
        </w:r>
        <w:r w:rsidR="00362A99">
          <w:rPr>
            <w:noProof/>
          </w:rPr>
          <w:tab/>
        </w:r>
        <w:r w:rsidR="00362A99">
          <w:rPr>
            <w:noProof/>
          </w:rPr>
          <w:fldChar w:fldCharType="begin"/>
        </w:r>
        <w:r w:rsidR="00362A99">
          <w:rPr>
            <w:noProof/>
          </w:rPr>
          <w:instrText xml:space="preserve"> PAGEREF _Toc69256878 \h </w:instrText>
        </w:r>
        <w:r w:rsidR="00362A99">
          <w:rPr>
            <w:noProof/>
          </w:rPr>
        </w:r>
        <w:r w:rsidR="00362A99">
          <w:rPr>
            <w:noProof/>
          </w:rPr>
          <w:fldChar w:fldCharType="separate"/>
        </w:r>
        <w:r w:rsidR="00902988">
          <w:rPr>
            <w:noProof/>
          </w:rPr>
          <w:t>119</w:t>
        </w:r>
        <w:r w:rsidR="00362A99">
          <w:rPr>
            <w:noProof/>
          </w:rPr>
          <w:fldChar w:fldCharType="end"/>
        </w:r>
      </w:hyperlink>
    </w:p>
    <w:p w14:paraId="6F0D69CF" w14:textId="37F57F02" w:rsidR="000A0ACD" w:rsidRDefault="007D7C70">
      <w:pPr>
        <w:pStyle w:val="TOC1"/>
        <w:spacing w:beforeLines="50" w:before="156" w:line="240" w:lineRule="auto"/>
        <w:rPr>
          <w:b w:val="0"/>
          <w:bCs w:val="0"/>
          <w:noProof/>
          <w:sz w:val="21"/>
          <w:szCs w:val="22"/>
        </w:rPr>
      </w:pPr>
      <w:hyperlink w:anchor="_Toc69256879" w:history="1">
        <w:r w:rsidR="00362A99">
          <w:rPr>
            <w:rStyle w:val="affffa"/>
            <w:rFonts w:hint="eastAsia"/>
            <w:noProof/>
          </w:rPr>
          <w:t>第十四题</w:t>
        </w:r>
        <w:r w:rsidR="00362A99">
          <w:rPr>
            <w:noProof/>
          </w:rPr>
          <w:tab/>
        </w:r>
        <w:r w:rsidR="00362A99">
          <w:rPr>
            <w:noProof/>
          </w:rPr>
          <w:fldChar w:fldCharType="begin"/>
        </w:r>
        <w:r w:rsidR="00362A99">
          <w:rPr>
            <w:noProof/>
          </w:rPr>
          <w:instrText xml:space="preserve"> PAGEREF _Toc69256879 \h </w:instrText>
        </w:r>
        <w:r w:rsidR="00362A99">
          <w:rPr>
            <w:noProof/>
          </w:rPr>
        </w:r>
        <w:r w:rsidR="00362A99">
          <w:rPr>
            <w:noProof/>
          </w:rPr>
          <w:fldChar w:fldCharType="separate"/>
        </w:r>
        <w:r w:rsidR="00902988">
          <w:rPr>
            <w:noProof/>
          </w:rPr>
          <w:t>123</w:t>
        </w:r>
        <w:r w:rsidR="00362A99">
          <w:rPr>
            <w:noProof/>
          </w:rPr>
          <w:fldChar w:fldCharType="end"/>
        </w:r>
      </w:hyperlink>
    </w:p>
    <w:p w14:paraId="70A126CD" w14:textId="77777777" w:rsidR="000A0ACD" w:rsidRDefault="00362A99">
      <w:pPr>
        <w:rPr>
          <w:rFonts w:ascii="Times New Roman" w:eastAsia="黑体" w:hAnsi="Times New Roman" w:cs="Times New Roman"/>
          <w:b/>
          <w:color w:val="000000"/>
          <w:sz w:val="28"/>
          <w:szCs w:val="28"/>
        </w:rPr>
      </w:pPr>
      <w:r>
        <w:rPr>
          <w:rFonts w:ascii="Times New Roman" w:hAnsi="Times New Roman" w:cs="Times New Roman"/>
          <w:bCs/>
          <w:color w:val="000000"/>
          <w:kern w:val="2"/>
          <w:sz w:val="28"/>
          <w:szCs w:val="28"/>
        </w:rPr>
        <w:fldChar w:fldCharType="end"/>
      </w:r>
      <w:r>
        <w:rPr>
          <w:rFonts w:ascii="Times New Roman" w:eastAsia="黑体" w:hAnsi="Times New Roman" w:cs="Times New Roman"/>
          <w:b/>
          <w:color w:val="000000"/>
          <w:sz w:val="28"/>
          <w:szCs w:val="28"/>
        </w:rPr>
        <w:br w:type="page"/>
      </w:r>
    </w:p>
    <w:p w14:paraId="715A895F" w14:textId="77777777" w:rsidR="000A0ACD" w:rsidRDefault="00362A99">
      <w:pPr>
        <w:spacing w:beforeLines="50" w:before="156" w:line="360" w:lineRule="auto"/>
        <w:ind w:firstLineChars="200" w:firstLine="562"/>
        <w:jc w:val="both"/>
        <w:outlineLvl w:val="0"/>
        <w:rPr>
          <w:rFonts w:ascii="Times New Roman" w:eastAsia="黑体" w:hAnsi="Times New Roman" w:cs="Times New Roman"/>
          <w:b/>
          <w:color w:val="000000"/>
          <w:sz w:val="28"/>
          <w:szCs w:val="28"/>
        </w:rPr>
      </w:pPr>
      <w:bookmarkStart w:id="7" w:name="_Toc69256866"/>
      <w:bookmarkStart w:id="8" w:name="_Toc69256846"/>
      <w:r>
        <w:rPr>
          <w:rFonts w:ascii="Times New Roman" w:eastAsia="黑体" w:hAnsi="Times New Roman" w:cs="Times New Roman" w:hint="eastAsia"/>
          <w:b/>
          <w:color w:val="000000"/>
          <w:sz w:val="28"/>
          <w:szCs w:val="28"/>
        </w:rPr>
        <w:lastRenderedPageBreak/>
        <w:t>第一题</w:t>
      </w:r>
      <w:bookmarkEnd w:id="7"/>
      <w:bookmarkEnd w:id="8"/>
    </w:p>
    <w:p w14:paraId="3954E7F0"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）青岛北洋天青数联智能股份有限公司（以下简称标的资产或北洋天青）于</w:t>
      </w:r>
      <w:r>
        <w:rPr>
          <w:rFonts w:ascii="Times New Roman" w:eastAsia="黑体" w:hAnsi="Times New Roman" w:cs="Times New Roman" w:hint="eastAsia"/>
          <w:b/>
          <w:color w:val="000000"/>
          <w:szCs w:val="21"/>
        </w:rPr>
        <w:t>2013</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11</w:t>
      </w:r>
      <w:r>
        <w:rPr>
          <w:rFonts w:ascii="Times New Roman" w:eastAsia="黑体" w:hAnsi="Times New Roman" w:cs="Times New Roman" w:hint="eastAsia"/>
          <w:b/>
          <w:color w:val="000000"/>
          <w:szCs w:val="21"/>
        </w:rPr>
        <w:t>月成立，成立时间较短；报告期内资产规模、业务规模和盈利规模较小。</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）根据备考数据，本次交易对上市公司盈利能力提升幅度较小。</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）本次交易有利于智能生产线整体解决方案业务与上市公司原有的压力容器业务协同发展，上市公司将充分分享标的资产在智能制造领域的技术积累及优势资源，助力上市公司推进产业转型。请你公司：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）结合北洋天青业务、资产和财务指标、技术优势、市场地位等情况，补充披露本次收购必要性，并说明交易是否有利于上市公司增强持续盈利能力。</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上市公司与标的资产主业是否存在显著协同效应及其认定理由，如否，补充披露上市公司是否具备充足的家电智能制造行业知识、经营管理能力、资源整合能力及营销能力，交易完成后能否在有效控制管理成本的前提下整合和管控标的资产，对潜在整合风险有何应对措施。请独立财务顾问核查并发表明确意见。</w:t>
      </w:r>
    </w:p>
    <w:p w14:paraId="0952C7B8" w14:textId="77777777" w:rsidR="000A0ACD" w:rsidRDefault="00362A99">
      <w:pPr>
        <w:pStyle w:val="affffd"/>
        <w:spacing w:before="156"/>
        <w:ind w:firstLine="482"/>
        <w:rPr>
          <w:b/>
        </w:rPr>
      </w:pPr>
      <w:r>
        <w:rPr>
          <w:rFonts w:hint="eastAsia"/>
          <w:b/>
        </w:rPr>
        <w:t>【回复说明】</w:t>
      </w:r>
    </w:p>
    <w:p w14:paraId="47C4960A"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）结合北洋天青业务、资产和财务指标、技术优势、市场地位等情况，</w:t>
      </w:r>
      <w:r>
        <w:rPr>
          <w:rFonts w:ascii="Times New Roman" w:eastAsia="黑体" w:hAnsi="Times New Roman" w:cs="Times New Roman" w:hint="eastAsia"/>
          <w:b/>
          <w:color w:val="000000" w:themeColor="text1"/>
          <w:szCs w:val="21"/>
        </w:rPr>
        <w:t>补充披露</w:t>
      </w:r>
      <w:r>
        <w:rPr>
          <w:rFonts w:ascii="Times New Roman" w:eastAsia="黑体" w:hAnsi="Times New Roman" w:cs="Times New Roman" w:hint="eastAsia"/>
          <w:b/>
          <w:color w:val="000000"/>
          <w:szCs w:val="21"/>
        </w:rPr>
        <w:t>本次收购必要性，并说明交易是否有利于上市公司增强持续盈利能力。</w:t>
      </w:r>
    </w:p>
    <w:p w14:paraId="5BBCE050"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bookmarkStart w:id="9" w:name="_Hlk66561748"/>
      <w:r>
        <w:rPr>
          <w:rFonts w:ascii="Times New Roman" w:hAnsi="Times New Roman" w:cs="Times New Roman" w:hint="eastAsia"/>
          <w:b/>
          <w:color w:val="000000"/>
          <w:szCs w:val="21"/>
        </w:rPr>
        <w:t>一、</w:t>
      </w:r>
      <w:r>
        <w:rPr>
          <w:rFonts w:ascii="Times New Roman" w:hAnsi="Times New Roman" w:cs="Times New Roman" w:hint="eastAsia"/>
          <w:b/>
          <w:color w:val="000000"/>
        </w:rPr>
        <w:t>本次收购有利于拓展上市公司的业务范围</w:t>
      </w:r>
    </w:p>
    <w:bookmarkEnd w:id="9"/>
    <w:p w14:paraId="77F63F5E"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根据项目组对上市公司相关人员的访谈和沟通，本次交易符合京城机电集团加快构建高精尖产业结构的战略规划，有利于加强上市公司及京城机电集团在智能制造领域的业务布局。</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年，上市公司控股股东京城机电加快构建“高精尖”产业结构。</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年，京城机电集团下属公司与京国瑞基金、春霖基金等战略投资投资者共同完成北京京城智通机器人科技有限公司的收购工作，京城机电集团间接持有北京京城智通机器人科技有限公司</w:t>
      </w:r>
      <w:r>
        <w:rPr>
          <w:rFonts w:ascii="Times New Roman" w:hAnsi="Times New Roman" w:cs="Times New Roman" w:hint="eastAsia"/>
          <w:bCs/>
          <w:color w:val="000000"/>
          <w:szCs w:val="21"/>
        </w:rPr>
        <w:t>13.72%</w:t>
      </w:r>
      <w:r>
        <w:rPr>
          <w:rFonts w:ascii="Times New Roman" w:hAnsi="Times New Roman" w:cs="Times New Roman" w:hint="eastAsia"/>
          <w:bCs/>
          <w:color w:val="000000"/>
          <w:szCs w:val="21"/>
        </w:rPr>
        <w:t>的股权，标志着京城机电集团布局机器人及智能制造产业迈出重要的一步。</w:t>
      </w:r>
    </w:p>
    <w:p w14:paraId="3CE9DEFA"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通过本次重组，上市公司在原有压力容器的研发、生产加工及销售业务稳步发展的基础上，将智能制造领域行业前景良好、盈利能力较强的优质民营企业注入上市公司，实现优势互补，有利于形成合力，提升上市公司整体竞争优势，拓</w:t>
      </w:r>
      <w:r>
        <w:rPr>
          <w:rFonts w:ascii="Times New Roman" w:hAnsi="Times New Roman" w:cs="Times New Roman" w:hint="eastAsia"/>
          <w:bCs/>
          <w:color w:val="000000"/>
          <w:szCs w:val="21"/>
        </w:rPr>
        <w:lastRenderedPageBreak/>
        <w:t>展上市公司业务范围和市场空间，进一步拓宽盈利来源，强化上市公司的持续经营能力。</w:t>
      </w:r>
    </w:p>
    <w:p w14:paraId="731BF0F6"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二、本次收购有利于实现上市公司资产规模的扩张和财务指标的改善</w:t>
      </w:r>
    </w:p>
    <w:p w14:paraId="11F80CE6"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本次交易完成前后上市公司资产状况和主要财务指标分析如下：</w:t>
      </w:r>
    </w:p>
    <w:p w14:paraId="74138D06"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（一）资产及构成分析</w:t>
      </w:r>
    </w:p>
    <w:p w14:paraId="2D16053C"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15"/>
        <w:gridCol w:w="1207"/>
        <w:gridCol w:w="1248"/>
        <w:gridCol w:w="969"/>
        <w:gridCol w:w="1191"/>
        <w:gridCol w:w="1249"/>
        <w:gridCol w:w="943"/>
      </w:tblGrid>
      <w:tr w:rsidR="000A0ACD" w14:paraId="20976055" w14:textId="77777777">
        <w:trPr>
          <w:trHeight w:val="397"/>
          <w:tblHeader/>
          <w:jc w:val="center"/>
        </w:trPr>
        <w:tc>
          <w:tcPr>
            <w:tcW w:w="1007" w:type="pct"/>
            <w:vMerge w:val="restart"/>
            <w:tcBorders>
              <w:top w:val="single" w:sz="12" w:space="0" w:color="auto"/>
              <w:left w:val="nil"/>
              <w:bottom w:val="single" w:sz="4" w:space="0" w:color="auto"/>
              <w:right w:val="single" w:sz="4" w:space="0" w:color="auto"/>
            </w:tcBorders>
            <w:vAlign w:val="center"/>
          </w:tcPr>
          <w:p w14:paraId="40D3918F"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项目</w:t>
            </w:r>
          </w:p>
        </w:tc>
        <w:tc>
          <w:tcPr>
            <w:tcW w:w="2008" w:type="pct"/>
            <w:gridSpan w:val="3"/>
            <w:tcBorders>
              <w:top w:val="single" w:sz="12" w:space="0" w:color="auto"/>
              <w:left w:val="single" w:sz="4" w:space="0" w:color="auto"/>
              <w:bottom w:val="single" w:sz="4" w:space="0" w:color="auto"/>
              <w:right w:val="single" w:sz="4" w:space="0" w:color="auto"/>
            </w:tcBorders>
            <w:vAlign w:val="center"/>
          </w:tcPr>
          <w:p w14:paraId="0F83EEB9"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2020</w:t>
            </w:r>
            <w:r>
              <w:rPr>
                <w:rFonts w:ascii="Times New Roman" w:hAnsi="Times New Roman" w:cs="Times New Roman" w:hint="eastAsia"/>
                <w:b/>
                <w:color w:val="000000"/>
                <w:sz w:val="21"/>
                <w:szCs w:val="21"/>
                <w:lang w:val="en-GB"/>
              </w:rPr>
              <w:t>年</w:t>
            </w:r>
            <w:r>
              <w:rPr>
                <w:rFonts w:ascii="Times New Roman" w:hAnsi="Times New Roman" w:cs="Times New Roman"/>
                <w:b/>
                <w:color w:val="000000"/>
                <w:sz w:val="21"/>
                <w:szCs w:val="21"/>
              </w:rPr>
              <w:t>12</w:t>
            </w:r>
            <w:r>
              <w:rPr>
                <w:rFonts w:ascii="Times New Roman" w:hAnsi="Times New Roman" w:cs="Times New Roman" w:hint="eastAsia"/>
                <w:b/>
                <w:color w:val="000000"/>
                <w:sz w:val="21"/>
                <w:szCs w:val="21"/>
                <w:lang w:val="en-GB"/>
              </w:rPr>
              <w:t>月</w:t>
            </w:r>
            <w:r>
              <w:rPr>
                <w:rFonts w:ascii="Times New Roman" w:hAnsi="Times New Roman" w:cs="Times New Roman"/>
                <w:b/>
                <w:color w:val="000000"/>
                <w:sz w:val="21"/>
                <w:szCs w:val="21"/>
              </w:rPr>
              <w:t>31</w:t>
            </w:r>
            <w:r>
              <w:rPr>
                <w:rFonts w:ascii="Times New Roman" w:hAnsi="Times New Roman" w:cs="Times New Roman" w:hint="eastAsia"/>
                <w:b/>
                <w:color w:val="000000"/>
                <w:sz w:val="21"/>
                <w:szCs w:val="21"/>
                <w:lang w:val="en-GB"/>
              </w:rPr>
              <w:t>日</w:t>
            </w:r>
          </w:p>
        </w:tc>
        <w:tc>
          <w:tcPr>
            <w:tcW w:w="1985" w:type="pct"/>
            <w:gridSpan w:val="3"/>
            <w:tcBorders>
              <w:top w:val="single" w:sz="12" w:space="0" w:color="auto"/>
              <w:left w:val="single" w:sz="4" w:space="0" w:color="auto"/>
              <w:bottom w:val="single" w:sz="4" w:space="0" w:color="auto"/>
              <w:right w:val="nil"/>
            </w:tcBorders>
            <w:vAlign w:val="center"/>
          </w:tcPr>
          <w:p w14:paraId="5369E587"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2019</w:t>
            </w:r>
            <w:r>
              <w:rPr>
                <w:rFonts w:ascii="Times New Roman" w:hAnsi="Times New Roman" w:cs="Times New Roman" w:hint="eastAsia"/>
                <w:b/>
                <w:color w:val="000000"/>
                <w:sz w:val="21"/>
                <w:szCs w:val="21"/>
                <w:lang w:val="en-GB"/>
              </w:rPr>
              <w:t>年</w:t>
            </w:r>
            <w:r>
              <w:rPr>
                <w:rFonts w:ascii="Times New Roman" w:hAnsi="Times New Roman" w:cs="Times New Roman" w:hint="eastAsia"/>
                <w:b/>
                <w:color w:val="000000"/>
                <w:sz w:val="21"/>
                <w:szCs w:val="21"/>
                <w:lang w:val="en-GB"/>
              </w:rPr>
              <w:t>12</w:t>
            </w:r>
            <w:r>
              <w:rPr>
                <w:rFonts w:ascii="Times New Roman" w:hAnsi="Times New Roman" w:cs="Times New Roman" w:hint="eastAsia"/>
                <w:b/>
                <w:color w:val="000000"/>
                <w:sz w:val="21"/>
                <w:szCs w:val="21"/>
                <w:lang w:val="en-GB"/>
              </w:rPr>
              <w:t>月</w:t>
            </w:r>
            <w:r>
              <w:rPr>
                <w:rFonts w:ascii="Times New Roman" w:hAnsi="Times New Roman" w:cs="Times New Roman" w:hint="eastAsia"/>
                <w:b/>
                <w:color w:val="000000"/>
                <w:sz w:val="21"/>
                <w:szCs w:val="21"/>
                <w:lang w:val="en-GB"/>
              </w:rPr>
              <w:t>31</w:t>
            </w:r>
            <w:r>
              <w:rPr>
                <w:rFonts w:ascii="Times New Roman" w:hAnsi="Times New Roman" w:cs="Times New Roman" w:hint="eastAsia"/>
                <w:b/>
                <w:color w:val="000000"/>
                <w:sz w:val="21"/>
                <w:szCs w:val="21"/>
                <w:lang w:val="en-GB"/>
              </w:rPr>
              <w:t>日</w:t>
            </w:r>
          </w:p>
        </w:tc>
      </w:tr>
      <w:tr w:rsidR="000A0ACD" w14:paraId="6C0235B3" w14:textId="77777777">
        <w:trPr>
          <w:trHeight w:val="397"/>
          <w:tblHeader/>
          <w:jc w:val="center"/>
        </w:trPr>
        <w:tc>
          <w:tcPr>
            <w:tcW w:w="0" w:type="auto"/>
            <w:vMerge/>
            <w:tcBorders>
              <w:top w:val="single" w:sz="12" w:space="0" w:color="auto"/>
              <w:left w:val="nil"/>
              <w:bottom w:val="single" w:sz="4" w:space="0" w:color="auto"/>
              <w:right w:val="single" w:sz="4" w:space="0" w:color="auto"/>
            </w:tcBorders>
            <w:vAlign w:val="center"/>
          </w:tcPr>
          <w:p w14:paraId="6A57731E" w14:textId="77777777" w:rsidR="000A0ACD" w:rsidRDefault="000A0ACD">
            <w:pPr>
              <w:jc w:val="center"/>
              <w:rPr>
                <w:rFonts w:ascii="Times New Roman" w:hAnsi="Times New Roman" w:cs="Times New Roman"/>
                <w:b/>
                <w:color w:val="000000"/>
                <w:sz w:val="21"/>
                <w:szCs w:val="21"/>
                <w:lang w:val="en-GB"/>
              </w:rPr>
            </w:pPr>
          </w:p>
        </w:tc>
        <w:tc>
          <w:tcPr>
            <w:tcW w:w="709" w:type="pct"/>
            <w:tcBorders>
              <w:top w:val="single" w:sz="4" w:space="0" w:color="auto"/>
              <w:left w:val="single" w:sz="4" w:space="0" w:color="auto"/>
              <w:bottom w:val="single" w:sz="4" w:space="0" w:color="auto"/>
              <w:right w:val="single" w:sz="4" w:space="0" w:color="auto"/>
            </w:tcBorders>
            <w:vAlign w:val="center"/>
          </w:tcPr>
          <w:p w14:paraId="37E848B9"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交易前</w:t>
            </w:r>
          </w:p>
        </w:tc>
        <w:tc>
          <w:tcPr>
            <w:tcW w:w="733" w:type="pct"/>
            <w:tcBorders>
              <w:top w:val="single" w:sz="4" w:space="0" w:color="auto"/>
              <w:left w:val="single" w:sz="4" w:space="0" w:color="auto"/>
              <w:bottom w:val="single" w:sz="4" w:space="0" w:color="auto"/>
              <w:right w:val="single" w:sz="4" w:space="0" w:color="auto"/>
            </w:tcBorders>
            <w:vAlign w:val="center"/>
          </w:tcPr>
          <w:p w14:paraId="653AC097"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交易后</w:t>
            </w:r>
          </w:p>
          <w:p w14:paraId="19FB4377"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（备考）</w:t>
            </w:r>
          </w:p>
        </w:tc>
        <w:tc>
          <w:tcPr>
            <w:tcW w:w="566" w:type="pct"/>
            <w:tcBorders>
              <w:top w:val="single" w:sz="4" w:space="0" w:color="auto"/>
              <w:left w:val="single" w:sz="4" w:space="0" w:color="auto"/>
              <w:bottom w:val="single" w:sz="4" w:space="0" w:color="auto"/>
              <w:right w:val="single" w:sz="4" w:space="0" w:color="auto"/>
            </w:tcBorders>
            <w:vAlign w:val="center"/>
          </w:tcPr>
          <w:p w14:paraId="5757E134"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变动率</w:t>
            </w:r>
          </w:p>
        </w:tc>
        <w:tc>
          <w:tcPr>
            <w:tcW w:w="699" w:type="pct"/>
            <w:tcBorders>
              <w:top w:val="single" w:sz="4" w:space="0" w:color="auto"/>
              <w:left w:val="single" w:sz="4" w:space="0" w:color="auto"/>
              <w:bottom w:val="single" w:sz="4" w:space="0" w:color="auto"/>
              <w:right w:val="single" w:sz="4" w:space="0" w:color="auto"/>
            </w:tcBorders>
            <w:vAlign w:val="center"/>
          </w:tcPr>
          <w:p w14:paraId="616771D6"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交易前</w:t>
            </w:r>
          </w:p>
        </w:tc>
        <w:tc>
          <w:tcPr>
            <w:tcW w:w="733" w:type="pct"/>
            <w:tcBorders>
              <w:top w:val="single" w:sz="4" w:space="0" w:color="auto"/>
              <w:left w:val="single" w:sz="4" w:space="0" w:color="auto"/>
              <w:bottom w:val="single" w:sz="4" w:space="0" w:color="auto"/>
              <w:right w:val="single" w:sz="4" w:space="0" w:color="auto"/>
            </w:tcBorders>
            <w:vAlign w:val="center"/>
          </w:tcPr>
          <w:p w14:paraId="588718CD"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交易后</w:t>
            </w:r>
          </w:p>
          <w:p w14:paraId="51CF4631"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（备考）</w:t>
            </w:r>
          </w:p>
        </w:tc>
        <w:tc>
          <w:tcPr>
            <w:tcW w:w="554" w:type="pct"/>
            <w:tcBorders>
              <w:top w:val="single" w:sz="4" w:space="0" w:color="auto"/>
              <w:left w:val="single" w:sz="4" w:space="0" w:color="auto"/>
              <w:bottom w:val="single" w:sz="4" w:space="0" w:color="auto"/>
              <w:right w:val="nil"/>
            </w:tcBorders>
            <w:vAlign w:val="center"/>
          </w:tcPr>
          <w:p w14:paraId="17C497DA"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变动率</w:t>
            </w:r>
          </w:p>
        </w:tc>
      </w:tr>
      <w:tr w:rsidR="000A0ACD" w14:paraId="694C2A3F"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2BD2F403"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货币资金</w:t>
            </w:r>
          </w:p>
        </w:tc>
        <w:tc>
          <w:tcPr>
            <w:tcW w:w="709" w:type="pct"/>
            <w:tcBorders>
              <w:top w:val="single" w:sz="4" w:space="0" w:color="auto"/>
              <w:left w:val="single" w:sz="4" w:space="0" w:color="auto"/>
              <w:bottom w:val="single" w:sz="4" w:space="0" w:color="auto"/>
              <w:right w:val="single" w:sz="4" w:space="0" w:color="auto"/>
            </w:tcBorders>
            <w:vAlign w:val="center"/>
          </w:tcPr>
          <w:p w14:paraId="56E7E4CA"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27,906.75</w:t>
            </w:r>
          </w:p>
        </w:tc>
        <w:tc>
          <w:tcPr>
            <w:tcW w:w="733" w:type="pct"/>
            <w:tcBorders>
              <w:top w:val="single" w:sz="4" w:space="0" w:color="auto"/>
              <w:left w:val="single" w:sz="4" w:space="0" w:color="auto"/>
              <w:bottom w:val="single" w:sz="4" w:space="0" w:color="auto"/>
              <w:right w:val="single" w:sz="4" w:space="0" w:color="auto"/>
            </w:tcBorders>
            <w:vAlign w:val="center"/>
          </w:tcPr>
          <w:p w14:paraId="19410116"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36,961.96</w:t>
            </w:r>
          </w:p>
        </w:tc>
        <w:tc>
          <w:tcPr>
            <w:tcW w:w="566" w:type="pct"/>
            <w:tcBorders>
              <w:top w:val="single" w:sz="4" w:space="0" w:color="auto"/>
              <w:left w:val="single" w:sz="4" w:space="0" w:color="auto"/>
              <w:bottom w:val="single" w:sz="4" w:space="0" w:color="auto"/>
              <w:right w:val="single" w:sz="4" w:space="0" w:color="auto"/>
            </w:tcBorders>
            <w:vAlign w:val="center"/>
          </w:tcPr>
          <w:p w14:paraId="6DD36B73" w14:textId="77777777" w:rsidR="000A0ACD" w:rsidRDefault="00362A99">
            <w:pPr>
              <w:jc w:val="right"/>
              <w:rPr>
                <w:rFonts w:ascii="Times New Roman" w:hAnsi="Times New Roman" w:cs="Times New Roman"/>
                <w:sz w:val="21"/>
                <w:szCs w:val="21"/>
                <w:lang w:val="en-GB"/>
              </w:rPr>
            </w:pPr>
            <w:r>
              <w:rPr>
                <w:rFonts w:ascii="Times New Roman" w:hAnsi="Times New Roman" w:cs="Times New Roman"/>
                <w:color w:val="000000"/>
                <w:sz w:val="21"/>
                <w:szCs w:val="21"/>
              </w:rPr>
              <w:t>32.45%</w:t>
            </w:r>
          </w:p>
        </w:tc>
        <w:tc>
          <w:tcPr>
            <w:tcW w:w="699" w:type="pct"/>
            <w:tcBorders>
              <w:top w:val="single" w:sz="4" w:space="0" w:color="auto"/>
              <w:left w:val="single" w:sz="4" w:space="0" w:color="auto"/>
              <w:bottom w:val="single" w:sz="4" w:space="0" w:color="auto"/>
              <w:right w:val="single" w:sz="4" w:space="0" w:color="auto"/>
            </w:tcBorders>
            <w:vAlign w:val="center"/>
          </w:tcPr>
          <w:p w14:paraId="62CE1F66"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8,350.93</w:t>
            </w:r>
          </w:p>
        </w:tc>
        <w:tc>
          <w:tcPr>
            <w:tcW w:w="733" w:type="pct"/>
            <w:tcBorders>
              <w:top w:val="single" w:sz="4" w:space="0" w:color="auto"/>
              <w:left w:val="single" w:sz="4" w:space="0" w:color="auto"/>
              <w:bottom w:val="single" w:sz="4" w:space="0" w:color="auto"/>
              <w:right w:val="single" w:sz="4" w:space="0" w:color="auto"/>
            </w:tcBorders>
            <w:vAlign w:val="center"/>
          </w:tcPr>
          <w:p w14:paraId="18977961"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11,013.57</w:t>
            </w:r>
          </w:p>
        </w:tc>
        <w:tc>
          <w:tcPr>
            <w:tcW w:w="554" w:type="pct"/>
            <w:tcBorders>
              <w:top w:val="single" w:sz="4" w:space="0" w:color="auto"/>
              <w:left w:val="single" w:sz="4" w:space="0" w:color="auto"/>
              <w:bottom w:val="single" w:sz="4" w:space="0" w:color="auto"/>
              <w:right w:val="nil"/>
            </w:tcBorders>
            <w:vAlign w:val="center"/>
          </w:tcPr>
          <w:p w14:paraId="0618323E"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31.88%</w:t>
            </w:r>
          </w:p>
        </w:tc>
      </w:tr>
      <w:tr w:rsidR="000A0ACD" w14:paraId="28417997"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29FD95CB"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应收票据</w:t>
            </w:r>
          </w:p>
        </w:tc>
        <w:tc>
          <w:tcPr>
            <w:tcW w:w="709" w:type="pct"/>
            <w:tcBorders>
              <w:top w:val="single" w:sz="4" w:space="0" w:color="auto"/>
              <w:left w:val="single" w:sz="4" w:space="0" w:color="auto"/>
              <w:bottom w:val="single" w:sz="4" w:space="0" w:color="auto"/>
              <w:right w:val="single" w:sz="4" w:space="0" w:color="auto"/>
            </w:tcBorders>
            <w:vAlign w:val="center"/>
          </w:tcPr>
          <w:p w14:paraId="00685D99"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w:t>
            </w:r>
          </w:p>
        </w:tc>
        <w:tc>
          <w:tcPr>
            <w:tcW w:w="733" w:type="pct"/>
            <w:tcBorders>
              <w:top w:val="single" w:sz="4" w:space="0" w:color="auto"/>
              <w:left w:val="single" w:sz="4" w:space="0" w:color="auto"/>
              <w:bottom w:val="single" w:sz="4" w:space="0" w:color="auto"/>
              <w:right w:val="single" w:sz="4" w:space="0" w:color="auto"/>
            </w:tcBorders>
            <w:vAlign w:val="center"/>
          </w:tcPr>
          <w:p w14:paraId="3EDB69AF"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2,501.83</w:t>
            </w:r>
          </w:p>
        </w:tc>
        <w:tc>
          <w:tcPr>
            <w:tcW w:w="566" w:type="pct"/>
            <w:tcBorders>
              <w:top w:val="single" w:sz="4" w:space="0" w:color="auto"/>
              <w:left w:val="single" w:sz="4" w:space="0" w:color="auto"/>
              <w:bottom w:val="single" w:sz="4" w:space="0" w:color="auto"/>
              <w:right w:val="single" w:sz="4" w:space="0" w:color="auto"/>
            </w:tcBorders>
            <w:vAlign w:val="center"/>
          </w:tcPr>
          <w:p w14:paraId="027233C6" w14:textId="77777777" w:rsidR="000A0ACD" w:rsidRDefault="00362A99">
            <w:pPr>
              <w:jc w:val="right"/>
              <w:rPr>
                <w:rFonts w:ascii="Times New Roman" w:hAnsi="Times New Roman" w:cs="Times New Roman"/>
                <w:sz w:val="21"/>
                <w:szCs w:val="21"/>
                <w:lang w:val="en-GB"/>
              </w:rPr>
            </w:pPr>
            <w:r>
              <w:rPr>
                <w:rFonts w:ascii="Times New Roman" w:hAnsi="Times New Roman" w:cs="Times New Roman" w:hint="eastAsia"/>
                <w:color w:val="000000"/>
                <w:sz w:val="21"/>
                <w:szCs w:val="21"/>
              </w:rPr>
              <w:t>不适用</w:t>
            </w:r>
          </w:p>
        </w:tc>
        <w:tc>
          <w:tcPr>
            <w:tcW w:w="699" w:type="pct"/>
            <w:tcBorders>
              <w:top w:val="single" w:sz="4" w:space="0" w:color="auto"/>
              <w:left w:val="single" w:sz="4" w:space="0" w:color="auto"/>
              <w:bottom w:val="single" w:sz="4" w:space="0" w:color="auto"/>
              <w:right w:val="single" w:sz="4" w:space="0" w:color="auto"/>
            </w:tcBorders>
            <w:vAlign w:val="center"/>
          </w:tcPr>
          <w:p w14:paraId="7238E295"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w:t>
            </w:r>
          </w:p>
        </w:tc>
        <w:tc>
          <w:tcPr>
            <w:tcW w:w="733" w:type="pct"/>
            <w:tcBorders>
              <w:top w:val="single" w:sz="4" w:space="0" w:color="auto"/>
              <w:left w:val="single" w:sz="4" w:space="0" w:color="auto"/>
              <w:bottom w:val="single" w:sz="4" w:space="0" w:color="auto"/>
              <w:right w:val="single" w:sz="4" w:space="0" w:color="auto"/>
            </w:tcBorders>
            <w:vAlign w:val="center"/>
          </w:tcPr>
          <w:p w14:paraId="0B595C0E"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433.41</w:t>
            </w:r>
          </w:p>
        </w:tc>
        <w:tc>
          <w:tcPr>
            <w:tcW w:w="554" w:type="pct"/>
            <w:tcBorders>
              <w:top w:val="single" w:sz="4" w:space="0" w:color="auto"/>
              <w:left w:val="single" w:sz="4" w:space="0" w:color="auto"/>
              <w:bottom w:val="single" w:sz="4" w:space="0" w:color="auto"/>
              <w:right w:val="nil"/>
            </w:tcBorders>
            <w:vAlign w:val="center"/>
          </w:tcPr>
          <w:p w14:paraId="7E2D3B1B"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不适用</w:t>
            </w:r>
          </w:p>
        </w:tc>
      </w:tr>
      <w:tr w:rsidR="000A0ACD" w14:paraId="6C0970B4"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72E25637"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应收账款</w:t>
            </w:r>
          </w:p>
        </w:tc>
        <w:tc>
          <w:tcPr>
            <w:tcW w:w="709" w:type="pct"/>
            <w:tcBorders>
              <w:top w:val="single" w:sz="4" w:space="0" w:color="auto"/>
              <w:left w:val="single" w:sz="4" w:space="0" w:color="auto"/>
              <w:bottom w:val="single" w:sz="4" w:space="0" w:color="auto"/>
              <w:right w:val="single" w:sz="4" w:space="0" w:color="auto"/>
            </w:tcBorders>
            <w:vAlign w:val="center"/>
          </w:tcPr>
          <w:p w14:paraId="70127D4E"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19,192.92</w:t>
            </w:r>
          </w:p>
        </w:tc>
        <w:tc>
          <w:tcPr>
            <w:tcW w:w="733" w:type="pct"/>
            <w:tcBorders>
              <w:top w:val="single" w:sz="4" w:space="0" w:color="auto"/>
              <w:left w:val="single" w:sz="4" w:space="0" w:color="auto"/>
              <w:bottom w:val="single" w:sz="4" w:space="0" w:color="auto"/>
              <w:right w:val="single" w:sz="4" w:space="0" w:color="auto"/>
            </w:tcBorders>
            <w:vAlign w:val="center"/>
          </w:tcPr>
          <w:p w14:paraId="105E06F6"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23,938.83</w:t>
            </w:r>
          </w:p>
        </w:tc>
        <w:tc>
          <w:tcPr>
            <w:tcW w:w="566" w:type="pct"/>
            <w:tcBorders>
              <w:top w:val="single" w:sz="4" w:space="0" w:color="auto"/>
              <w:left w:val="single" w:sz="4" w:space="0" w:color="auto"/>
              <w:bottom w:val="single" w:sz="4" w:space="0" w:color="auto"/>
              <w:right w:val="single" w:sz="4" w:space="0" w:color="auto"/>
            </w:tcBorders>
            <w:vAlign w:val="center"/>
          </w:tcPr>
          <w:p w14:paraId="023DB4F5" w14:textId="77777777" w:rsidR="000A0ACD" w:rsidRDefault="00362A99">
            <w:pPr>
              <w:jc w:val="right"/>
              <w:rPr>
                <w:rFonts w:ascii="Times New Roman" w:hAnsi="Times New Roman" w:cs="Times New Roman"/>
                <w:sz w:val="21"/>
                <w:szCs w:val="21"/>
                <w:lang w:val="en-GB"/>
              </w:rPr>
            </w:pPr>
            <w:r>
              <w:rPr>
                <w:rFonts w:ascii="Times New Roman" w:hAnsi="Times New Roman" w:cs="Times New Roman"/>
                <w:color w:val="000000"/>
                <w:sz w:val="21"/>
                <w:szCs w:val="21"/>
              </w:rPr>
              <w:t>24.73%</w:t>
            </w:r>
          </w:p>
        </w:tc>
        <w:tc>
          <w:tcPr>
            <w:tcW w:w="699" w:type="pct"/>
            <w:tcBorders>
              <w:top w:val="single" w:sz="4" w:space="0" w:color="auto"/>
              <w:left w:val="single" w:sz="4" w:space="0" w:color="auto"/>
              <w:bottom w:val="single" w:sz="4" w:space="0" w:color="auto"/>
              <w:right w:val="single" w:sz="4" w:space="0" w:color="auto"/>
            </w:tcBorders>
            <w:vAlign w:val="center"/>
          </w:tcPr>
          <w:p w14:paraId="1453C737"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19,022.67</w:t>
            </w:r>
          </w:p>
        </w:tc>
        <w:tc>
          <w:tcPr>
            <w:tcW w:w="733" w:type="pct"/>
            <w:tcBorders>
              <w:top w:val="single" w:sz="4" w:space="0" w:color="auto"/>
              <w:left w:val="single" w:sz="4" w:space="0" w:color="auto"/>
              <w:bottom w:val="single" w:sz="4" w:space="0" w:color="auto"/>
              <w:right w:val="single" w:sz="4" w:space="0" w:color="auto"/>
            </w:tcBorders>
            <w:vAlign w:val="center"/>
          </w:tcPr>
          <w:p w14:paraId="6D0E42E6"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22,148.93</w:t>
            </w:r>
          </w:p>
        </w:tc>
        <w:tc>
          <w:tcPr>
            <w:tcW w:w="554" w:type="pct"/>
            <w:tcBorders>
              <w:top w:val="single" w:sz="4" w:space="0" w:color="auto"/>
              <w:left w:val="single" w:sz="4" w:space="0" w:color="auto"/>
              <w:bottom w:val="single" w:sz="4" w:space="0" w:color="auto"/>
              <w:right w:val="nil"/>
            </w:tcBorders>
            <w:vAlign w:val="center"/>
          </w:tcPr>
          <w:p w14:paraId="5729720E"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16.43%</w:t>
            </w:r>
          </w:p>
        </w:tc>
      </w:tr>
      <w:tr w:rsidR="000A0ACD" w14:paraId="5DB1A88F"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41359FA1"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应收款项融资</w:t>
            </w:r>
          </w:p>
        </w:tc>
        <w:tc>
          <w:tcPr>
            <w:tcW w:w="709" w:type="pct"/>
            <w:tcBorders>
              <w:top w:val="single" w:sz="4" w:space="0" w:color="auto"/>
              <w:left w:val="single" w:sz="4" w:space="0" w:color="auto"/>
              <w:bottom w:val="single" w:sz="4" w:space="0" w:color="auto"/>
              <w:right w:val="single" w:sz="4" w:space="0" w:color="auto"/>
            </w:tcBorders>
            <w:vAlign w:val="center"/>
          </w:tcPr>
          <w:p w14:paraId="4139AF3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415.33</w:t>
            </w:r>
          </w:p>
        </w:tc>
        <w:tc>
          <w:tcPr>
            <w:tcW w:w="733" w:type="pct"/>
            <w:tcBorders>
              <w:top w:val="single" w:sz="4" w:space="0" w:color="auto"/>
              <w:left w:val="single" w:sz="4" w:space="0" w:color="auto"/>
              <w:bottom w:val="single" w:sz="4" w:space="0" w:color="auto"/>
              <w:right w:val="single" w:sz="4" w:space="0" w:color="auto"/>
            </w:tcBorders>
            <w:vAlign w:val="center"/>
          </w:tcPr>
          <w:p w14:paraId="5D04A98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2,578.04</w:t>
            </w:r>
          </w:p>
        </w:tc>
        <w:tc>
          <w:tcPr>
            <w:tcW w:w="566" w:type="pct"/>
            <w:tcBorders>
              <w:top w:val="single" w:sz="4" w:space="0" w:color="auto"/>
              <w:left w:val="single" w:sz="4" w:space="0" w:color="auto"/>
              <w:bottom w:val="single" w:sz="4" w:space="0" w:color="auto"/>
              <w:right w:val="single" w:sz="4" w:space="0" w:color="auto"/>
            </w:tcBorders>
            <w:vAlign w:val="center"/>
          </w:tcPr>
          <w:p w14:paraId="16E7746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520.72%</w:t>
            </w:r>
          </w:p>
        </w:tc>
        <w:tc>
          <w:tcPr>
            <w:tcW w:w="699" w:type="pct"/>
            <w:tcBorders>
              <w:top w:val="single" w:sz="4" w:space="0" w:color="auto"/>
              <w:left w:val="single" w:sz="4" w:space="0" w:color="auto"/>
              <w:bottom w:val="single" w:sz="4" w:space="0" w:color="auto"/>
              <w:right w:val="single" w:sz="4" w:space="0" w:color="auto"/>
            </w:tcBorders>
            <w:vAlign w:val="center"/>
          </w:tcPr>
          <w:p w14:paraId="4868A81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824.74</w:t>
            </w:r>
          </w:p>
        </w:tc>
        <w:tc>
          <w:tcPr>
            <w:tcW w:w="733" w:type="pct"/>
            <w:tcBorders>
              <w:top w:val="single" w:sz="4" w:space="0" w:color="auto"/>
              <w:left w:val="single" w:sz="4" w:space="0" w:color="auto"/>
              <w:bottom w:val="single" w:sz="4" w:space="0" w:color="auto"/>
              <w:right w:val="single" w:sz="4" w:space="0" w:color="auto"/>
            </w:tcBorders>
            <w:vAlign w:val="center"/>
          </w:tcPr>
          <w:p w14:paraId="720682E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974.45</w:t>
            </w:r>
          </w:p>
        </w:tc>
        <w:tc>
          <w:tcPr>
            <w:tcW w:w="554" w:type="pct"/>
            <w:tcBorders>
              <w:top w:val="single" w:sz="4" w:space="0" w:color="auto"/>
              <w:left w:val="single" w:sz="4" w:space="0" w:color="auto"/>
              <w:bottom w:val="single" w:sz="4" w:space="0" w:color="auto"/>
              <w:right w:val="nil"/>
            </w:tcBorders>
            <w:vAlign w:val="center"/>
          </w:tcPr>
          <w:p w14:paraId="7ED8C95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18.15%</w:t>
            </w:r>
          </w:p>
        </w:tc>
      </w:tr>
      <w:tr w:rsidR="000A0ACD" w14:paraId="098C62AE"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039C6393"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预付款项</w:t>
            </w:r>
          </w:p>
        </w:tc>
        <w:tc>
          <w:tcPr>
            <w:tcW w:w="709" w:type="pct"/>
            <w:tcBorders>
              <w:top w:val="single" w:sz="4" w:space="0" w:color="auto"/>
              <w:left w:val="single" w:sz="4" w:space="0" w:color="auto"/>
              <w:bottom w:val="single" w:sz="4" w:space="0" w:color="auto"/>
              <w:right w:val="single" w:sz="4" w:space="0" w:color="auto"/>
            </w:tcBorders>
            <w:vAlign w:val="center"/>
          </w:tcPr>
          <w:p w14:paraId="21A4A7EA"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6,382.10</w:t>
            </w:r>
          </w:p>
        </w:tc>
        <w:tc>
          <w:tcPr>
            <w:tcW w:w="733" w:type="pct"/>
            <w:tcBorders>
              <w:top w:val="single" w:sz="4" w:space="0" w:color="auto"/>
              <w:left w:val="single" w:sz="4" w:space="0" w:color="auto"/>
              <w:bottom w:val="single" w:sz="4" w:space="0" w:color="auto"/>
              <w:right w:val="single" w:sz="4" w:space="0" w:color="auto"/>
            </w:tcBorders>
            <w:vAlign w:val="center"/>
          </w:tcPr>
          <w:p w14:paraId="44CA879C"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9,062.40</w:t>
            </w:r>
          </w:p>
        </w:tc>
        <w:tc>
          <w:tcPr>
            <w:tcW w:w="566" w:type="pct"/>
            <w:tcBorders>
              <w:top w:val="single" w:sz="4" w:space="0" w:color="auto"/>
              <w:left w:val="single" w:sz="4" w:space="0" w:color="auto"/>
              <w:bottom w:val="single" w:sz="4" w:space="0" w:color="auto"/>
              <w:right w:val="single" w:sz="4" w:space="0" w:color="auto"/>
            </w:tcBorders>
            <w:vAlign w:val="center"/>
          </w:tcPr>
          <w:p w14:paraId="28C15014" w14:textId="77777777" w:rsidR="000A0ACD" w:rsidRDefault="00362A99">
            <w:pPr>
              <w:jc w:val="right"/>
              <w:rPr>
                <w:rFonts w:ascii="Times New Roman" w:hAnsi="Times New Roman" w:cs="Times New Roman"/>
                <w:sz w:val="21"/>
                <w:szCs w:val="21"/>
                <w:lang w:val="en-GB"/>
              </w:rPr>
            </w:pPr>
            <w:r>
              <w:rPr>
                <w:rFonts w:ascii="Times New Roman" w:hAnsi="Times New Roman" w:cs="Times New Roman"/>
                <w:color w:val="000000"/>
                <w:sz w:val="21"/>
                <w:szCs w:val="21"/>
              </w:rPr>
              <w:t>42.00%</w:t>
            </w:r>
          </w:p>
        </w:tc>
        <w:tc>
          <w:tcPr>
            <w:tcW w:w="699" w:type="pct"/>
            <w:tcBorders>
              <w:top w:val="single" w:sz="4" w:space="0" w:color="auto"/>
              <w:left w:val="single" w:sz="4" w:space="0" w:color="auto"/>
              <w:bottom w:val="single" w:sz="4" w:space="0" w:color="auto"/>
              <w:right w:val="single" w:sz="4" w:space="0" w:color="auto"/>
            </w:tcBorders>
            <w:vAlign w:val="center"/>
          </w:tcPr>
          <w:p w14:paraId="1B29D208"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5,436.69</w:t>
            </w:r>
          </w:p>
        </w:tc>
        <w:tc>
          <w:tcPr>
            <w:tcW w:w="733" w:type="pct"/>
            <w:tcBorders>
              <w:top w:val="single" w:sz="4" w:space="0" w:color="auto"/>
              <w:left w:val="single" w:sz="4" w:space="0" w:color="auto"/>
              <w:bottom w:val="single" w:sz="4" w:space="0" w:color="auto"/>
              <w:right w:val="single" w:sz="4" w:space="0" w:color="auto"/>
            </w:tcBorders>
            <w:vAlign w:val="center"/>
          </w:tcPr>
          <w:p w14:paraId="2E6B2A50"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5,571.47</w:t>
            </w:r>
          </w:p>
        </w:tc>
        <w:tc>
          <w:tcPr>
            <w:tcW w:w="554" w:type="pct"/>
            <w:tcBorders>
              <w:top w:val="single" w:sz="4" w:space="0" w:color="auto"/>
              <w:left w:val="single" w:sz="4" w:space="0" w:color="auto"/>
              <w:bottom w:val="single" w:sz="4" w:space="0" w:color="auto"/>
              <w:right w:val="nil"/>
            </w:tcBorders>
            <w:vAlign w:val="center"/>
          </w:tcPr>
          <w:p w14:paraId="60431BBF"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2.48%</w:t>
            </w:r>
          </w:p>
        </w:tc>
      </w:tr>
      <w:tr w:rsidR="000A0ACD" w14:paraId="0D18D70F"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69B25D17"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其他应收款</w:t>
            </w:r>
          </w:p>
        </w:tc>
        <w:tc>
          <w:tcPr>
            <w:tcW w:w="709" w:type="pct"/>
            <w:tcBorders>
              <w:top w:val="single" w:sz="4" w:space="0" w:color="auto"/>
              <w:left w:val="single" w:sz="4" w:space="0" w:color="auto"/>
              <w:bottom w:val="single" w:sz="4" w:space="0" w:color="auto"/>
              <w:right w:val="single" w:sz="4" w:space="0" w:color="auto"/>
            </w:tcBorders>
            <w:vAlign w:val="center"/>
          </w:tcPr>
          <w:p w14:paraId="7AAA17D0"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870.61</w:t>
            </w:r>
          </w:p>
        </w:tc>
        <w:tc>
          <w:tcPr>
            <w:tcW w:w="733" w:type="pct"/>
            <w:tcBorders>
              <w:top w:val="single" w:sz="4" w:space="0" w:color="auto"/>
              <w:left w:val="single" w:sz="4" w:space="0" w:color="auto"/>
              <w:bottom w:val="single" w:sz="4" w:space="0" w:color="auto"/>
              <w:right w:val="single" w:sz="4" w:space="0" w:color="auto"/>
            </w:tcBorders>
            <w:vAlign w:val="center"/>
          </w:tcPr>
          <w:p w14:paraId="6A608C4F"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1,022.16</w:t>
            </w:r>
          </w:p>
        </w:tc>
        <w:tc>
          <w:tcPr>
            <w:tcW w:w="566" w:type="pct"/>
            <w:tcBorders>
              <w:top w:val="single" w:sz="4" w:space="0" w:color="auto"/>
              <w:left w:val="single" w:sz="4" w:space="0" w:color="auto"/>
              <w:bottom w:val="single" w:sz="4" w:space="0" w:color="auto"/>
              <w:right w:val="single" w:sz="4" w:space="0" w:color="auto"/>
            </w:tcBorders>
            <w:vAlign w:val="center"/>
          </w:tcPr>
          <w:p w14:paraId="14F39562" w14:textId="77777777" w:rsidR="000A0ACD" w:rsidRDefault="00362A99">
            <w:pPr>
              <w:jc w:val="right"/>
              <w:rPr>
                <w:rFonts w:ascii="Times New Roman" w:hAnsi="Times New Roman" w:cs="Times New Roman"/>
                <w:sz w:val="21"/>
                <w:szCs w:val="21"/>
                <w:lang w:val="en-GB"/>
              </w:rPr>
            </w:pPr>
            <w:r>
              <w:rPr>
                <w:rFonts w:ascii="Times New Roman" w:hAnsi="Times New Roman" w:cs="Times New Roman"/>
                <w:color w:val="000000"/>
                <w:sz w:val="21"/>
                <w:szCs w:val="21"/>
              </w:rPr>
              <w:t>17.41%</w:t>
            </w:r>
          </w:p>
        </w:tc>
        <w:tc>
          <w:tcPr>
            <w:tcW w:w="699" w:type="pct"/>
            <w:tcBorders>
              <w:top w:val="single" w:sz="4" w:space="0" w:color="auto"/>
              <w:left w:val="single" w:sz="4" w:space="0" w:color="auto"/>
              <w:bottom w:val="single" w:sz="4" w:space="0" w:color="auto"/>
              <w:right w:val="single" w:sz="4" w:space="0" w:color="auto"/>
            </w:tcBorders>
            <w:vAlign w:val="center"/>
          </w:tcPr>
          <w:p w14:paraId="5FB68C8B"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4,640.79</w:t>
            </w:r>
          </w:p>
        </w:tc>
        <w:tc>
          <w:tcPr>
            <w:tcW w:w="733" w:type="pct"/>
            <w:tcBorders>
              <w:top w:val="single" w:sz="4" w:space="0" w:color="auto"/>
              <w:left w:val="single" w:sz="4" w:space="0" w:color="auto"/>
              <w:bottom w:val="single" w:sz="4" w:space="0" w:color="auto"/>
              <w:right w:val="single" w:sz="4" w:space="0" w:color="auto"/>
            </w:tcBorders>
            <w:vAlign w:val="center"/>
          </w:tcPr>
          <w:p w14:paraId="793A9652"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4,692.44</w:t>
            </w:r>
          </w:p>
        </w:tc>
        <w:tc>
          <w:tcPr>
            <w:tcW w:w="554" w:type="pct"/>
            <w:tcBorders>
              <w:top w:val="single" w:sz="4" w:space="0" w:color="auto"/>
              <w:left w:val="single" w:sz="4" w:space="0" w:color="auto"/>
              <w:bottom w:val="single" w:sz="4" w:space="0" w:color="auto"/>
              <w:right w:val="nil"/>
            </w:tcBorders>
            <w:vAlign w:val="center"/>
          </w:tcPr>
          <w:p w14:paraId="57A5C239"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1.11%</w:t>
            </w:r>
          </w:p>
        </w:tc>
      </w:tr>
      <w:tr w:rsidR="000A0ACD" w14:paraId="5163EA78"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0CFEFF78"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存货</w:t>
            </w:r>
          </w:p>
        </w:tc>
        <w:tc>
          <w:tcPr>
            <w:tcW w:w="709" w:type="pct"/>
            <w:tcBorders>
              <w:top w:val="single" w:sz="4" w:space="0" w:color="auto"/>
              <w:left w:val="single" w:sz="4" w:space="0" w:color="auto"/>
              <w:bottom w:val="single" w:sz="4" w:space="0" w:color="auto"/>
              <w:right w:val="single" w:sz="4" w:space="0" w:color="auto"/>
            </w:tcBorders>
            <w:vAlign w:val="center"/>
          </w:tcPr>
          <w:p w14:paraId="2D9B47BB"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27,450.68</w:t>
            </w:r>
          </w:p>
        </w:tc>
        <w:tc>
          <w:tcPr>
            <w:tcW w:w="733" w:type="pct"/>
            <w:tcBorders>
              <w:top w:val="single" w:sz="4" w:space="0" w:color="auto"/>
              <w:left w:val="single" w:sz="4" w:space="0" w:color="auto"/>
              <w:bottom w:val="single" w:sz="4" w:space="0" w:color="auto"/>
              <w:right w:val="single" w:sz="4" w:space="0" w:color="auto"/>
            </w:tcBorders>
            <w:vAlign w:val="center"/>
          </w:tcPr>
          <w:p w14:paraId="391BA00F"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32,758.35</w:t>
            </w:r>
          </w:p>
        </w:tc>
        <w:tc>
          <w:tcPr>
            <w:tcW w:w="566" w:type="pct"/>
            <w:tcBorders>
              <w:top w:val="single" w:sz="4" w:space="0" w:color="auto"/>
              <w:left w:val="single" w:sz="4" w:space="0" w:color="auto"/>
              <w:bottom w:val="single" w:sz="4" w:space="0" w:color="auto"/>
              <w:right w:val="single" w:sz="4" w:space="0" w:color="auto"/>
            </w:tcBorders>
            <w:vAlign w:val="center"/>
          </w:tcPr>
          <w:p w14:paraId="73D83218" w14:textId="77777777" w:rsidR="000A0ACD" w:rsidRDefault="00362A99">
            <w:pPr>
              <w:jc w:val="right"/>
              <w:rPr>
                <w:rFonts w:ascii="Times New Roman" w:hAnsi="Times New Roman" w:cs="Times New Roman"/>
                <w:sz w:val="21"/>
                <w:szCs w:val="21"/>
                <w:lang w:val="en-GB"/>
              </w:rPr>
            </w:pPr>
            <w:r>
              <w:rPr>
                <w:rFonts w:ascii="Times New Roman" w:hAnsi="Times New Roman" w:cs="Times New Roman"/>
                <w:color w:val="000000"/>
                <w:sz w:val="21"/>
                <w:szCs w:val="21"/>
              </w:rPr>
              <w:t>19.34%</w:t>
            </w:r>
          </w:p>
        </w:tc>
        <w:tc>
          <w:tcPr>
            <w:tcW w:w="699" w:type="pct"/>
            <w:tcBorders>
              <w:top w:val="single" w:sz="4" w:space="0" w:color="auto"/>
              <w:left w:val="single" w:sz="4" w:space="0" w:color="auto"/>
              <w:bottom w:val="single" w:sz="4" w:space="0" w:color="auto"/>
              <w:right w:val="single" w:sz="4" w:space="0" w:color="auto"/>
            </w:tcBorders>
            <w:vAlign w:val="center"/>
          </w:tcPr>
          <w:p w14:paraId="4806A9F8"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32,217.35</w:t>
            </w:r>
          </w:p>
        </w:tc>
        <w:tc>
          <w:tcPr>
            <w:tcW w:w="733" w:type="pct"/>
            <w:tcBorders>
              <w:top w:val="single" w:sz="4" w:space="0" w:color="auto"/>
              <w:left w:val="single" w:sz="4" w:space="0" w:color="auto"/>
              <w:bottom w:val="single" w:sz="4" w:space="0" w:color="auto"/>
              <w:right w:val="single" w:sz="4" w:space="0" w:color="auto"/>
            </w:tcBorders>
            <w:vAlign w:val="center"/>
          </w:tcPr>
          <w:p w14:paraId="42B3749F"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33,965.54</w:t>
            </w:r>
          </w:p>
        </w:tc>
        <w:tc>
          <w:tcPr>
            <w:tcW w:w="554" w:type="pct"/>
            <w:tcBorders>
              <w:top w:val="single" w:sz="4" w:space="0" w:color="auto"/>
              <w:left w:val="single" w:sz="4" w:space="0" w:color="auto"/>
              <w:bottom w:val="single" w:sz="4" w:space="0" w:color="auto"/>
              <w:right w:val="nil"/>
            </w:tcBorders>
            <w:vAlign w:val="center"/>
          </w:tcPr>
          <w:p w14:paraId="798DD651"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5.43%</w:t>
            </w:r>
          </w:p>
        </w:tc>
      </w:tr>
      <w:tr w:rsidR="000A0ACD" w14:paraId="41C98D4C"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0126DFFB"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其他流动资产</w:t>
            </w:r>
          </w:p>
        </w:tc>
        <w:tc>
          <w:tcPr>
            <w:tcW w:w="709" w:type="pct"/>
            <w:tcBorders>
              <w:top w:val="single" w:sz="4" w:space="0" w:color="auto"/>
              <w:left w:val="single" w:sz="4" w:space="0" w:color="auto"/>
              <w:bottom w:val="single" w:sz="4" w:space="0" w:color="auto"/>
              <w:right w:val="single" w:sz="4" w:space="0" w:color="auto"/>
            </w:tcBorders>
            <w:vAlign w:val="center"/>
          </w:tcPr>
          <w:p w14:paraId="4B6B4041"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3,704.58</w:t>
            </w:r>
          </w:p>
        </w:tc>
        <w:tc>
          <w:tcPr>
            <w:tcW w:w="733" w:type="pct"/>
            <w:tcBorders>
              <w:top w:val="single" w:sz="4" w:space="0" w:color="auto"/>
              <w:left w:val="single" w:sz="4" w:space="0" w:color="auto"/>
              <w:bottom w:val="single" w:sz="4" w:space="0" w:color="auto"/>
              <w:right w:val="single" w:sz="4" w:space="0" w:color="auto"/>
            </w:tcBorders>
            <w:vAlign w:val="center"/>
          </w:tcPr>
          <w:p w14:paraId="6C8CCD8F"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3,766.37</w:t>
            </w:r>
          </w:p>
        </w:tc>
        <w:tc>
          <w:tcPr>
            <w:tcW w:w="566" w:type="pct"/>
            <w:tcBorders>
              <w:top w:val="single" w:sz="4" w:space="0" w:color="auto"/>
              <w:left w:val="single" w:sz="4" w:space="0" w:color="auto"/>
              <w:bottom w:val="single" w:sz="4" w:space="0" w:color="auto"/>
              <w:right w:val="single" w:sz="4" w:space="0" w:color="auto"/>
            </w:tcBorders>
            <w:vAlign w:val="center"/>
          </w:tcPr>
          <w:p w14:paraId="70B6EB58" w14:textId="77777777" w:rsidR="000A0ACD" w:rsidRDefault="00362A99">
            <w:pPr>
              <w:jc w:val="right"/>
              <w:rPr>
                <w:rFonts w:ascii="Times New Roman" w:hAnsi="Times New Roman" w:cs="Times New Roman"/>
                <w:sz w:val="21"/>
                <w:szCs w:val="21"/>
                <w:lang w:val="en-GB"/>
              </w:rPr>
            </w:pPr>
            <w:r>
              <w:rPr>
                <w:rFonts w:ascii="Times New Roman" w:hAnsi="Times New Roman" w:cs="Times New Roman"/>
                <w:color w:val="000000"/>
                <w:sz w:val="21"/>
                <w:szCs w:val="21"/>
              </w:rPr>
              <w:t>1.67%</w:t>
            </w:r>
          </w:p>
        </w:tc>
        <w:tc>
          <w:tcPr>
            <w:tcW w:w="699" w:type="pct"/>
            <w:tcBorders>
              <w:top w:val="single" w:sz="4" w:space="0" w:color="auto"/>
              <w:left w:val="single" w:sz="4" w:space="0" w:color="auto"/>
              <w:bottom w:val="single" w:sz="4" w:space="0" w:color="auto"/>
              <w:right w:val="single" w:sz="4" w:space="0" w:color="auto"/>
            </w:tcBorders>
            <w:vAlign w:val="center"/>
          </w:tcPr>
          <w:p w14:paraId="346F8DAC"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5,596.75</w:t>
            </w:r>
          </w:p>
        </w:tc>
        <w:tc>
          <w:tcPr>
            <w:tcW w:w="733" w:type="pct"/>
            <w:tcBorders>
              <w:top w:val="single" w:sz="4" w:space="0" w:color="auto"/>
              <w:left w:val="single" w:sz="4" w:space="0" w:color="auto"/>
              <w:bottom w:val="single" w:sz="4" w:space="0" w:color="auto"/>
              <w:right w:val="single" w:sz="4" w:space="0" w:color="auto"/>
            </w:tcBorders>
            <w:vAlign w:val="center"/>
          </w:tcPr>
          <w:p w14:paraId="369ADF52"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5,598.06</w:t>
            </w:r>
          </w:p>
        </w:tc>
        <w:tc>
          <w:tcPr>
            <w:tcW w:w="554" w:type="pct"/>
            <w:tcBorders>
              <w:top w:val="single" w:sz="4" w:space="0" w:color="auto"/>
              <w:left w:val="single" w:sz="4" w:space="0" w:color="auto"/>
              <w:bottom w:val="single" w:sz="4" w:space="0" w:color="auto"/>
              <w:right w:val="nil"/>
            </w:tcBorders>
            <w:vAlign w:val="center"/>
          </w:tcPr>
          <w:p w14:paraId="6E760C7A"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0.02%</w:t>
            </w:r>
          </w:p>
        </w:tc>
      </w:tr>
      <w:tr w:rsidR="000A0ACD" w14:paraId="2E6C54C7"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6C3E6284" w14:textId="77777777" w:rsidR="000A0ACD" w:rsidRDefault="00362A99">
            <w:pPr>
              <w:jc w:val="both"/>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流动资产合计</w:t>
            </w:r>
          </w:p>
        </w:tc>
        <w:tc>
          <w:tcPr>
            <w:tcW w:w="709" w:type="pct"/>
            <w:tcBorders>
              <w:top w:val="single" w:sz="4" w:space="0" w:color="auto"/>
              <w:left w:val="single" w:sz="4" w:space="0" w:color="auto"/>
              <w:bottom w:val="single" w:sz="4" w:space="0" w:color="auto"/>
              <w:right w:val="single" w:sz="4" w:space="0" w:color="auto"/>
            </w:tcBorders>
            <w:vAlign w:val="center"/>
          </w:tcPr>
          <w:p w14:paraId="30564DDA"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85,922.97</w:t>
            </w:r>
          </w:p>
        </w:tc>
        <w:tc>
          <w:tcPr>
            <w:tcW w:w="733" w:type="pct"/>
            <w:tcBorders>
              <w:top w:val="single" w:sz="4" w:space="0" w:color="auto"/>
              <w:left w:val="single" w:sz="4" w:space="0" w:color="auto"/>
              <w:bottom w:val="single" w:sz="4" w:space="0" w:color="auto"/>
              <w:right w:val="single" w:sz="4" w:space="0" w:color="auto"/>
            </w:tcBorders>
            <w:vAlign w:val="center"/>
          </w:tcPr>
          <w:p w14:paraId="79F56D3F"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112,589.94</w:t>
            </w:r>
          </w:p>
        </w:tc>
        <w:tc>
          <w:tcPr>
            <w:tcW w:w="566" w:type="pct"/>
            <w:tcBorders>
              <w:top w:val="single" w:sz="4" w:space="0" w:color="auto"/>
              <w:left w:val="single" w:sz="4" w:space="0" w:color="auto"/>
              <w:bottom w:val="single" w:sz="4" w:space="0" w:color="auto"/>
              <w:right w:val="single" w:sz="4" w:space="0" w:color="auto"/>
            </w:tcBorders>
            <w:vAlign w:val="center"/>
          </w:tcPr>
          <w:p w14:paraId="576D0DE9" w14:textId="77777777" w:rsidR="000A0ACD" w:rsidRDefault="00362A99">
            <w:pPr>
              <w:jc w:val="right"/>
              <w:rPr>
                <w:rFonts w:ascii="Times New Roman" w:hAnsi="Times New Roman" w:cs="Times New Roman"/>
                <w:b/>
                <w:bCs/>
                <w:sz w:val="21"/>
                <w:szCs w:val="21"/>
                <w:lang w:val="en-GB"/>
              </w:rPr>
            </w:pPr>
            <w:r>
              <w:rPr>
                <w:rFonts w:ascii="Times New Roman" w:hAnsi="Times New Roman" w:cs="Times New Roman"/>
                <w:b/>
                <w:bCs/>
                <w:color w:val="000000"/>
                <w:sz w:val="21"/>
                <w:szCs w:val="21"/>
              </w:rPr>
              <w:t>31.04%</w:t>
            </w:r>
          </w:p>
        </w:tc>
        <w:tc>
          <w:tcPr>
            <w:tcW w:w="699" w:type="pct"/>
            <w:tcBorders>
              <w:top w:val="single" w:sz="4" w:space="0" w:color="auto"/>
              <w:left w:val="single" w:sz="4" w:space="0" w:color="auto"/>
              <w:bottom w:val="single" w:sz="4" w:space="0" w:color="auto"/>
              <w:right w:val="single" w:sz="4" w:space="0" w:color="auto"/>
            </w:tcBorders>
            <w:vAlign w:val="center"/>
          </w:tcPr>
          <w:p w14:paraId="0DBB7F96"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78,256.08</w:t>
            </w:r>
          </w:p>
        </w:tc>
        <w:tc>
          <w:tcPr>
            <w:tcW w:w="733" w:type="pct"/>
            <w:tcBorders>
              <w:top w:val="single" w:sz="4" w:space="0" w:color="auto"/>
              <w:left w:val="single" w:sz="4" w:space="0" w:color="auto"/>
              <w:bottom w:val="single" w:sz="4" w:space="0" w:color="auto"/>
              <w:right w:val="single" w:sz="4" w:space="0" w:color="auto"/>
            </w:tcBorders>
            <w:vAlign w:val="center"/>
          </w:tcPr>
          <w:p w14:paraId="6D1A4C18"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87,396.27</w:t>
            </w:r>
          </w:p>
        </w:tc>
        <w:tc>
          <w:tcPr>
            <w:tcW w:w="554" w:type="pct"/>
            <w:tcBorders>
              <w:top w:val="single" w:sz="4" w:space="0" w:color="auto"/>
              <w:left w:val="single" w:sz="4" w:space="0" w:color="auto"/>
              <w:bottom w:val="single" w:sz="4" w:space="0" w:color="auto"/>
              <w:right w:val="nil"/>
            </w:tcBorders>
            <w:vAlign w:val="center"/>
          </w:tcPr>
          <w:p w14:paraId="24E6342C"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11.68%</w:t>
            </w:r>
          </w:p>
        </w:tc>
      </w:tr>
      <w:tr w:rsidR="000A0ACD" w14:paraId="16DD34F5"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0CFD1323"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固定资产</w:t>
            </w:r>
          </w:p>
        </w:tc>
        <w:tc>
          <w:tcPr>
            <w:tcW w:w="709" w:type="pct"/>
            <w:tcBorders>
              <w:top w:val="single" w:sz="4" w:space="0" w:color="auto"/>
              <w:left w:val="single" w:sz="4" w:space="0" w:color="auto"/>
              <w:bottom w:val="single" w:sz="4" w:space="0" w:color="auto"/>
              <w:right w:val="single" w:sz="4" w:space="0" w:color="auto"/>
            </w:tcBorders>
            <w:vAlign w:val="center"/>
          </w:tcPr>
          <w:p w14:paraId="63D3EC12"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60,565.59</w:t>
            </w:r>
          </w:p>
        </w:tc>
        <w:tc>
          <w:tcPr>
            <w:tcW w:w="733" w:type="pct"/>
            <w:tcBorders>
              <w:top w:val="single" w:sz="4" w:space="0" w:color="auto"/>
              <w:left w:val="single" w:sz="4" w:space="0" w:color="auto"/>
              <w:bottom w:val="single" w:sz="4" w:space="0" w:color="auto"/>
              <w:right w:val="single" w:sz="4" w:space="0" w:color="auto"/>
            </w:tcBorders>
            <w:vAlign w:val="center"/>
          </w:tcPr>
          <w:p w14:paraId="54145DE2"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60,945.51</w:t>
            </w:r>
          </w:p>
        </w:tc>
        <w:tc>
          <w:tcPr>
            <w:tcW w:w="566" w:type="pct"/>
            <w:tcBorders>
              <w:top w:val="single" w:sz="4" w:space="0" w:color="auto"/>
              <w:left w:val="single" w:sz="4" w:space="0" w:color="auto"/>
              <w:bottom w:val="single" w:sz="4" w:space="0" w:color="auto"/>
              <w:right w:val="single" w:sz="4" w:space="0" w:color="auto"/>
            </w:tcBorders>
            <w:vAlign w:val="center"/>
          </w:tcPr>
          <w:p w14:paraId="2C627DCC" w14:textId="77777777" w:rsidR="000A0ACD" w:rsidRDefault="00362A99">
            <w:pPr>
              <w:jc w:val="right"/>
              <w:rPr>
                <w:rFonts w:ascii="Times New Roman" w:hAnsi="Times New Roman" w:cs="Times New Roman"/>
                <w:sz w:val="21"/>
                <w:szCs w:val="21"/>
                <w:lang w:val="en-GB"/>
              </w:rPr>
            </w:pPr>
            <w:r>
              <w:rPr>
                <w:rFonts w:ascii="Times New Roman" w:hAnsi="Times New Roman" w:cs="Times New Roman"/>
                <w:color w:val="000000"/>
                <w:sz w:val="21"/>
                <w:szCs w:val="21"/>
              </w:rPr>
              <w:t>0.63%</w:t>
            </w:r>
          </w:p>
        </w:tc>
        <w:tc>
          <w:tcPr>
            <w:tcW w:w="699" w:type="pct"/>
            <w:tcBorders>
              <w:top w:val="single" w:sz="4" w:space="0" w:color="auto"/>
              <w:left w:val="single" w:sz="4" w:space="0" w:color="auto"/>
              <w:bottom w:val="single" w:sz="4" w:space="0" w:color="auto"/>
              <w:right w:val="single" w:sz="4" w:space="0" w:color="auto"/>
            </w:tcBorders>
            <w:vAlign w:val="center"/>
          </w:tcPr>
          <w:p w14:paraId="5980B4A7"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64,175.26</w:t>
            </w:r>
          </w:p>
        </w:tc>
        <w:tc>
          <w:tcPr>
            <w:tcW w:w="733" w:type="pct"/>
            <w:tcBorders>
              <w:top w:val="single" w:sz="4" w:space="0" w:color="auto"/>
              <w:left w:val="single" w:sz="4" w:space="0" w:color="auto"/>
              <w:bottom w:val="single" w:sz="4" w:space="0" w:color="auto"/>
              <w:right w:val="single" w:sz="4" w:space="0" w:color="auto"/>
            </w:tcBorders>
            <w:vAlign w:val="center"/>
          </w:tcPr>
          <w:p w14:paraId="399F57B0"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64,502.08</w:t>
            </w:r>
          </w:p>
        </w:tc>
        <w:tc>
          <w:tcPr>
            <w:tcW w:w="554" w:type="pct"/>
            <w:tcBorders>
              <w:top w:val="single" w:sz="4" w:space="0" w:color="auto"/>
              <w:left w:val="single" w:sz="4" w:space="0" w:color="auto"/>
              <w:bottom w:val="single" w:sz="4" w:space="0" w:color="auto"/>
              <w:right w:val="nil"/>
            </w:tcBorders>
            <w:vAlign w:val="center"/>
          </w:tcPr>
          <w:p w14:paraId="30F3DFCB"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0.51%</w:t>
            </w:r>
          </w:p>
        </w:tc>
      </w:tr>
      <w:tr w:rsidR="000A0ACD" w14:paraId="7B86CBE0"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3F45560C"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无形资产</w:t>
            </w:r>
          </w:p>
        </w:tc>
        <w:tc>
          <w:tcPr>
            <w:tcW w:w="709" w:type="pct"/>
            <w:tcBorders>
              <w:top w:val="single" w:sz="4" w:space="0" w:color="auto"/>
              <w:left w:val="single" w:sz="4" w:space="0" w:color="auto"/>
              <w:bottom w:val="single" w:sz="4" w:space="0" w:color="auto"/>
              <w:right w:val="single" w:sz="4" w:space="0" w:color="auto"/>
            </w:tcBorders>
            <w:vAlign w:val="center"/>
          </w:tcPr>
          <w:p w14:paraId="6202E94B"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12,112.61</w:t>
            </w:r>
          </w:p>
        </w:tc>
        <w:tc>
          <w:tcPr>
            <w:tcW w:w="733" w:type="pct"/>
            <w:tcBorders>
              <w:top w:val="single" w:sz="4" w:space="0" w:color="auto"/>
              <w:left w:val="single" w:sz="4" w:space="0" w:color="auto"/>
              <w:bottom w:val="single" w:sz="4" w:space="0" w:color="auto"/>
              <w:right w:val="single" w:sz="4" w:space="0" w:color="auto"/>
            </w:tcBorders>
            <w:vAlign w:val="center"/>
          </w:tcPr>
          <w:p w14:paraId="24BCC168"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18,226.40</w:t>
            </w:r>
          </w:p>
        </w:tc>
        <w:tc>
          <w:tcPr>
            <w:tcW w:w="566" w:type="pct"/>
            <w:tcBorders>
              <w:top w:val="single" w:sz="4" w:space="0" w:color="auto"/>
              <w:left w:val="single" w:sz="4" w:space="0" w:color="auto"/>
              <w:bottom w:val="single" w:sz="4" w:space="0" w:color="auto"/>
              <w:right w:val="single" w:sz="4" w:space="0" w:color="auto"/>
            </w:tcBorders>
            <w:vAlign w:val="center"/>
          </w:tcPr>
          <w:p w14:paraId="7854807B" w14:textId="77777777" w:rsidR="000A0ACD" w:rsidRDefault="00362A99">
            <w:pPr>
              <w:jc w:val="right"/>
              <w:rPr>
                <w:rFonts w:ascii="Times New Roman" w:hAnsi="Times New Roman" w:cs="Times New Roman"/>
                <w:sz w:val="21"/>
                <w:szCs w:val="21"/>
                <w:lang w:val="en-GB"/>
              </w:rPr>
            </w:pPr>
            <w:r>
              <w:rPr>
                <w:rFonts w:ascii="Times New Roman" w:hAnsi="Times New Roman" w:cs="Times New Roman"/>
                <w:color w:val="000000"/>
                <w:sz w:val="21"/>
                <w:szCs w:val="21"/>
              </w:rPr>
              <w:t>50.47%</w:t>
            </w:r>
          </w:p>
        </w:tc>
        <w:tc>
          <w:tcPr>
            <w:tcW w:w="699" w:type="pct"/>
            <w:tcBorders>
              <w:top w:val="single" w:sz="4" w:space="0" w:color="auto"/>
              <w:left w:val="single" w:sz="4" w:space="0" w:color="auto"/>
              <w:bottom w:val="single" w:sz="4" w:space="0" w:color="auto"/>
              <w:right w:val="single" w:sz="4" w:space="0" w:color="auto"/>
            </w:tcBorders>
            <w:vAlign w:val="center"/>
          </w:tcPr>
          <w:p w14:paraId="5CD1D662"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12,439.33</w:t>
            </w:r>
          </w:p>
        </w:tc>
        <w:tc>
          <w:tcPr>
            <w:tcW w:w="733" w:type="pct"/>
            <w:tcBorders>
              <w:top w:val="single" w:sz="4" w:space="0" w:color="auto"/>
              <w:left w:val="single" w:sz="4" w:space="0" w:color="auto"/>
              <w:bottom w:val="single" w:sz="4" w:space="0" w:color="auto"/>
              <w:right w:val="single" w:sz="4" w:space="0" w:color="auto"/>
            </w:tcBorders>
            <w:vAlign w:val="center"/>
          </w:tcPr>
          <w:p w14:paraId="791A566C"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19,025.37</w:t>
            </w:r>
          </w:p>
        </w:tc>
        <w:tc>
          <w:tcPr>
            <w:tcW w:w="554" w:type="pct"/>
            <w:tcBorders>
              <w:top w:val="single" w:sz="4" w:space="0" w:color="auto"/>
              <w:left w:val="single" w:sz="4" w:space="0" w:color="auto"/>
              <w:bottom w:val="single" w:sz="4" w:space="0" w:color="auto"/>
              <w:right w:val="nil"/>
            </w:tcBorders>
            <w:vAlign w:val="center"/>
          </w:tcPr>
          <w:p w14:paraId="027271DD"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52.95%</w:t>
            </w:r>
          </w:p>
        </w:tc>
      </w:tr>
      <w:tr w:rsidR="000A0ACD" w14:paraId="5A87A27C"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7D48511A"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商誉</w:t>
            </w:r>
          </w:p>
        </w:tc>
        <w:tc>
          <w:tcPr>
            <w:tcW w:w="709" w:type="pct"/>
            <w:tcBorders>
              <w:top w:val="single" w:sz="4" w:space="0" w:color="auto"/>
              <w:left w:val="single" w:sz="4" w:space="0" w:color="auto"/>
              <w:bottom w:val="single" w:sz="4" w:space="0" w:color="auto"/>
              <w:right w:val="single" w:sz="4" w:space="0" w:color="auto"/>
            </w:tcBorders>
            <w:vAlign w:val="center"/>
          </w:tcPr>
          <w:p w14:paraId="5A5C459C"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w:t>
            </w:r>
          </w:p>
        </w:tc>
        <w:tc>
          <w:tcPr>
            <w:tcW w:w="733" w:type="pct"/>
            <w:tcBorders>
              <w:top w:val="single" w:sz="4" w:space="0" w:color="auto"/>
              <w:left w:val="single" w:sz="4" w:space="0" w:color="auto"/>
              <w:bottom w:val="single" w:sz="4" w:space="0" w:color="auto"/>
              <w:right w:val="single" w:sz="4" w:space="0" w:color="auto"/>
            </w:tcBorders>
            <w:vAlign w:val="center"/>
          </w:tcPr>
          <w:p w14:paraId="20E7528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13,496.48</w:t>
            </w:r>
          </w:p>
        </w:tc>
        <w:tc>
          <w:tcPr>
            <w:tcW w:w="566" w:type="pct"/>
            <w:tcBorders>
              <w:top w:val="single" w:sz="4" w:space="0" w:color="auto"/>
              <w:left w:val="single" w:sz="4" w:space="0" w:color="auto"/>
              <w:bottom w:val="single" w:sz="4" w:space="0" w:color="auto"/>
              <w:right w:val="single" w:sz="4" w:space="0" w:color="auto"/>
            </w:tcBorders>
            <w:vAlign w:val="center"/>
          </w:tcPr>
          <w:p w14:paraId="6556E61A" w14:textId="77777777" w:rsidR="000A0ACD" w:rsidRDefault="00362A99">
            <w:pPr>
              <w:jc w:val="right"/>
              <w:rPr>
                <w:rFonts w:ascii="Times New Roman" w:hAnsi="Times New Roman" w:cs="Times New Roman"/>
                <w:sz w:val="21"/>
                <w:szCs w:val="21"/>
                <w:lang w:val="en-GB"/>
              </w:rPr>
            </w:pPr>
            <w:r>
              <w:rPr>
                <w:rFonts w:ascii="Times New Roman" w:hAnsi="Times New Roman" w:cs="Times New Roman" w:hint="eastAsia"/>
                <w:color w:val="000000"/>
                <w:sz w:val="21"/>
                <w:szCs w:val="21"/>
              </w:rPr>
              <w:t>不适用</w:t>
            </w:r>
          </w:p>
        </w:tc>
        <w:tc>
          <w:tcPr>
            <w:tcW w:w="699" w:type="pct"/>
            <w:tcBorders>
              <w:top w:val="single" w:sz="4" w:space="0" w:color="auto"/>
              <w:left w:val="single" w:sz="4" w:space="0" w:color="auto"/>
              <w:bottom w:val="single" w:sz="4" w:space="0" w:color="auto"/>
              <w:right w:val="single" w:sz="4" w:space="0" w:color="auto"/>
            </w:tcBorders>
            <w:vAlign w:val="center"/>
          </w:tcPr>
          <w:p w14:paraId="51C66F73"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w:t>
            </w:r>
          </w:p>
        </w:tc>
        <w:tc>
          <w:tcPr>
            <w:tcW w:w="733" w:type="pct"/>
            <w:tcBorders>
              <w:top w:val="single" w:sz="4" w:space="0" w:color="auto"/>
              <w:left w:val="single" w:sz="4" w:space="0" w:color="auto"/>
              <w:bottom w:val="single" w:sz="4" w:space="0" w:color="auto"/>
              <w:right w:val="single" w:sz="4" w:space="0" w:color="auto"/>
            </w:tcBorders>
            <w:vAlign w:val="center"/>
          </w:tcPr>
          <w:p w14:paraId="44AE803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13,496.48</w:t>
            </w:r>
          </w:p>
        </w:tc>
        <w:tc>
          <w:tcPr>
            <w:tcW w:w="554" w:type="pct"/>
            <w:tcBorders>
              <w:top w:val="single" w:sz="4" w:space="0" w:color="auto"/>
              <w:left w:val="single" w:sz="4" w:space="0" w:color="auto"/>
              <w:bottom w:val="single" w:sz="4" w:space="0" w:color="auto"/>
              <w:right w:val="nil"/>
            </w:tcBorders>
            <w:vAlign w:val="center"/>
          </w:tcPr>
          <w:p w14:paraId="7579BE54"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不适用</w:t>
            </w:r>
          </w:p>
        </w:tc>
      </w:tr>
      <w:tr w:rsidR="000A0ACD" w14:paraId="6178B293"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2071668F" w14:textId="77777777" w:rsidR="000A0ACD" w:rsidRDefault="00362A99">
            <w:pPr>
              <w:jc w:val="both"/>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非流动资产合计</w:t>
            </w:r>
          </w:p>
        </w:tc>
        <w:tc>
          <w:tcPr>
            <w:tcW w:w="709" w:type="pct"/>
            <w:tcBorders>
              <w:top w:val="single" w:sz="4" w:space="0" w:color="auto"/>
              <w:left w:val="single" w:sz="4" w:space="0" w:color="auto"/>
              <w:bottom w:val="single" w:sz="4" w:space="0" w:color="auto"/>
              <w:right w:val="single" w:sz="4" w:space="0" w:color="auto"/>
            </w:tcBorders>
            <w:vAlign w:val="center"/>
          </w:tcPr>
          <w:p w14:paraId="39784AED"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84,620.11</w:t>
            </w:r>
          </w:p>
        </w:tc>
        <w:tc>
          <w:tcPr>
            <w:tcW w:w="733" w:type="pct"/>
            <w:tcBorders>
              <w:top w:val="single" w:sz="4" w:space="0" w:color="auto"/>
              <w:left w:val="single" w:sz="4" w:space="0" w:color="auto"/>
              <w:bottom w:val="single" w:sz="4" w:space="0" w:color="auto"/>
              <w:right w:val="single" w:sz="4" w:space="0" w:color="auto"/>
            </w:tcBorders>
            <w:vAlign w:val="center"/>
          </w:tcPr>
          <w:p w14:paraId="56DF2ACE"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104,688.92</w:t>
            </w:r>
          </w:p>
        </w:tc>
        <w:tc>
          <w:tcPr>
            <w:tcW w:w="566" w:type="pct"/>
            <w:tcBorders>
              <w:top w:val="single" w:sz="4" w:space="0" w:color="auto"/>
              <w:left w:val="single" w:sz="4" w:space="0" w:color="auto"/>
              <w:bottom w:val="single" w:sz="4" w:space="0" w:color="auto"/>
              <w:right w:val="single" w:sz="4" w:space="0" w:color="auto"/>
            </w:tcBorders>
            <w:vAlign w:val="center"/>
          </w:tcPr>
          <w:p w14:paraId="4A7A1054" w14:textId="77777777" w:rsidR="000A0ACD" w:rsidRDefault="00362A99">
            <w:pPr>
              <w:jc w:val="right"/>
              <w:rPr>
                <w:rFonts w:ascii="Times New Roman" w:hAnsi="Times New Roman" w:cs="Times New Roman"/>
                <w:b/>
                <w:bCs/>
                <w:sz w:val="21"/>
                <w:szCs w:val="21"/>
                <w:lang w:val="en-GB"/>
              </w:rPr>
            </w:pPr>
            <w:r>
              <w:rPr>
                <w:rFonts w:ascii="Times New Roman" w:hAnsi="Times New Roman" w:cs="Times New Roman"/>
                <w:b/>
                <w:bCs/>
                <w:color w:val="000000"/>
                <w:sz w:val="21"/>
                <w:szCs w:val="21"/>
              </w:rPr>
              <w:t>23.72%</w:t>
            </w:r>
          </w:p>
        </w:tc>
        <w:tc>
          <w:tcPr>
            <w:tcW w:w="699" w:type="pct"/>
            <w:tcBorders>
              <w:top w:val="single" w:sz="4" w:space="0" w:color="auto"/>
              <w:left w:val="single" w:sz="4" w:space="0" w:color="auto"/>
              <w:bottom w:val="single" w:sz="4" w:space="0" w:color="auto"/>
              <w:right w:val="single" w:sz="4" w:space="0" w:color="auto"/>
            </w:tcBorders>
            <w:vAlign w:val="center"/>
          </w:tcPr>
          <w:p w14:paraId="47D14B25"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88,827.87</w:t>
            </w:r>
          </w:p>
        </w:tc>
        <w:tc>
          <w:tcPr>
            <w:tcW w:w="733" w:type="pct"/>
            <w:tcBorders>
              <w:top w:val="single" w:sz="4" w:space="0" w:color="auto"/>
              <w:left w:val="single" w:sz="4" w:space="0" w:color="auto"/>
              <w:bottom w:val="single" w:sz="4" w:space="0" w:color="auto"/>
              <w:right w:val="single" w:sz="4" w:space="0" w:color="auto"/>
            </w:tcBorders>
            <w:vAlign w:val="center"/>
          </w:tcPr>
          <w:p w14:paraId="433CA21C"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109,288.01</w:t>
            </w:r>
          </w:p>
        </w:tc>
        <w:tc>
          <w:tcPr>
            <w:tcW w:w="554" w:type="pct"/>
            <w:tcBorders>
              <w:top w:val="single" w:sz="4" w:space="0" w:color="auto"/>
              <w:left w:val="single" w:sz="4" w:space="0" w:color="auto"/>
              <w:bottom w:val="single" w:sz="4" w:space="0" w:color="auto"/>
              <w:right w:val="nil"/>
            </w:tcBorders>
            <w:vAlign w:val="center"/>
          </w:tcPr>
          <w:p w14:paraId="0823D395"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23.03%</w:t>
            </w:r>
          </w:p>
        </w:tc>
      </w:tr>
      <w:tr w:rsidR="000A0ACD" w14:paraId="232E7514" w14:textId="77777777">
        <w:trPr>
          <w:trHeight w:val="397"/>
          <w:jc w:val="center"/>
        </w:trPr>
        <w:tc>
          <w:tcPr>
            <w:tcW w:w="1007" w:type="pct"/>
            <w:tcBorders>
              <w:top w:val="single" w:sz="4" w:space="0" w:color="auto"/>
              <w:left w:val="nil"/>
              <w:bottom w:val="single" w:sz="12" w:space="0" w:color="auto"/>
              <w:right w:val="single" w:sz="4" w:space="0" w:color="auto"/>
            </w:tcBorders>
            <w:vAlign w:val="center"/>
          </w:tcPr>
          <w:p w14:paraId="6E679B20"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资产总计</w:t>
            </w:r>
          </w:p>
        </w:tc>
        <w:tc>
          <w:tcPr>
            <w:tcW w:w="709" w:type="pct"/>
            <w:tcBorders>
              <w:top w:val="single" w:sz="4" w:space="0" w:color="auto"/>
              <w:left w:val="single" w:sz="4" w:space="0" w:color="auto"/>
              <w:bottom w:val="single" w:sz="12" w:space="0" w:color="auto"/>
              <w:right w:val="single" w:sz="4" w:space="0" w:color="auto"/>
            </w:tcBorders>
            <w:vAlign w:val="center"/>
          </w:tcPr>
          <w:p w14:paraId="17B6FFC8"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170,543.09</w:t>
            </w:r>
          </w:p>
        </w:tc>
        <w:tc>
          <w:tcPr>
            <w:tcW w:w="733" w:type="pct"/>
            <w:tcBorders>
              <w:top w:val="single" w:sz="4" w:space="0" w:color="auto"/>
              <w:left w:val="single" w:sz="4" w:space="0" w:color="auto"/>
              <w:bottom w:val="single" w:sz="12" w:space="0" w:color="auto"/>
              <w:right w:val="single" w:sz="4" w:space="0" w:color="auto"/>
            </w:tcBorders>
            <w:vAlign w:val="center"/>
          </w:tcPr>
          <w:p w14:paraId="627F5786"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217,278.86</w:t>
            </w:r>
          </w:p>
        </w:tc>
        <w:tc>
          <w:tcPr>
            <w:tcW w:w="566" w:type="pct"/>
            <w:tcBorders>
              <w:top w:val="single" w:sz="4" w:space="0" w:color="auto"/>
              <w:left w:val="single" w:sz="4" w:space="0" w:color="auto"/>
              <w:bottom w:val="single" w:sz="12" w:space="0" w:color="auto"/>
              <w:right w:val="single" w:sz="4" w:space="0" w:color="auto"/>
            </w:tcBorders>
            <w:vAlign w:val="center"/>
          </w:tcPr>
          <w:p w14:paraId="4A4D8E8A" w14:textId="77777777" w:rsidR="000A0ACD" w:rsidRDefault="00362A99">
            <w:pPr>
              <w:jc w:val="right"/>
              <w:rPr>
                <w:rFonts w:ascii="Times New Roman" w:hAnsi="Times New Roman" w:cs="Times New Roman"/>
                <w:b/>
                <w:bCs/>
                <w:sz w:val="21"/>
                <w:szCs w:val="21"/>
                <w:lang w:val="en-GB"/>
              </w:rPr>
            </w:pPr>
            <w:r>
              <w:rPr>
                <w:rFonts w:ascii="Times New Roman" w:hAnsi="Times New Roman" w:cs="Times New Roman"/>
                <w:b/>
                <w:bCs/>
                <w:color w:val="000000"/>
                <w:sz w:val="21"/>
                <w:szCs w:val="21"/>
              </w:rPr>
              <w:t>27.40%</w:t>
            </w:r>
          </w:p>
        </w:tc>
        <w:tc>
          <w:tcPr>
            <w:tcW w:w="699" w:type="pct"/>
            <w:tcBorders>
              <w:top w:val="single" w:sz="4" w:space="0" w:color="auto"/>
              <w:left w:val="single" w:sz="4" w:space="0" w:color="auto"/>
              <w:bottom w:val="single" w:sz="12" w:space="0" w:color="auto"/>
              <w:right w:val="single" w:sz="4" w:space="0" w:color="auto"/>
            </w:tcBorders>
            <w:vAlign w:val="center"/>
          </w:tcPr>
          <w:p w14:paraId="1C621C53"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167,083.95</w:t>
            </w:r>
          </w:p>
        </w:tc>
        <w:tc>
          <w:tcPr>
            <w:tcW w:w="733" w:type="pct"/>
            <w:tcBorders>
              <w:top w:val="single" w:sz="4" w:space="0" w:color="auto"/>
              <w:left w:val="single" w:sz="4" w:space="0" w:color="auto"/>
              <w:bottom w:val="single" w:sz="12" w:space="0" w:color="auto"/>
              <w:right w:val="single" w:sz="4" w:space="0" w:color="auto"/>
            </w:tcBorders>
            <w:vAlign w:val="center"/>
          </w:tcPr>
          <w:p w14:paraId="7AE56DF9"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196,684.28</w:t>
            </w:r>
          </w:p>
        </w:tc>
        <w:tc>
          <w:tcPr>
            <w:tcW w:w="554" w:type="pct"/>
            <w:tcBorders>
              <w:top w:val="single" w:sz="4" w:space="0" w:color="auto"/>
              <w:left w:val="single" w:sz="4" w:space="0" w:color="auto"/>
              <w:bottom w:val="single" w:sz="12" w:space="0" w:color="auto"/>
              <w:right w:val="nil"/>
            </w:tcBorders>
            <w:vAlign w:val="center"/>
          </w:tcPr>
          <w:p w14:paraId="4EB8D0C8"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17.72%</w:t>
            </w:r>
          </w:p>
        </w:tc>
      </w:tr>
    </w:tbl>
    <w:p w14:paraId="484E53B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截至</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w:t>
      </w:r>
      <w:r>
        <w:rPr>
          <w:rFonts w:ascii="Times New Roman" w:hAnsi="Times New Roman" w:cs="Times New Roman"/>
          <w:bCs/>
          <w:color w:val="000000"/>
          <w:szCs w:val="21"/>
          <w:lang w:val="en-GB"/>
        </w:rPr>
        <w:t>12</w:t>
      </w:r>
      <w:r>
        <w:rPr>
          <w:rFonts w:ascii="Times New Roman" w:hAnsi="Times New Roman" w:cs="Times New Roman" w:hint="eastAsia"/>
          <w:bCs/>
          <w:color w:val="000000"/>
          <w:szCs w:val="21"/>
          <w:lang w:val="en-GB"/>
        </w:rPr>
        <w:t>月</w:t>
      </w:r>
      <w:r>
        <w:rPr>
          <w:rFonts w:ascii="Times New Roman" w:hAnsi="Times New Roman" w:cs="Times New Roman"/>
          <w:bCs/>
          <w:color w:val="000000"/>
          <w:szCs w:val="21"/>
          <w:lang w:val="en-GB"/>
        </w:rPr>
        <w:t>31</w:t>
      </w:r>
      <w:r>
        <w:rPr>
          <w:rFonts w:ascii="Times New Roman" w:hAnsi="Times New Roman" w:cs="Times New Roman" w:hint="eastAsia"/>
          <w:bCs/>
          <w:color w:val="000000"/>
          <w:szCs w:val="21"/>
          <w:lang w:val="en-GB"/>
        </w:rPr>
        <w:t>日，上市公司资产总额将从交易前的</w:t>
      </w:r>
      <w:r>
        <w:rPr>
          <w:rFonts w:ascii="Times New Roman" w:hAnsi="Times New Roman" w:cs="Times New Roman"/>
          <w:bCs/>
          <w:color w:val="000000"/>
          <w:szCs w:val="21"/>
          <w:lang w:val="en-GB"/>
        </w:rPr>
        <w:t>167,083.95</w:t>
      </w:r>
      <w:r>
        <w:rPr>
          <w:rFonts w:ascii="Times New Roman" w:hAnsi="Times New Roman" w:cs="Times New Roman" w:hint="eastAsia"/>
          <w:bCs/>
          <w:color w:val="000000"/>
          <w:szCs w:val="21"/>
          <w:lang w:val="en-GB"/>
        </w:rPr>
        <w:t>万元增加至交易后的</w:t>
      </w:r>
      <w:r>
        <w:rPr>
          <w:rFonts w:ascii="Times New Roman" w:hAnsi="Times New Roman" w:cs="Times New Roman"/>
          <w:bCs/>
          <w:color w:val="000000"/>
          <w:szCs w:val="21"/>
          <w:lang w:val="en-GB"/>
        </w:rPr>
        <w:t>196,684.28</w:t>
      </w:r>
      <w:r>
        <w:rPr>
          <w:rFonts w:ascii="Times New Roman" w:hAnsi="Times New Roman" w:cs="Times New Roman" w:hint="eastAsia"/>
          <w:bCs/>
          <w:color w:val="000000"/>
          <w:szCs w:val="21"/>
          <w:lang w:val="en-GB"/>
        </w:rPr>
        <w:t>万元，增幅为</w:t>
      </w:r>
      <w:r>
        <w:rPr>
          <w:rFonts w:ascii="Times New Roman" w:hAnsi="Times New Roman" w:cs="Times New Roman"/>
          <w:bCs/>
          <w:color w:val="000000"/>
          <w:szCs w:val="21"/>
          <w:lang w:val="en-GB"/>
        </w:rPr>
        <w:t>17.72%</w:t>
      </w:r>
      <w:r>
        <w:rPr>
          <w:rFonts w:ascii="Times New Roman" w:hAnsi="Times New Roman" w:cs="Times New Roman" w:hint="eastAsia"/>
          <w:bCs/>
          <w:color w:val="000000"/>
          <w:szCs w:val="21"/>
          <w:lang w:val="en-GB"/>
        </w:rPr>
        <w:t>；截至</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w:t>
      </w:r>
      <w:r>
        <w:rPr>
          <w:rFonts w:ascii="Times New Roman" w:hAnsi="Times New Roman" w:cs="Times New Roman"/>
          <w:bCs/>
          <w:color w:val="000000"/>
          <w:szCs w:val="21"/>
          <w:lang w:val="en-GB"/>
        </w:rPr>
        <w:t>12</w:t>
      </w:r>
      <w:r>
        <w:rPr>
          <w:rFonts w:ascii="Times New Roman" w:hAnsi="Times New Roman" w:cs="Times New Roman" w:hint="eastAsia"/>
          <w:bCs/>
          <w:color w:val="000000"/>
          <w:szCs w:val="21"/>
          <w:lang w:val="en-GB"/>
        </w:rPr>
        <w:t>月</w:t>
      </w:r>
      <w:r>
        <w:rPr>
          <w:rFonts w:ascii="Times New Roman" w:hAnsi="Times New Roman" w:cs="Times New Roman"/>
          <w:bCs/>
          <w:color w:val="000000"/>
          <w:szCs w:val="21"/>
          <w:lang w:val="en-GB"/>
        </w:rPr>
        <w:t>31</w:t>
      </w:r>
      <w:r>
        <w:rPr>
          <w:rFonts w:ascii="Times New Roman" w:hAnsi="Times New Roman" w:cs="Times New Roman" w:hint="eastAsia"/>
          <w:bCs/>
          <w:color w:val="000000"/>
          <w:szCs w:val="21"/>
          <w:lang w:val="en-GB"/>
        </w:rPr>
        <w:t>日，上市公司资产总额将从交易前的</w:t>
      </w:r>
      <w:r>
        <w:rPr>
          <w:rFonts w:ascii="Times New Roman" w:hAnsi="Times New Roman" w:cs="Times New Roman"/>
          <w:bCs/>
          <w:color w:val="000000"/>
          <w:szCs w:val="21"/>
          <w:lang w:val="en-GB"/>
        </w:rPr>
        <w:t>170,543.09</w:t>
      </w:r>
      <w:r>
        <w:rPr>
          <w:rFonts w:ascii="Times New Roman" w:hAnsi="Times New Roman" w:cs="Times New Roman" w:hint="eastAsia"/>
          <w:bCs/>
          <w:color w:val="000000"/>
          <w:szCs w:val="21"/>
          <w:lang w:val="en-GB"/>
        </w:rPr>
        <w:t>万元增加至交易后的</w:t>
      </w:r>
      <w:r>
        <w:rPr>
          <w:rFonts w:ascii="Times New Roman" w:hAnsi="Times New Roman" w:cs="Times New Roman"/>
          <w:bCs/>
          <w:color w:val="000000"/>
          <w:szCs w:val="21"/>
          <w:lang w:val="en-GB"/>
        </w:rPr>
        <w:t>217,278.86</w:t>
      </w:r>
      <w:r>
        <w:rPr>
          <w:rFonts w:ascii="Times New Roman" w:hAnsi="Times New Roman" w:cs="Times New Roman" w:hint="eastAsia"/>
          <w:bCs/>
          <w:color w:val="000000"/>
          <w:szCs w:val="21"/>
          <w:lang w:val="en-GB"/>
        </w:rPr>
        <w:t>万元，增幅为</w:t>
      </w:r>
      <w:r>
        <w:rPr>
          <w:rFonts w:ascii="Times New Roman" w:hAnsi="Times New Roman" w:cs="Times New Roman"/>
          <w:bCs/>
          <w:color w:val="000000"/>
          <w:szCs w:val="21"/>
          <w:lang w:val="en-GB"/>
        </w:rPr>
        <w:t>27.40%</w:t>
      </w:r>
      <w:r>
        <w:rPr>
          <w:rFonts w:ascii="Times New Roman" w:hAnsi="Times New Roman" w:cs="Times New Roman" w:hint="eastAsia"/>
          <w:bCs/>
          <w:color w:val="000000"/>
          <w:szCs w:val="21"/>
          <w:lang w:val="en-GB"/>
        </w:rPr>
        <w:t>。其中，应收款项融资、货币资金、应收账款、预付</w:t>
      </w:r>
      <w:r>
        <w:rPr>
          <w:rFonts w:ascii="Times New Roman" w:hAnsi="Times New Roman" w:cs="Times New Roman" w:hint="eastAsia"/>
          <w:bCs/>
          <w:color w:val="000000"/>
          <w:szCs w:val="21"/>
        </w:rPr>
        <w:t>款项</w:t>
      </w:r>
      <w:r>
        <w:rPr>
          <w:rFonts w:ascii="Times New Roman" w:hAnsi="Times New Roman" w:cs="Times New Roman" w:hint="eastAsia"/>
          <w:bCs/>
          <w:color w:val="000000"/>
          <w:szCs w:val="21"/>
          <w:lang w:val="en-GB"/>
        </w:rPr>
        <w:t>、应收票据等科目较交易前有明显增加。公司资产规模得到一定程度的扩张，整体实力进一步增强。</w:t>
      </w:r>
    </w:p>
    <w:p w14:paraId="7FEF3A78"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（二）本次交易前后财务指标变动分析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505"/>
        <w:gridCol w:w="1133"/>
        <w:gridCol w:w="1701"/>
        <w:gridCol w:w="1183"/>
      </w:tblGrid>
      <w:tr w:rsidR="000A0ACD" w14:paraId="54053960" w14:textId="77777777">
        <w:trPr>
          <w:trHeight w:val="397"/>
          <w:tblHeader/>
          <w:jc w:val="center"/>
        </w:trPr>
        <w:tc>
          <w:tcPr>
            <w:tcW w:w="2643" w:type="pct"/>
            <w:vMerge w:val="restart"/>
            <w:tcBorders>
              <w:top w:val="single" w:sz="12" w:space="0" w:color="auto"/>
              <w:left w:val="nil"/>
              <w:bottom w:val="single" w:sz="4" w:space="0" w:color="auto"/>
              <w:right w:val="single" w:sz="4" w:space="0" w:color="auto"/>
            </w:tcBorders>
            <w:vAlign w:val="center"/>
          </w:tcPr>
          <w:p w14:paraId="17A3125F" w14:textId="77777777" w:rsidR="000A0ACD" w:rsidRDefault="00362A99">
            <w:pPr>
              <w:keepNext/>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lastRenderedPageBreak/>
              <w:t>项目</w:t>
            </w:r>
          </w:p>
        </w:tc>
        <w:tc>
          <w:tcPr>
            <w:tcW w:w="2357" w:type="pct"/>
            <w:gridSpan w:val="3"/>
            <w:tcBorders>
              <w:top w:val="single" w:sz="12" w:space="0" w:color="auto"/>
              <w:left w:val="single" w:sz="4" w:space="0" w:color="auto"/>
              <w:bottom w:val="single" w:sz="4" w:space="0" w:color="auto"/>
              <w:right w:val="nil"/>
            </w:tcBorders>
            <w:vAlign w:val="center"/>
          </w:tcPr>
          <w:p w14:paraId="660474E4" w14:textId="77777777" w:rsidR="000A0ACD" w:rsidRDefault="00362A99">
            <w:pPr>
              <w:keepNext/>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2020</w:t>
            </w:r>
            <w:r>
              <w:rPr>
                <w:rFonts w:ascii="Times New Roman" w:hAnsi="Times New Roman" w:cs="Times New Roman" w:hint="eastAsia"/>
                <w:b/>
                <w:color w:val="000000"/>
                <w:sz w:val="21"/>
                <w:szCs w:val="21"/>
                <w:lang w:val="en-GB"/>
              </w:rPr>
              <w:t>年</w:t>
            </w:r>
            <w:r>
              <w:rPr>
                <w:rFonts w:ascii="Times New Roman" w:hAnsi="Times New Roman" w:cs="Times New Roman"/>
                <w:b/>
                <w:color w:val="000000"/>
                <w:sz w:val="21"/>
                <w:szCs w:val="21"/>
              </w:rPr>
              <w:t>12</w:t>
            </w:r>
            <w:r>
              <w:rPr>
                <w:rFonts w:ascii="Times New Roman" w:hAnsi="Times New Roman" w:cs="Times New Roman" w:hint="eastAsia"/>
                <w:b/>
                <w:color w:val="000000"/>
                <w:sz w:val="21"/>
                <w:szCs w:val="21"/>
                <w:lang w:val="en-GB"/>
              </w:rPr>
              <w:t>月</w:t>
            </w:r>
            <w:r>
              <w:rPr>
                <w:rFonts w:ascii="Times New Roman" w:hAnsi="Times New Roman" w:cs="Times New Roman" w:hint="eastAsia"/>
                <w:b/>
                <w:color w:val="000000"/>
                <w:sz w:val="21"/>
                <w:szCs w:val="21"/>
                <w:lang w:val="en-GB"/>
              </w:rPr>
              <w:t>3</w:t>
            </w:r>
            <w:r>
              <w:rPr>
                <w:rFonts w:ascii="Times New Roman" w:hAnsi="Times New Roman" w:cs="Times New Roman"/>
                <w:b/>
                <w:color w:val="000000"/>
                <w:sz w:val="21"/>
                <w:szCs w:val="21"/>
              </w:rPr>
              <w:t>1</w:t>
            </w:r>
            <w:r>
              <w:rPr>
                <w:rFonts w:ascii="Times New Roman" w:hAnsi="Times New Roman" w:cs="Times New Roman" w:hint="eastAsia"/>
                <w:b/>
                <w:color w:val="000000"/>
                <w:sz w:val="21"/>
                <w:szCs w:val="21"/>
                <w:lang w:val="en-GB"/>
              </w:rPr>
              <w:t>日</w:t>
            </w:r>
            <w:r>
              <w:rPr>
                <w:rFonts w:ascii="Times New Roman" w:hAnsi="Times New Roman" w:cs="Times New Roman" w:hint="eastAsia"/>
                <w:b/>
                <w:color w:val="000000"/>
                <w:sz w:val="21"/>
                <w:szCs w:val="21"/>
                <w:lang w:val="en-GB"/>
              </w:rPr>
              <w:t>/2020</w:t>
            </w:r>
            <w:r>
              <w:rPr>
                <w:rFonts w:ascii="Times New Roman" w:hAnsi="Times New Roman" w:cs="Times New Roman" w:hint="eastAsia"/>
                <w:b/>
                <w:color w:val="000000"/>
                <w:sz w:val="21"/>
                <w:szCs w:val="21"/>
                <w:lang w:val="en-GB"/>
              </w:rPr>
              <w:t>年</w:t>
            </w:r>
            <w:r>
              <w:rPr>
                <w:rFonts w:ascii="Times New Roman" w:hAnsi="Times New Roman" w:cs="Times New Roman" w:hint="eastAsia"/>
                <w:b/>
                <w:color w:val="000000"/>
                <w:sz w:val="21"/>
                <w:szCs w:val="21"/>
              </w:rPr>
              <w:t>度</w:t>
            </w:r>
          </w:p>
        </w:tc>
      </w:tr>
      <w:tr w:rsidR="000A0ACD" w14:paraId="2D495364" w14:textId="77777777">
        <w:trPr>
          <w:trHeight w:val="397"/>
          <w:tblHeader/>
          <w:jc w:val="center"/>
        </w:trPr>
        <w:tc>
          <w:tcPr>
            <w:tcW w:w="2643" w:type="pct"/>
            <w:vMerge/>
            <w:tcBorders>
              <w:top w:val="single" w:sz="12" w:space="0" w:color="auto"/>
              <w:left w:val="nil"/>
              <w:bottom w:val="single" w:sz="4" w:space="0" w:color="auto"/>
              <w:right w:val="single" w:sz="4" w:space="0" w:color="auto"/>
            </w:tcBorders>
            <w:vAlign w:val="center"/>
          </w:tcPr>
          <w:p w14:paraId="6776FCF4" w14:textId="77777777" w:rsidR="000A0ACD" w:rsidRDefault="000A0ACD">
            <w:pPr>
              <w:jc w:val="center"/>
              <w:rPr>
                <w:rFonts w:ascii="Times New Roman" w:hAnsi="Times New Roman" w:cs="Times New Roman"/>
                <w:b/>
                <w:color w:val="000000"/>
                <w:sz w:val="21"/>
                <w:szCs w:val="21"/>
                <w:lang w:val="en-GB"/>
              </w:rPr>
            </w:pPr>
          </w:p>
        </w:tc>
        <w:tc>
          <w:tcPr>
            <w:tcW w:w="665" w:type="pct"/>
            <w:tcBorders>
              <w:top w:val="single" w:sz="4" w:space="0" w:color="auto"/>
              <w:left w:val="single" w:sz="4" w:space="0" w:color="auto"/>
              <w:bottom w:val="single" w:sz="4" w:space="0" w:color="auto"/>
              <w:right w:val="single" w:sz="4" w:space="0" w:color="auto"/>
            </w:tcBorders>
            <w:vAlign w:val="center"/>
          </w:tcPr>
          <w:p w14:paraId="5AD2F7C1"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交易前</w:t>
            </w:r>
          </w:p>
        </w:tc>
        <w:tc>
          <w:tcPr>
            <w:tcW w:w="998" w:type="pct"/>
            <w:tcBorders>
              <w:top w:val="single" w:sz="4" w:space="0" w:color="auto"/>
              <w:left w:val="single" w:sz="4" w:space="0" w:color="auto"/>
              <w:bottom w:val="single" w:sz="4" w:space="0" w:color="auto"/>
              <w:right w:val="single" w:sz="4" w:space="0" w:color="auto"/>
            </w:tcBorders>
            <w:vAlign w:val="center"/>
          </w:tcPr>
          <w:p w14:paraId="6A777C28"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交易后</w:t>
            </w:r>
          </w:p>
          <w:p w14:paraId="04E2EA98"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（备考）</w:t>
            </w:r>
          </w:p>
        </w:tc>
        <w:tc>
          <w:tcPr>
            <w:tcW w:w="695" w:type="pct"/>
            <w:tcBorders>
              <w:top w:val="single" w:sz="4" w:space="0" w:color="auto"/>
              <w:left w:val="single" w:sz="4" w:space="0" w:color="auto"/>
              <w:bottom w:val="single" w:sz="4" w:space="0" w:color="auto"/>
              <w:right w:val="nil"/>
            </w:tcBorders>
            <w:vAlign w:val="center"/>
          </w:tcPr>
          <w:p w14:paraId="104E7774"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变动率</w:t>
            </w:r>
          </w:p>
        </w:tc>
      </w:tr>
      <w:tr w:rsidR="000A0ACD" w14:paraId="5E281E99"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7110EA48"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净利率</w:t>
            </w:r>
          </w:p>
        </w:tc>
        <w:tc>
          <w:tcPr>
            <w:tcW w:w="665" w:type="pct"/>
            <w:tcBorders>
              <w:top w:val="single" w:sz="4" w:space="0" w:color="auto"/>
              <w:left w:val="single" w:sz="4" w:space="0" w:color="auto"/>
              <w:bottom w:val="single" w:sz="4" w:space="0" w:color="auto"/>
              <w:right w:val="single" w:sz="4" w:space="0" w:color="auto"/>
            </w:tcBorders>
            <w:vAlign w:val="center"/>
          </w:tcPr>
          <w:p w14:paraId="30F8CCE2"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10.97%</w:t>
            </w:r>
          </w:p>
        </w:tc>
        <w:tc>
          <w:tcPr>
            <w:tcW w:w="998" w:type="pct"/>
            <w:tcBorders>
              <w:top w:val="single" w:sz="4" w:space="0" w:color="auto"/>
              <w:left w:val="single" w:sz="4" w:space="0" w:color="auto"/>
              <w:bottom w:val="single" w:sz="4" w:space="0" w:color="auto"/>
              <w:right w:val="single" w:sz="4" w:space="0" w:color="auto"/>
            </w:tcBorders>
            <w:vAlign w:val="center"/>
          </w:tcPr>
          <w:p w14:paraId="53D8D656"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11.70%</w:t>
            </w:r>
          </w:p>
        </w:tc>
        <w:tc>
          <w:tcPr>
            <w:tcW w:w="695" w:type="pct"/>
            <w:tcBorders>
              <w:top w:val="single" w:sz="4" w:space="0" w:color="auto"/>
              <w:left w:val="single" w:sz="4" w:space="0" w:color="auto"/>
              <w:bottom w:val="single" w:sz="4" w:space="0" w:color="auto"/>
              <w:right w:val="nil"/>
            </w:tcBorders>
            <w:vAlign w:val="center"/>
          </w:tcPr>
          <w:p w14:paraId="40A39216" w14:textId="77777777" w:rsidR="000A0ACD" w:rsidRDefault="00362A99">
            <w:pPr>
              <w:jc w:val="right"/>
              <w:rPr>
                <w:rFonts w:ascii="Times New Roman" w:eastAsia="等线" w:hAnsi="Times New Roman" w:cs="Times New Roman"/>
                <w:sz w:val="21"/>
                <w:szCs w:val="21"/>
              </w:rPr>
            </w:pPr>
            <w:r>
              <w:rPr>
                <w:rFonts w:ascii="Times New Roman" w:eastAsia="等线" w:hAnsi="Times New Roman" w:cs="Times New Roman"/>
                <w:sz w:val="21"/>
                <w:szCs w:val="21"/>
              </w:rPr>
              <w:t>0.73</w:t>
            </w:r>
            <w:r>
              <w:rPr>
                <w:rFonts w:ascii="Times New Roman" w:eastAsia="等线" w:hAnsi="Times New Roman" w:cs="Times New Roman" w:hint="eastAsia"/>
                <w:sz w:val="21"/>
                <w:szCs w:val="21"/>
              </w:rPr>
              <w:t>%</w:t>
            </w:r>
          </w:p>
        </w:tc>
      </w:tr>
      <w:tr w:rsidR="000A0ACD" w14:paraId="17968CB8"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442AADCC"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基本每股收益（元</w:t>
            </w:r>
            <w:r>
              <w:rPr>
                <w:rFonts w:ascii="Times New Roman" w:hAnsi="Times New Roman" w:cs="Times New Roman" w:hint="eastAsia"/>
                <w:color w:val="000000"/>
                <w:sz w:val="21"/>
                <w:szCs w:val="21"/>
                <w:lang w:val="en-GB"/>
              </w:rPr>
              <w:t>/</w:t>
            </w:r>
            <w:r>
              <w:rPr>
                <w:rFonts w:ascii="Times New Roman" w:hAnsi="Times New Roman" w:cs="Times New Roman" w:hint="eastAsia"/>
                <w:color w:val="000000"/>
                <w:sz w:val="21"/>
                <w:szCs w:val="21"/>
                <w:lang w:val="en-GB"/>
              </w:rPr>
              <w:t>股）</w:t>
            </w:r>
          </w:p>
        </w:tc>
        <w:tc>
          <w:tcPr>
            <w:tcW w:w="665" w:type="pct"/>
            <w:tcBorders>
              <w:top w:val="single" w:sz="4" w:space="0" w:color="auto"/>
              <w:left w:val="single" w:sz="4" w:space="0" w:color="auto"/>
              <w:bottom w:val="single" w:sz="4" w:space="0" w:color="auto"/>
              <w:right w:val="single" w:sz="4" w:space="0" w:color="auto"/>
            </w:tcBorders>
            <w:vAlign w:val="center"/>
          </w:tcPr>
          <w:p w14:paraId="345A3943"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0.34</w:t>
            </w:r>
          </w:p>
        </w:tc>
        <w:tc>
          <w:tcPr>
            <w:tcW w:w="998" w:type="pct"/>
            <w:tcBorders>
              <w:top w:val="single" w:sz="4" w:space="0" w:color="auto"/>
              <w:left w:val="single" w:sz="4" w:space="0" w:color="auto"/>
              <w:bottom w:val="single" w:sz="4" w:space="0" w:color="auto"/>
              <w:right w:val="single" w:sz="4" w:space="0" w:color="auto"/>
            </w:tcBorders>
            <w:vAlign w:val="center"/>
          </w:tcPr>
          <w:p w14:paraId="04538421"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0.35</w:t>
            </w:r>
          </w:p>
        </w:tc>
        <w:tc>
          <w:tcPr>
            <w:tcW w:w="695" w:type="pct"/>
            <w:tcBorders>
              <w:top w:val="single" w:sz="4" w:space="0" w:color="auto"/>
              <w:left w:val="single" w:sz="4" w:space="0" w:color="auto"/>
              <w:bottom w:val="single" w:sz="4" w:space="0" w:color="auto"/>
              <w:right w:val="nil"/>
            </w:tcBorders>
            <w:vAlign w:val="center"/>
          </w:tcPr>
          <w:p w14:paraId="13008FBA" w14:textId="77777777" w:rsidR="000A0ACD" w:rsidRDefault="00362A99">
            <w:pPr>
              <w:jc w:val="right"/>
              <w:rPr>
                <w:rFonts w:ascii="Times New Roman" w:eastAsia="等线" w:hAnsi="Times New Roman" w:cs="Times New Roman"/>
                <w:sz w:val="21"/>
                <w:szCs w:val="21"/>
              </w:rPr>
            </w:pPr>
            <w:r>
              <w:rPr>
                <w:rFonts w:ascii="Times New Roman" w:eastAsia="等线" w:hAnsi="Times New Roman" w:cs="Times New Roman"/>
                <w:sz w:val="21"/>
                <w:szCs w:val="21"/>
              </w:rPr>
              <w:t>2.57%</w:t>
            </w:r>
          </w:p>
        </w:tc>
      </w:tr>
      <w:tr w:rsidR="000A0ACD" w14:paraId="11DC20CA"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05A12086"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扣除非经常性损益后的加权平均净资产收益率</w:t>
            </w:r>
          </w:p>
        </w:tc>
        <w:tc>
          <w:tcPr>
            <w:tcW w:w="665" w:type="pct"/>
            <w:tcBorders>
              <w:top w:val="single" w:sz="4" w:space="0" w:color="auto"/>
              <w:left w:val="single" w:sz="4" w:space="0" w:color="auto"/>
              <w:bottom w:val="single" w:sz="4" w:space="0" w:color="auto"/>
              <w:right w:val="single" w:sz="4" w:space="0" w:color="auto"/>
            </w:tcBorders>
            <w:vAlign w:val="center"/>
          </w:tcPr>
          <w:p w14:paraId="11697891"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-24.64%</w:t>
            </w:r>
          </w:p>
        </w:tc>
        <w:tc>
          <w:tcPr>
            <w:tcW w:w="998" w:type="pct"/>
            <w:tcBorders>
              <w:top w:val="single" w:sz="4" w:space="0" w:color="auto"/>
              <w:left w:val="single" w:sz="4" w:space="0" w:color="auto"/>
              <w:bottom w:val="single" w:sz="4" w:space="0" w:color="auto"/>
              <w:right w:val="single" w:sz="4" w:space="0" w:color="auto"/>
            </w:tcBorders>
            <w:vAlign w:val="center"/>
          </w:tcPr>
          <w:p w14:paraId="16431BE2"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-16.19%</w:t>
            </w:r>
          </w:p>
        </w:tc>
        <w:tc>
          <w:tcPr>
            <w:tcW w:w="695" w:type="pct"/>
            <w:tcBorders>
              <w:top w:val="single" w:sz="4" w:space="0" w:color="auto"/>
              <w:left w:val="single" w:sz="4" w:space="0" w:color="auto"/>
              <w:bottom w:val="single" w:sz="4" w:space="0" w:color="auto"/>
              <w:right w:val="nil"/>
            </w:tcBorders>
            <w:vAlign w:val="center"/>
          </w:tcPr>
          <w:p w14:paraId="27917256" w14:textId="77777777" w:rsidR="000A0ACD" w:rsidRDefault="00362A99">
            <w:pPr>
              <w:jc w:val="right"/>
              <w:rPr>
                <w:rFonts w:ascii="Times New Roman" w:eastAsia="等线" w:hAnsi="Times New Roman" w:cs="Times New Roman"/>
                <w:sz w:val="21"/>
                <w:szCs w:val="21"/>
              </w:rPr>
            </w:pPr>
            <w:r>
              <w:rPr>
                <w:rFonts w:ascii="Times New Roman" w:eastAsia="等线" w:hAnsi="Times New Roman" w:cs="Times New Roman"/>
                <w:sz w:val="21"/>
                <w:szCs w:val="21"/>
              </w:rPr>
              <w:t>8.45</w:t>
            </w:r>
            <w:r>
              <w:rPr>
                <w:rFonts w:ascii="Times New Roman" w:eastAsia="等线" w:hAnsi="Times New Roman" w:cs="Times New Roman" w:hint="eastAsia"/>
                <w:sz w:val="21"/>
                <w:szCs w:val="21"/>
              </w:rPr>
              <w:t>%</w:t>
            </w:r>
          </w:p>
        </w:tc>
      </w:tr>
      <w:tr w:rsidR="000A0ACD" w14:paraId="36979B4E"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44E2AD2A"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资产负债率</w:t>
            </w:r>
          </w:p>
        </w:tc>
        <w:tc>
          <w:tcPr>
            <w:tcW w:w="665" w:type="pct"/>
            <w:tcBorders>
              <w:top w:val="single" w:sz="4" w:space="0" w:color="auto"/>
              <w:left w:val="single" w:sz="4" w:space="0" w:color="auto"/>
              <w:bottom w:val="single" w:sz="4" w:space="0" w:color="auto"/>
              <w:right w:val="single" w:sz="4" w:space="0" w:color="auto"/>
            </w:tcBorders>
            <w:vAlign w:val="center"/>
          </w:tcPr>
          <w:p w14:paraId="4719FE8C"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41.27%</w:t>
            </w:r>
          </w:p>
        </w:tc>
        <w:tc>
          <w:tcPr>
            <w:tcW w:w="998" w:type="pct"/>
            <w:tcBorders>
              <w:top w:val="single" w:sz="4" w:space="0" w:color="auto"/>
              <w:left w:val="single" w:sz="4" w:space="0" w:color="auto"/>
              <w:bottom w:val="single" w:sz="4" w:space="0" w:color="auto"/>
              <w:right w:val="single" w:sz="4" w:space="0" w:color="auto"/>
            </w:tcBorders>
            <w:vAlign w:val="center"/>
          </w:tcPr>
          <w:p w14:paraId="4B4715FA"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45.30%</w:t>
            </w:r>
          </w:p>
        </w:tc>
        <w:tc>
          <w:tcPr>
            <w:tcW w:w="695" w:type="pct"/>
            <w:tcBorders>
              <w:top w:val="single" w:sz="4" w:space="0" w:color="auto"/>
              <w:left w:val="single" w:sz="4" w:space="0" w:color="auto"/>
              <w:bottom w:val="single" w:sz="4" w:space="0" w:color="auto"/>
              <w:right w:val="nil"/>
            </w:tcBorders>
            <w:vAlign w:val="center"/>
          </w:tcPr>
          <w:p w14:paraId="0122FEDA" w14:textId="77777777" w:rsidR="000A0ACD" w:rsidRDefault="00362A99">
            <w:pPr>
              <w:jc w:val="right"/>
              <w:rPr>
                <w:rFonts w:ascii="Times New Roman" w:eastAsia="等线" w:hAnsi="Times New Roman" w:cs="Times New Roman"/>
                <w:sz w:val="21"/>
                <w:szCs w:val="21"/>
              </w:rPr>
            </w:pPr>
            <w:r>
              <w:rPr>
                <w:rFonts w:ascii="Times New Roman" w:eastAsia="等线" w:hAnsi="Times New Roman" w:cs="Times New Roman"/>
                <w:sz w:val="21"/>
                <w:szCs w:val="21"/>
              </w:rPr>
              <w:t>4.03%</w:t>
            </w:r>
          </w:p>
        </w:tc>
      </w:tr>
      <w:tr w:rsidR="000A0ACD" w14:paraId="6A8965D8"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712DDC52"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应收账款周转率（次</w:t>
            </w:r>
            <w:r>
              <w:rPr>
                <w:rFonts w:ascii="Times New Roman" w:hAnsi="Times New Roman" w:cs="Times New Roman" w:hint="eastAsia"/>
                <w:color w:val="000000"/>
                <w:sz w:val="21"/>
                <w:szCs w:val="21"/>
                <w:lang w:val="en-GB"/>
              </w:rPr>
              <w:t>/</w:t>
            </w:r>
            <w:r>
              <w:rPr>
                <w:rFonts w:ascii="Times New Roman" w:hAnsi="Times New Roman" w:cs="Times New Roman" w:hint="eastAsia"/>
                <w:color w:val="000000"/>
                <w:sz w:val="21"/>
                <w:szCs w:val="21"/>
                <w:lang w:val="en-GB"/>
              </w:rPr>
              <w:t>年）</w:t>
            </w:r>
          </w:p>
        </w:tc>
        <w:tc>
          <w:tcPr>
            <w:tcW w:w="665" w:type="pct"/>
            <w:tcBorders>
              <w:top w:val="single" w:sz="4" w:space="0" w:color="auto"/>
              <w:left w:val="single" w:sz="4" w:space="0" w:color="auto"/>
              <w:bottom w:val="single" w:sz="4" w:space="0" w:color="auto"/>
              <w:right w:val="single" w:sz="4" w:space="0" w:color="auto"/>
            </w:tcBorders>
            <w:vAlign w:val="center"/>
          </w:tcPr>
          <w:p w14:paraId="076A2B0E"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5.70</w:t>
            </w:r>
          </w:p>
        </w:tc>
        <w:tc>
          <w:tcPr>
            <w:tcW w:w="998" w:type="pct"/>
            <w:tcBorders>
              <w:top w:val="single" w:sz="4" w:space="0" w:color="auto"/>
              <w:left w:val="single" w:sz="4" w:space="0" w:color="auto"/>
              <w:bottom w:val="single" w:sz="4" w:space="0" w:color="auto"/>
              <w:right w:val="single" w:sz="4" w:space="0" w:color="auto"/>
            </w:tcBorders>
            <w:vAlign w:val="center"/>
          </w:tcPr>
          <w:p w14:paraId="0F0275E8"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5.38</w:t>
            </w:r>
          </w:p>
        </w:tc>
        <w:tc>
          <w:tcPr>
            <w:tcW w:w="695" w:type="pct"/>
            <w:tcBorders>
              <w:top w:val="single" w:sz="4" w:space="0" w:color="auto"/>
              <w:left w:val="single" w:sz="4" w:space="0" w:color="auto"/>
              <w:bottom w:val="single" w:sz="4" w:space="0" w:color="auto"/>
              <w:right w:val="nil"/>
            </w:tcBorders>
            <w:vAlign w:val="center"/>
          </w:tcPr>
          <w:p w14:paraId="6C71F323" w14:textId="77777777" w:rsidR="000A0ACD" w:rsidRDefault="00362A99">
            <w:pPr>
              <w:jc w:val="right"/>
              <w:rPr>
                <w:rFonts w:ascii="Times New Roman" w:eastAsia="等线" w:hAnsi="Times New Roman" w:cs="Times New Roman"/>
                <w:sz w:val="21"/>
                <w:szCs w:val="21"/>
              </w:rPr>
            </w:pPr>
            <w:r>
              <w:rPr>
                <w:rFonts w:ascii="Times New Roman" w:hAnsi="Times New Roman" w:cs="Times New Roman"/>
                <w:color w:val="000000"/>
                <w:sz w:val="21"/>
                <w:szCs w:val="21"/>
              </w:rPr>
              <w:t>-5.61%</w:t>
            </w:r>
          </w:p>
        </w:tc>
      </w:tr>
      <w:tr w:rsidR="000A0ACD" w14:paraId="29687EFA"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34151178"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存货周转率（次</w:t>
            </w:r>
            <w:r>
              <w:rPr>
                <w:rFonts w:ascii="Times New Roman" w:hAnsi="Times New Roman" w:cs="Times New Roman" w:hint="eastAsia"/>
                <w:color w:val="000000"/>
                <w:sz w:val="21"/>
                <w:szCs w:val="21"/>
                <w:lang w:val="en-GB"/>
              </w:rPr>
              <w:t>/</w:t>
            </w:r>
            <w:r>
              <w:rPr>
                <w:rFonts w:ascii="Times New Roman" w:hAnsi="Times New Roman" w:cs="Times New Roman" w:hint="eastAsia"/>
                <w:color w:val="000000"/>
                <w:sz w:val="21"/>
                <w:szCs w:val="21"/>
                <w:lang w:val="en-GB"/>
              </w:rPr>
              <w:t>年）</w:t>
            </w:r>
          </w:p>
        </w:tc>
        <w:tc>
          <w:tcPr>
            <w:tcW w:w="665" w:type="pct"/>
            <w:tcBorders>
              <w:top w:val="single" w:sz="4" w:space="0" w:color="auto"/>
              <w:left w:val="single" w:sz="4" w:space="0" w:color="auto"/>
              <w:bottom w:val="single" w:sz="4" w:space="0" w:color="auto"/>
              <w:right w:val="single" w:sz="4" w:space="0" w:color="auto"/>
            </w:tcBorders>
            <w:vAlign w:val="center"/>
          </w:tcPr>
          <w:p w14:paraId="274C080E"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3.30</w:t>
            </w:r>
          </w:p>
        </w:tc>
        <w:tc>
          <w:tcPr>
            <w:tcW w:w="998" w:type="pct"/>
            <w:tcBorders>
              <w:top w:val="single" w:sz="4" w:space="0" w:color="auto"/>
              <w:left w:val="single" w:sz="4" w:space="0" w:color="auto"/>
              <w:bottom w:val="single" w:sz="4" w:space="0" w:color="auto"/>
              <w:right w:val="single" w:sz="4" w:space="0" w:color="auto"/>
            </w:tcBorders>
            <w:vAlign w:val="center"/>
          </w:tcPr>
          <w:p w14:paraId="2ADDC44C"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3.24</w:t>
            </w:r>
          </w:p>
        </w:tc>
        <w:tc>
          <w:tcPr>
            <w:tcW w:w="695" w:type="pct"/>
            <w:tcBorders>
              <w:top w:val="single" w:sz="4" w:space="0" w:color="auto"/>
              <w:left w:val="single" w:sz="4" w:space="0" w:color="auto"/>
              <w:bottom w:val="single" w:sz="4" w:space="0" w:color="auto"/>
              <w:right w:val="nil"/>
            </w:tcBorders>
            <w:vAlign w:val="center"/>
          </w:tcPr>
          <w:p w14:paraId="18C06ED4" w14:textId="77777777" w:rsidR="000A0ACD" w:rsidRDefault="00362A99">
            <w:pPr>
              <w:jc w:val="right"/>
              <w:rPr>
                <w:rFonts w:ascii="Times New Roman" w:eastAsia="等线" w:hAnsi="Times New Roman" w:cs="Times New Roman"/>
                <w:sz w:val="21"/>
                <w:szCs w:val="21"/>
              </w:rPr>
            </w:pPr>
            <w:r>
              <w:rPr>
                <w:rFonts w:ascii="Times New Roman" w:hAnsi="Times New Roman" w:cs="Times New Roman"/>
                <w:color w:val="000000"/>
                <w:sz w:val="21"/>
                <w:szCs w:val="21"/>
              </w:rPr>
              <w:t>-1.88%</w:t>
            </w:r>
          </w:p>
        </w:tc>
      </w:tr>
      <w:tr w:rsidR="000A0ACD" w14:paraId="33B44712" w14:textId="77777777">
        <w:trPr>
          <w:trHeight w:val="397"/>
          <w:jc w:val="center"/>
        </w:trPr>
        <w:tc>
          <w:tcPr>
            <w:tcW w:w="2643" w:type="pct"/>
            <w:tcBorders>
              <w:top w:val="single" w:sz="4" w:space="0" w:color="auto"/>
              <w:left w:val="nil"/>
              <w:bottom w:val="single" w:sz="12" w:space="0" w:color="auto"/>
              <w:right w:val="single" w:sz="4" w:space="0" w:color="auto"/>
            </w:tcBorders>
            <w:vAlign w:val="center"/>
          </w:tcPr>
          <w:p w14:paraId="28DC0CFF"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总资产周转率（次</w:t>
            </w:r>
            <w:r>
              <w:rPr>
                <w:rFonts w:ascii="Times New Roman" w:hAnsi="Times New Roman" w:cs="Times New Roman" w:hint="eastAsia"/>
                <w:color w:val="000000"/>
                <w:sz w:val="21"/>
                <w:szCs w:val="21"/>
                <w:lang w:val="en-GB"/>
              </w:rPr>
              <w:t>/</w:t>
            </w:r>
            <w:r>
              <w:rPr>
                <w:rFonts w:ascii="Times New Roman" w:hAnsi="Times New Roman" w:cs="Times New Roman" w:hint="eastAsia"/>
                <w:color w:val="000000"/>
                <w:sz w:val="21"/>
                <w:szCs w:val="21"/>
                <w:lang w:val="en-GB"/>
              </w:rPr>
              <w:t>年）</w:t>
            </w:r>
          </w:p>
        </w:tc>
        <w:tc>
          <w:tcPr>
            <w:tcW w:w="665" w:type="pct"/>
            <w:tcBorders>
              <w:top w:val="single" w:sz="4" w:space="0" w:color="auto"/>
              <w:left w:val="single" w:sz="4" w:space="0" w:color="auto"/>
              <w:bottom w:val="single" w:sz="12" w:space="0" w:color="auto"/>
              <w:right w:val="single" w:sz="4" w:space="0" w:color="auto"/>
            </w:tcBorders>
            <w:vAlign w:val="center"/>
          </w:tcPr>
          <w:p w14:paraId="1CEB53C0"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0.64</w:t>
            </w:r>
          </w:p>
        </w:tc>
        <w:tc>
          <w:tcPr>
            <w:tcW w:w="998" w:type="pct"/>
            <w:tcBorders>
              <w:top w:val="single" w:sz="4" w:space="0" w:color="auto"/>
              <w:left w:val="single" w:sz="4" w:space="0" w:color="auto"/>
              <w:bottom w:val="single" w:sz="12" w:space="0" w:color="auto"/>
              <w:right w:val="single" w:sz="4" w:space="0" w:color="auto"/>
            </w:tcBorders>
            <w:vAlign w:val="center"/>
          </w:tcPr>
          <w:p w14:paraId="0AF8C0AC"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0.60</w:t>
            </w:r>
          </w:p>
        </w:tc>
        <w:tc>
          <w:tcPr>
            <w:tcW w:w="695" w:type="pct"/>
            <w:tcBorders>
              <w:top w:val="single" w:sz="4" w:space="0" w:color="auto"/>
              <w:left w:val="single" w:sz="4" w:space="0" w:color="auto"/>
              <w:bottom w:val="single" w:sz="12" w:space="0" w:color="auto"/>
              <w:right w:val="nil"/>
            </w:tcBorders>
            <w:vAlign w:val="center"/>
          </w:tcPr>
          <w:p w14:paraId="04044ABF" w14:textId="77777777" w:rsidR="000A0ACD" w:rsidRDefault="00362A99">
            <w:pPr>
              <w:jc w:val="right"/>
              <w:rPr>
                <w:rFonts w:ascii="Times New Roman" w:eastAsia="等线" w:hAnsi="Times New Roman" w:cs="Times New Roman"/>
                <w:sz w:val="21"/>
                <w:szCs w:val="21"/>
              </w:rPr>
            </w:pPr>
            <w:r>
              <w:rPr>
                <w:rFonts w:ascii="Times New Roman" w:hAnsi="Times New Roman" w:cs="Times New Roman" w:hint="eastAsia"/>
                <w:color w:val="000000"/>
                <w:sz w:val="21"/>
                <w:szCs w:val="21"/>
              </w:rPr>
              <w:t>-7.16%</w:t>
            </w:r>
          </w:p>
        </w:tc>
      </w:tr>
    </w:tbl>
    <w:p w14:paraId="26175488"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本次交易完成后，上市公司扣除非经常性损益后的加权平均净资产收益率有所改善，净利率有所提高。本次交易完成后，上市公司基本每股收益等盈利指标较交易前有所提高，有利于提升上市公司资产质量、改善财务状况。</w:t>
      </w:r>
    </w:p>
    <w:p w14:paraId="6812BAD3"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三、本次收购有利于上市公司推动智能制造和信息化建设</w:t>
      </w:r>
    </w:p>
    <w:p w14:paraId="31960D3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上市公司</w:t>
      </w:r>
      <w:r>
        <w:rPr>
          <w:rFonts w:ascii="Times New Roman" w:hAnsi="Times New Roman" w:cs="Times New Roman" w:hint="eastAsia"/>
          <w:bCs/>
          <w:color w:val="000000"/>
          <w:szCs w:val="21"/>
        </w:rPr>
        <w:t>2021</w:t>
      </w:r>
      <w:r>
        <w:rPr>
          <w:rFonts w:ascii="Times New Roman" w:hAnsi="Times New Roman" w:cs="Times New Roman" w:hint="eastAsia"/>
          <w:bCs/>
          <w:color w:val="000000"/>
          <w:szCs w:val="21"/>
        </w:rPr>
        <w:t>年目标包括推动智能制造和信息化建设，针对现有生产线流程不合理、自动化水平低、生产线减员困难的问题，积极对接资源，统筹抓好各生产单位生产线智能化、数字化升级工作，并实现产品生产制造可追溯、产品成本归集更加精准、提高生产效率提升人均产值的三大目标。此外，上市公司计划积极巩固“展</w:t>
      </w:r>
      <w:r>
        <w:rPr>
          <w:rFonts w:ascii="Times New Roman" w:hAnsi="Times New Roman" w:cs="Times New Roman" w:hint="eastAsia"/>
          <w:bCs/>
          <w:color w:val="000000"/>
          <w:szCs w:val="21"/>
        </w:rPr>
        <w:t>e</w:t>
      </w:r>
      <w:r>
        <w:rPr>
          <w:rFonts w:ascii="Times New Roman" w:hAnsi="Times New Roman" w:cs="Times New Roman" w:hint="eastAsia"/>
          <w:bCs/>
          <w:color w:val="000000"/>
          <w:szCs w:val="21"/>
        </w:rPr>
        <w:t>计划”实施成果，提高企业网络化、信息化安全与应用水平，打破信息化孤岛，采用单域架构，将各子公司信息化集中管理。</w:t>
      </w:r>
    </w:p>
    <w:p w14:paraId="6484D0CA"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以企业信息化技术为驱动核心，以定制化智能制造装备为基础，为客户提供工业自动化、数字化、网络化、智能化的端到端、一站式产品和服务，包含工厂前期的整体规划、项目实施、交付验收、后续服务等各个阶段，其业务涉及智能制造领域的全周期、全过程。</w:t>
      </w:r>
    </w:p>
    <w:p w14:paraId="564AB3DE"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在生产线智能制造解决方案各个层面，均有自己的产品及其相关的集成应用。作为工业自动化和智能制造领域的高新技术企业，北洋天青是国内早期进行“智能制造全集成”布局的企业之一。北洋天青形成的工业机器人本体及系统集成、智能制造装备、机器视觉、测试系统集成、模具立体库自动换模系统、物流悬挂输送系统和企业信息化七大产品线业务板块，覆盖企业智能制造的主要</w:t>
      </w:r>
      <w:r>
        <w:rPr>
          <w:rFonts w:ascii="Times New Roman" w:hAnsi="Times New Roman" w:cs="Times New Roman" w:hint="eastAsia"/>
          <w:bCs/>
          <w:color w:val="000000"/>
          <w:szCs w:val="21"/>
        </w:rPr>
        <w:lastRenderedPageBreak/>
        <w:t>核心板块，加之北洋天青自身具备智能设备设计开发能力，通过依托自身的综合集成能力，是国内能全方位为企业提供自动化、网络化、数字化的智能制造整体解决方案和产品服务的智能制造运营商之一。北洋天青的技术已涉及数字工厂建设的全过程，不仅能为客户提供智能化数字化工厂的整体解决方案，还能提供全集成的自动化设备、数字化工艺、智能化监管、智能排产、质量追溯、以及产品的准时生产。</w:t>
      </w:r>
    </w:p>
    <w:p w14:paraId="0AE3275D" w14:textId="44E7491F"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在智能制造基础层，北洋天青拥有完备的自动化专机和生产线设计、制造能力，在具体业务层面体现如下：在智能制造装备业务层，北洋天青能够为客户提供专业的自动化物流及智能制造装备；在设备控制层，北洋天青拥有</w:t>
      </w:r>
      <w:r>
        <w:rPr>
          <w:rFonts w:ascii="Times New Roman" w:hAnsi="Times New Roman" w:cs="Times New Roman" w:hint="eastAsia"/>
          <w:bCs/>
          <w:color w:val="000000"/>
          <w:szCs w:val="21"/>
        </w:rPr>
        <w:t>PLC</w:t>
      </w:r>
      <w:r>
        <w:rPr>
          <w:rFonts w:ascii="Times New Roman" w:hAnsi="Times New Roman" w:cs="Times New Roman"/>
          <w:bCs/>
          <w:color w:val="000000"/>
          <w:szCs w:val="21"/>
        </w:rPr>
        <w:t>以及</w:t>
      </w:r>
      <w:r>
        <w:rPr>
          <w:rFonts w:ascii="Times New Roman" w:hAnsi="Times New Roman" w:cs="Times New Roman" w:hint="eastAsia"/>
          <w:bCs/>
          <w:color w:val="000000"/>
          <w:szCs w:val="21"/>
        </w:rPr>
        <w:t>各类机器人应用控制等控制程序的开发能力，自主开发的</w:t>
      </w:r>
      <w:r>
        <w:rPr>
          <w:rFonts w:ascii="Times New Roman" w:hAnsi="Times New Roman" w:cs="Times New Roman" w:hint="eastAsia"/>
          <w:bCs/>
          <w:color w:val="000000"/>
          <w:szCs w:val="21"/>
        </w:rPr>
        <w:t>SCADA</w:t>
      </w:r>
      <w:r>
        <w:rPr>
          <w:rFonts w:ascii="Times New Roman" w:hAnsi="Times New Roman" w:cs="Times New Roman" w:hint="eastAsia"/>
          <w:bCs/>
          <w:color w:val="000000"/>
          <w:szCs w:val="21"/>
        </w:rPr>
        <w:t>等数据采集软件，打通信息孤岛，做到设备控制层数据的互联互通；在企业信息化板块，北洋天青已有多年的技术积累，已形成自主的信息化工业软件系统，包括</w:t>
      </w:r>
      <w:r>
        <w:rPr>
          <w:rFonts w:ascii="Times New Roman" w:hAnsi="Times New Roman" w:cs="Times New Roman" w:hint="eastAsia"/>
          <w:bCs/>
          <w:color w:val="000000"/>
          <w:szCs w:val="21"/>
        </w:rPr>
        <w:t>APS</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MES</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SCADA</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WMS</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WCS</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RFS</w:t>
      </w:r>
      <w:r>
        <w:rPr>
          <w:rFonts w:ascii="Times New Roman" w:hAnsi="Times New Roman" w:cs="Times New Roman" w:hint="eastAsia"/>
          <w:bCs/>
          <w:color w:val="000000"/>
          <w:szCs w:val="21"/>
        </w:rPr>
        <w:t>等系统。截至本回复出具日，标的公司已获得实用新型专利</w:t>
      </w: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项，发明专利</w:t>
      </w:r>
      <w:r>
        <w:rPr>
          <w:rFonts w:ascii="Times New Roman" w:hAnsi="Times New Roman" w:cs="Times New Roman" w:hint="eastAsia"/>
          <w:bCs/>
          <w:color w:val="000000"/>
          <w:szCs w:val="21"/>
        </w:rPr>
        <w:t>1</w:t>
      </w:r>
      <w:r>
        <w:rPr>
          <w:rFonts w:ascii="Times New Roman" w:hAnsi="Times New Roman" w:cs="Times New Roman" w:hint="eastAsia"/>
          <w:bCs/>
          <w:color w:val="000000"/>
          <w:szCs w:val="21"/>
        </w:rPr>
        <w:t>项，计算机软件著作权</w:t>
      </w:r>
      <w:r>
        <w:rPr>
          <w:rFonts w:ascii="Times New Roman" w:hAnsi="Times New Roman" w:cs="Times New Roman" w:hint="eastAsia"/>
          <w:bCs/>
          <w:color w:val="000000"/>
          <w:szCs w:val="21"/>
        </w:rPr>
        <w:t>8</w:t>
      </w:r>
      <w:r>
        <w:rPr>
          <w:rFonts w:ascii="Times New Roman" w:hAnsi="Times New Roman" w:cs="Times New Roman" w:hint="eastAsia"/>
          <w:bCs/>
          <w:color w:val="000000"/>
          <w:szCs w:val="21"/>
        </w:rPr>
        <w:t>项，同时有</w:t>
      </w:r>
      <w:r>
        <w:rPr>
          <w:rFonts w:ascii="Times New Roman" w:hAnsi="Times New Roman" w:cs="Times New Roman" w:hint="eastAsia"/>
          <w:bCs/>
          <w:color w:val="000000"/>
          <w:szCs w:val="21"/>
        </w:rPr>
        <w:t>2</w:t>
      </w:r>
      <w:r>
        <w:rPr>
          <w:rFonts w:ascii="Times New Roman" w:hAnsi="Times New Roman" w:cs="Times New Roman"/>
          <w:bCs/>
          <w:color w:val="000000"/>
          <w:szCs w:val="21"/>
        </w:rPr>
        <w:t>0</w:t>
      </w:r>
      <w:r>
        <w:rPr>
          <w:rFonts w:ascii="Times New Roman" w:hAnsi="Times New Roman" w:cs="Times New Roman" w:hint="eastAsia"/>
          <w:bCs/>
          <w:color w:val="000000"/>
          <w:szCs w:val="21"/>
        </w:rPr>
        <w:t>项专利已获得受理通知书。</w:t>
      </w:r>
    </w:p>
    <w:p w14:paraId="4769DAD9"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深耕家电行业，积极拓展技术应用，拥有较强的技术优势，首创物流悬挂输送系统技术、模具立体库自动换模系统技术以及自动上压板机技术三大技术，具有一定的技术壁垒。北洋天青持续进行与三项首创技术相关的专利及软件著作权申请，</w:t>
      </w:r>
      <w:bookmarkStart w:id="10" w:name="_Hlk69804122"/>
      <w:r>
        <w:rPr>
          <w:rFonts w:ascii="Times New Roman" w:hAnsi="Times New Roman" w:cs="Times New Roman" w:hint="eastAsia"/>
          <w:bCs/>
          <w:color w:val="000000"/>
          <w:szCs w:val="21"/>
        </w:rPr>
        <w:t>具体情况如下表所示：</w:t>
      </w:r>
    </w:p>
    <w:tbl>
      <w:tblPr>
        <w:tblW w:w="5000" w:type="pct"/>
        <w:jc w:val="center"/>
        <w:tblBorders>
          <w:top w:val="single" w:sz="12" w:space="0" w:color="auto"/>
          <w:bottom w:val="single" w:sz="12" w:space="0" w:color="auto"/>
          <w:insideH w:val="single" w:sz="4" w:space="0" w:color="000000"/>
          <w:insideV w:val="single" w:sz="4" w:space="0" w:color="000000"/>
        </w:tblBorders>
        <w:tblLayout w:type="fixed"/>
        <w:tblLook w:val="04A0" w:firstRow="1" w:lastRow="0" w:firstColumn="1" w:lastColumn="0" w:noHBand="0" w:noVBand="1"/>
      </w:tblPr>
      <w:tblGrid>
        <w:gridCol w:w="566"/>
        <w:gridCol w:w="1525"/>
        <w:gridCol w:w="1396"/>
        <w:gridCol w:w="1164"/>
        <w:gridCol w:w="728"/>
        <w:gridCol w:w="874"/>
        <w:gridCol w:w="873"/>
        <w:gridCol w:w="1396"/>
      </w:tblGrid>
      <w:tr w:rsidR="000A0ACD" w14:paraId="619F0355" w14:textId="77777777">
        <w:trPr>
          <w:trHeight w:val="397"/>
          <w:tblHeader/>
          <w:jc w:val="center"/>
        </w:trPr>
        <w:tc>
          <w:tcPr>
            <w:tcW w:w="332" w:type="pct"/>
            <w:shd w:val="clear" w:color="auto" w:fill="auto"/>
            <w:noWrap/>
            <w:vAlign w:val="center"/>
          </w:tcPr>
          <w:p w14:paraId="42FD9C49"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序号</w:t>
            </w:r>
          </w:p>
        </w:tc>
        <w:tc>
          <w:tcPr>
            <w:tcW w:w="895" w:type="pct"/>
            <w:shd w:val="clear" w:color="auto" w:fill="auto"/>
            <w:noWrap/>
            <w:vAlign w:val="center"/>
          </w:tcPr>
          <w:p w14:paraId="1661741D"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申请专利名称</w:t>
            </w:r>
            <w:r>
              <w:rPr>
                <w:rFonts w:ascii="Times New Roman" w:hAnsi="Times New Roman" w:cs="Times New Roman" w:hint="eastAsia"/>
                <w:b/>
                <w:bCs/>
                <w:sz w:val="21"/>
                <w:szCs w:val="21"/>
              </w:rPr>
              <w:t>/</w:t>
            </w:r>
            <w:r>
              <w:rPr>
                <w:rFonts w:ascii="Times New Roman" w:hAnsi="Times New Roman" w:cs="Times New Roman" w:hint="eastAsia"/>
                <w:b/>
                <w:bCs/>
                <w:sz w:val="21"/>
                <w:szCs w:val="21"/>
              </w:rPr>
              <w:t>软件著作权名称</w:t>
            </w:r>
          </w:p>
        </w:tc>
        <w:tc>
          <w:tcPr>
            <w:tcW w:w="819" w:type="pct"/>
            <w:shd w:val="clear" w:color="auto" w:fill="auto"/>
            <w:noWrap/>
            <w:vAlign w:val="center"/>
          </w:tcPr>
          <w:p w14:paraId="33B03CF9"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申请专利号</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软著号</w:t>
            </w:r>
          </w:p>
        </w:tc>
        <w:tc>
          <w:tcPr>
            <w:tcW w:w="683" w:type="pct"/>
            <w:shd w:val="clear" w:color="auto" w:fill="auto"/>
            <w:noWrap/>
            <w:vAlign w:val="center"/>
          </w:tcPr>
          <w:p w14:paraId="0B1FFE64"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申请日期</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授权日期</w:t>
            </w:r>
          </w:p>
        </w:tc>
        <w:tc>
          <w:tcPr>
            <w:tcW w:w="427" w:type="pct"/>
            <w:shd w:val="clear" w:color="auto" w:fill="auto"/>
            <w:noWrap/>
            <w:vAlign w:val="center"/>
          </w:tcPr>
          <w:p w14:paraId="656F0550"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申请人</w:t>
            </w:r>
          </w:p>
        </w:tc>
        <w:tc>
          <w:tcPr>
            <w:tcW w:w="513" w:type="pct"/>
            <w:shd w:val="clear" w:color="auto" w:fill="auto"/>
            <w:noWrap/>
            <w:vAlign w:val="center"/>
          </w:tcPr>
          <w:p w14:paraId="6F2BB6BC"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类型</w:t>
            </w:r>
          </w:p>
        </w:tc>
        <w:tc>
          <w:tcPr>
            <w:tcW w:w="512" w:type="pct"/>
            <w:vAlign w:val="center"/>
          </w:tcPr>
          <w:p w14:paraId="7B0E40FB"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状态</w:t>
            </w:r>
          </w:p>
        </w:tc>
        <w:tc>
          <w:tcPr>
            <w:tcW w:w="819" w:type="pct"/>
            <w:vAlign w:val="center"/>
          </w:tcPr>
          <w:p w14:paraId="6CDFD298"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备注</w:t>
            </w:r>
          </w:p>
        </w:tc>
      </w:tr>
      <w:tr w:rsidR="000A0ACD" w14:paraId="6E0AC2C6" w14:textId="77777777">
        <w:trPr>
          <w:trHeight w:val="397"/>
          <w:jc w:val="center"/>
        </w:trPr>
        <w:tc>
          <w:tcPr>
            <w:tcW w:w="332" w:type="pct"/>
            <w:shd w:val="clear" w:color="auto" w:fill="auto"/>
            <w:vAlign w:val="center"/>
          </w:tcPr>
          <w:p w14:paraId="2C4FC64C"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895" w:type="pct"/>
            <w:shd w:val="clear" w:color="auto" w:fill="auto"/>
            <w:vAlign w:val="center"/>
          </w:tcPr>
          <w:p w14:paraId="0B77131A" w14:textId="77777777" w:rsidR="000A0ACD" w:rsidRDefault="00362A99">
            <w:pPr>
              <w:wordWrap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家电行业过程控制及物流执行系统</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简称</w:t>
            </w:r>
            <w:r>
              <w:rPr>
                <w:rFonts w:ascii="Times New Roman" w:hAnsi="Times New Roman" w:cs="Times New Roman" w:hint="eastAsia"/>
                <w:color w:val="000000"/>
                <w:sz w:val="21"/>
                <w:szCs w:val="21"/>
              </w:rPr>
              <w:t>]LESV1.0</w:t>
            </w:r>
          </w:p>
        </w:tc>
        <w:tc>
          <w:tcPr>
            <w:tcW w:w="819" w:type="pct"/>
            <w:shd w:val="clear" w:color="auto" w:fill="auto"/>
            <w:vAlign w:val="center"/>
          </w:tcPr>
          <w:p w14:paraId="7224767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软著登字第</w:t>
            </w:r>
            <w:r>
              <w:rPr>
                <w:rFonts w:ascii="Times New Roman" w:hAnsi="Times New Roman" w:cs="Times New Roman" w:hint="eastAsia"/>
                <w:color w:val="000000"/>
                <w:sz w:val="21"/>
                <w:szCs w:val="21"/>
              </w:rPr>
              <w:t>3234167</w:t>
            </w:r>
            <w:r>
              <w:rPr>
                <w:rFonts w:ascii="Times New Roman" w:hAnsi="Times New Roman" w:cs="Times New Roman" w:hint="eastAsia"/>
                <w:color w:val="000000"/>
                <w:sz w:val="21"/>
                <w:szCs w:val="21"/>
              </w:rPr>
              <w:t>号</w:t>
            </w:r>
          </w:p>
        </w:tc>
        <w:tc>
          <w:tcPr>
            <w:tcW w:w="683" w:type="pct"/>
            <w:shd w:val="clear" w:color="auto" w:fill="auto"/>
            <w:vAlign w:val="center"/>
          </w:tcPr>
          <w:p w14:paraId="7BE222B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20</w:t>
            </w:r>
            <w:r>
              <w:rPr>
                <w:rFonts w:ascii="Times New Roman" w:hAnsi="Times New Roman" w:cs="Times New Roman" w:hint="eastAsia"/>
                <w:color w:val="000000"/>
                <w:sz w:val="21"/>
                <w:szCs w:val="21"/>
              </w:rPr>
              <w:t>日</w:t>
            </w:r>
          </w:p>
        </w:tc>
        <w:tc>
          <w:tcPr>
            <w:tcW w:w="427" w:type="pct"/>
            <w:shd w:val="clear" w:color="auto" w:fill="auto"/>
            <w:vAlign w:val="center"/>
          </w:tcPr>
          <w:p w14:paraId="2D5A1AF3"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74C8A1BC"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计算机软件著作权</w:t>
            </w:r>
          </w:p>
        </w:tc>
        <w:tc>
          <w:tcPr>
            <w:tcW w:w="512" w:type="pct"/>
            <w:vAlign w:val="center"/>
          </w:tcPr>
          <w:p w14:paraId="4FF191BF"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已授权</w:t>
            </w:r>
          </w:p>
        </w:tc>
        <w:tc>
          <w:tcPr>
            <w:tcW w:w="819" w:type="pct"/>
            <w:vAlign w:val="center"/>
          </w:tcPr>
          <w:p w14:paraId="01712E52"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0A0ACD" w14:paraId="068FFD9D" w14:textId="77777777">
        <w:trPr>
          <w:trHeight w:val="397"/>
          <w:jc w:val="center"/>
        </w:trPr>
        <w:tc>
          <w:tcPr>
            <w:tcW w:w="332" w:type="pct"/>
            <w:shd w:val="clear" w:color="auto" w:fill="auto"/>
            <w:vAlign w:val="center"/>
          </w:tcPr>
          <w:p w14:paraId="2DDF0E9B"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895" w:type="pct"/>
            <w:shd w:val="clear" w:color="auto" w:fill="auto"/>
            <w:vAlign w:val="center"/>
          </w:tcPr>
          <w:p w14:paraId="61402C3E" w14:textId="77777777" w:rsidR="000A0ACD" w:rsidRDefault="00362A99">
            <w:pPr>
              <w:wordWrap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家电行业制造运营管理系统</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简称：</w:t>
            </w:r>
            <w:r>
              <w:rPr>
                <w:rFonts w:ascii="Times New Roman" w:hAnsi="Times New Roman" w:cs="Times New Roman" w:hint="eastAsia"/>
                <w:color w:val="000000"/>
                <w:sz w:val="21"/>
                <w:szCs w:val="21"/>
              </w:rPr>
              <w:t>MOM]V1.0</w:t>
            </w:r>
          </w:p>
        </w:tc>
        <w:tc>
          <w:tcPr>
            <w:tcW w:w="819" w:type="pct"/>
            <w:shd w:val="clear" w:color="auto" w:fill="auto"/>
            <w:vAlign w:val="center"/>
          </w:tcPr>
          <w:p w14:paraId="75EE41D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软著登字第</w:t>
            </w:r>
            <w:r>
              <w:rPr>
                <w:rFonts w:ascii="Times New Roman" w:hAnsi="Times New Roman" w:cs="Times New Roman" w:hint="eastAsia"/>
                <w:color w:val="000000"/>
                <w:sz w:val="21"/>
                <w:szCs w:val="21"/>
              </w:rPr>
              <w:t>3234185</w:t>
            </w:r>
            <w:r>
              <w:rPr>
                <w:rFonts w:ascii="Times New Roman" w:hAnsi="Times New Roman" w:cs="Times New Roman" w:hint="eastAsia"/>
                <w:color w:val="000000"/>
                <w:sz w:val="21"/>
                <w:szCs w:val="21"/>
              </w:rPr>
              <w:t>号</w:t>
            </w:r>
          </w:p>
        </w:tc>
        <w:tc>
          <w:tcPr>
            <w:tcW w:w="683" w:type="pct"/>
            <w:shd w:val="clear" w:color="auto" w:fill="auto"/>
            <w:vAlign w:val="center"/>
          </w:tcPr>
          <w:p w14:paraId="506147A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30</w:t>
            </w:r>
            <w:r>
              <w:rPr>
                <w:rFonts w:ascii="Times New Roman" w:hAnsi="Times New Roman" w:cs="Times New Roman" w:hint="eastAsia"/>
                <w:color w:val="000000"/>
                <w:sz w:val="21"/>
                <w:szCs w:val="21"/>
              </w:rPr>
              <w:t>日</w:t>
            </w:r>
          </w:p>
        </w:tc>
        <w:tc>
          <w:tcPr>
            <w:tcW w:w="427" w:type="pct"/>
            <w:shd w:val="clear" w:color="auto" w:fill="auto"/>
            <w:vAlign w:val="center"/>
          </w:tcPr>
          <w:p w14:paraId="3F068418"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78066FEC"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计算机软件著作权</w:t>
            </w:r>
          </w:p>
        </w:tc>
        <w:tc>
          <w:tcPr>
            <w:tcW w:w="512" w:type="pct"/>
            <w:vAlign w:val="center"/>
          </w:tcPr>
          <w:p w14:paraId="2A009D75"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已授权</w:t>
            </w:r>
          </w:p>
        </w:tc>
        <w:tc>
          <w:tcPr>
            <w:tcW w:w="819" w:type="pct"/>
            <w:vAlign w:val="center"/>
          </w:tcPr>
          <w:p w14:paraId="74A55A8E"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0A0ACD" w14:paraId="416CC427" w14:textId="77777777">
        <w:trPr>
          <w:trHeight w:val="397"/>
          <w:jc w:val="center"/>
        </w:trPr>
        <w:tc>
          <w:tcPr>
            <w:tcW w:w="332" w:type="pct"/>
            <w:shd w:val="clear" w:color="auto" w:fill="auto"/>
            <w:vAlign w:val="center"/>
          </w:tcPr>
          <w:p w14:paraId="5D01259C"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895" w:type="pct"/>
            <w:shd w:val="clear" w:color="auto" w:fill="auto"/>
            <w:vAlign w:val="center"/>
          </w:tcPr>
          <w:p w14:paraId="100CA6A5" w14:textId="77777777" w:rsidR="000A0ACD" w:rsidRDefault="00362A99">
            <w:pPr>
              <w:wordWrap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自动化物流智能终端管理系统</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简称：</w:t>
            </w:r>
            <w:r>
              <w:rPr>
                <w:rFonts w:ascii="Times New Roman" w:hAnsi="Times New Roman" w:cs="Times New Roman" w:hint="eastAsia"/>
                <w:color w:val="000000"/>
                <w:sz w:val="21"/>
                <w:szCs w:val="21"/>
              </w:rPr>
              <w:t>RFS]V1.0</w:t>
            </w:r>
          </w:p>
        </w:tc>
        <w:tc>
          <w:tcPr>
            <w:tcW w:w="819" w:type="pct"/>
            <w:shd w:val="clear" w:color="auto" w:fill="auto"/>
            <w:vAlign w:val="center"/>
          </w:tcPr>
          <w:p w14:paraId="5061BAA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软著登字第</w:t>
            </w:r>
            <w:r>
              <w:rPr>
                <w:rFonts w:ascii="Times New Roman" w:hAnsi="Times New Roman" w:cs="Times New Roman" w:hint="eastAsia"/>
                <w:color w:val="000000"/>
                <w:sz w:val="21"/>
                <w:szCs w:val="21"/>
              </w:rPr>
              <w:t>1346975</w:t>
            </w:r>
            <w:r>
              <w:rPr>
                <w:rFonts w:ascii="Times New Roman" w:hAnsi="Times New Roman" w:cs="Times New Roman" w:hint="eastAsia"/>
                <w:color w:val="000000"/>
                <w:sz w:val="21"/>
                <w:szCs w:val="21"/>
              </w:rPr>
              <w:t>号</w:t>
            </w:r>
          </w:p>
        </w:tc>
        <w:tc>
          <w:tcPr>
            <w:tcW w:w="683" w:type="pct"/>
            <w:shd w:val="clear" w:color="auto" w:fill="auto"/>
            <w:vAlign w:val="center"/>
          </w:tcPr>
          <w:p w14:paraId="50430AD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15</w:t>
            </w:r>
            <w:r>
              <w:rPr>
                <w:rFonts w:ascii="Times New Roman" w:hAnsi="Times New Roman" w:cs="Times New Roman" w:hint="eastAsia"/>
                <w:color w:val="000000"/>
                <w:sz w:val="21"/>
                <w:szCs w:val="21"/>
              </w:rPr>
              <w:t>日</w:t>
            </w:r>
          </w:p>
        </w:tc>
        <w:tc>
          <w:tcPr>
            <w:tcW w:w="427" w:type="pct"/>
            <w:shd w:val="clear" w:color="auto" w:fill="auto"/>
            <w:vAlign w:val="center"/>
          </w:tcPr>
          <w:p w14:paraId="37038FFB"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1EB75AAA"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计算机软件著作权</w:t>
            </w:r>
          </w:p>
        </w:tc>
        <w:tc>
          <w:tcPr>
            <w:tcW w:w="512" w:type="pct"/>
            <w:vAlign w:val="center"/>
          </w:tcPr>
          <w:p w14:paraId="7B1DF45C"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已授权</w:t>
            </w:r>
          </w:p>
        </w:tc>
        <w:tc>
          <w:tcPr>
            <w:tcW w:w="819" w:type="pct"/>
            <w:vAlign w:val="center"/>
          </w:tcPr>
          <w:p w14:paraId="47346E00"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0A0ACD" w14:paraId="16D4B5DD" w14:textId="77777777">
        <w:trPr>
          <w:trHeight w:val="397"/>
          <w:jc w:val="center"/>
        </w:trPr>
        <w:tc>
          <w:tcPr>
            <w:tcW w:w="332" w:type="pct"/>
            <w:shd w:val="clear" w:color="auto" w:fill="auto"/>
            <w:vAlign w:val="center"/>
          </w:tcPr>
          <w:p w14:paraId="04ADD0F5"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lastRenderedPageBreak/>
              <w:t>4</w:t>
            </w:r>
          </w:p>
        </w:tc>
        <w:tc>
          <w:tcPr>
            <w:tcW w:w="895" w:type="pct"/>
            <w:shd w:val="clear" w:color="auto" w:fill="auto"/>
            <w:vAlign w:val="center"/>
          </w:tcPr>
          <w:p w14:paraId="1B35F0BE" w14:textId="77777777" w:rsidR="000A0ACD" w:rsidRDefault="00362A99">
            <w:pPr>
              <w:wordWrap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自动化物流调度控制系统</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简称：</w:t>
            </w:r>
            <w:r>
              <w:rPr>
                <w:rFonts w:ascii="Times New Roman" w:hAnsi="Times New Roman" w:cs="Times New Roman" w:hint="eastAsia"/>
                <w:color w:val="000000"/>
                <w:sz w:val="21"/>
                <w:szCs w:val="21"/>
              </w:rPr>
              <w:t>WCS]v1.0</w:t>
            </w:r>
          </w:p>
        </w:tc>
        <w:tc>
          <w:tcPr>
            <w:tcW w:w="819" w:type="pct"/>
            <w:shd w:val="clear" w:color="auto" w:fill="auto"/>
            <w:vAlign w:val="center"/>
          </w:tcPr>
          <w:p w14:paraId="7F61632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软著登字第</w:t>
            </w:r>
            <w:r>
              <w:rPr>
                <w:rFonts w:ascii="Times New Roman" w:hAnsi="Times New Roman" w:cs="Times New Roman" w:hint="eastAsia"/>
                <w:color w:val="000000"/>
                <w:sz w:val="21"/>
                <w:szCs w:val="21"/>
              </w:rPr>
              <w:t>1346969</w:t>
            </w:r>
            <w:r>
              <w:rPr>
                <w:rFonts w:ascii="Times New Roman" w:hAnsi="Times New Roman" w:cs="Times New Roman" w:hint="eastAsia"/>
                <w:color w:val="000000"/>
                <w:sz w:val="21"/>
                <w:szCs w:val="21"/>
              </w:rPr>
              <w:t>号</w:t>
            </w:r>
          </w:p>
        </w:tc>
        <w:tc>
          <w:tcPr>
            <w:tcW w:w="683" w:type="pct"/>
            <w:shd w:val="clear" w:color="auto" w:fill="auto"/>
            <w:vAlign w:val="center"/>
          </w:tcPr>
          <w:p w14:paraId="562640A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15</w:t>
            </w:r>
            <w:r>
              <w:rPr>
                <w:rFonts w:ascii="Times New Roman" w:hAnsi="Times New Roman" w:cs="Times New Roman" w:hint="eastAsia"/>
                <w:color w:val="000000"/>
                <w:sz w:val="21"/>
                <w:szCs w:val="21"/>
              </w:rPr>
              <w:t>日</w:t>
            </w:r>
          </w:p>
        </w:tc>
        <w:tc>
          <w:tcPr>
            <w:tcW w:w="427" w:type="pct"/>
            <w:shd w:val="clear" w:color="auto" w:fill="auto"/>
            <w:vAlign w:val="center"/>
          </w:tcPr>
          <w:p w14:paraId="148B7DB9"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4662CC04"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计算机软件著作权</w:t>
            </w:r>
          </w:p>
        </w:tc>
        <w:tc>
          <w:tcPr>
            <w:tcW w:w="512" w:type="pct"/>
            <w:vAlign w:val="center"/>
          </w:tcPr>
          <w:p w14:paraId="57399CEE"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已授权</w:t>
            </w:r>
          </w:p>
        </w:tc>
        <w:tc>
          <w:tcPr>
            <w:tcW w:w="819" w:type="pct"/>
            <w:vAlign w:val="center"/>
          </w:tcPr>
          <w:p w14:paraId="58462A61"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0A0ACD" w14:paraId="4C3A7A16" w14:textId="77777777">
        <w:trPr>
          <w:trHeight w:val="397"/>
          <w:jc w:val="center"/>
        </w:trPr>
        <w:tc>
          <w:tcPr>
            <w:tcW w:w="332" w:type="pct"/>
            <w:shd w:val="clear" w:color="auto" w:fill="auto"/>
            <w:vAlign w:val="center"/>
          </w:tcPr>
          <w:p w14:paraId="7951A4F7"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895" w:type="pct"/>
            <w:shd w:val="clear" w:color="auto" w:fill="auto"/>
            <w:vAlign w:val="center"/>
          </w:tcPr>
          <w:p w14:paraId="4C329516" w14:textId="77777777" w:rsidR="000A0ACD" w:rsidRDefault="00362A99">
            <w:pPr>
              <w:wordWrap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自动化立库管理系统</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简称：</w:t>
            </w:r>
            <w:r>
              <w:rPr>
                <w:rFonts w:ascii="Times New Roman" w:hAnsi="Times New Roman" w:cs="Times New Roman" w:hint="eastAsia"/>
                <w:color w:val="000000"/>
                <w:sz w:val="21"/>
                <w:szCs w:val="21"/>
              </w:rPr>
              <w:t>WMS]V1.0</w:t>
            </w:r>
          </w:p>
        </w:tc>
        <w:tc>
          <w:tcPr>
            <w:tcW w:w="819" w:type="pct"/>
            <w:shd w:val="clear" w:color="auto" w:fill="auto"/>
            <w:vAlign w:val="center"/>
          </w:tcPr>
          <w:p w14:paraId="4B8E427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软著登字第</w:t>
            </w:r>
            <w:r>
              <w:rPr>
                <w:rFonts w:ascii="Times New Roman" w:hAnsi="Times New Roman" w:cs="Times New Roman" w:hint="eastAsia"/>
                <w:color w:val="000000"/>
                <w:sz w:val="21"/>
                <w:szCs w:val="21"/>
              </w:rPr>
              <w:t>1347013</w:t>
            </w:r>
            <w:r>
              <w:rPr>
                <w:rFonts w:ascii="Times New Roman" w:hAnsi="Times New Roman" w:cs="Times New Roman" w:hint="eastAsia"/>
                <w:color w:val="000000"/>
                <w:sz w:val="21"/>
                <w:szCs w:val="21"/>
              </w:rPr>
              <w:t>号</w:t>
            </w:r>
          </w:p>
        </w:tc>
        <w:tc>
          <w:tcPr>
            <w:tcW w:w="683" w:type="pct"/>
            <w:shd w:val="clear" w:color="auto" w:fill="auto"/>
            <w:vAlign w:val="center"/>
          </w:tcPr>
          <w:p w14:paraId="2B99728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15</w:t>
            </w:r>
            <w:r>
              <w:rPr>
                <w:rFonts w:ascii="Times New Roman" w:hAnsi="Times New Roman" w:cs="Times New Roman" w:hint="eastAsia"/>
                <w:color w:val="000000"/>
                <w:sz w:val="21"/>
                <w:szCs w:val="21"/>
              </w:rPr>
              <w:t>日</w:t>
            </w:r>
          </w:p>
        </w:tc>
        <w:tc>
          <w:tcPr>
            <w:tcW w:w="427" w:type="pct"/>
            <w:shd w:val="clear" w:color="auto" w:fill="auto"/>
            <w:vAlign w:val="center"/>
          </w:tcPr>
          <w:p w14:paraId="38CC6D74"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158FDA01"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计算机软件著作权</w:t>
            </w:r>
          </w:p>
        </w:tc>
        <w:tc>
          <w:tcPr>
            <w:tcW w:w="512" w:type="pct"/>
            <w:vAlign w:val="center"/>
          </w:tcPr>
          <w:p w14:paraId="4AAB0A31"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已授权</w:t>
            </w:r>
          </w:p>
        </w:tc>
        <w:tc>
          <w:tcPr>
            <w:tcW w:w="819" w:type="pct"/>
            <w:vAlign w:val="center"/>
          </w:tcPr>
          <w:p w14:paraId="1EB2CBA0"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A57C63" w14:paraId="30DF519A" w14:textId="77777777">
        <w:trPr>
          <w:trHeight w:val="397"/>
          <w:jc w:val="center"/>
        </w:trPr>
        <w:tc>
          <w:tcPr>
            <w:tcW w:w="332" w:type="pct"/>
            <w:shd w:val="clear" w:color="auto" w:fill="auto"/>
            <w:vAlign w:val="center"/>
          </w:tcPr>
          <w:p w14:paraId="7A6A8A56" w14:textId="77777777" w:rsidR="00A57C63" w:rsidRDefault="00A57C63" w:rsidP="00A57C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w:t>
            </w:r>
          </w:p>
        </w:tc>
        <w:tc>
          <w:tcPr>
            <w:tcW w:w="895" w:type="pct"/>
            <w:shd w:val="clear" w:color="auto" w:fill="auto"/>
            <w:vAlign w:val="center"/>
          </w:tcPr>
          <w:p w14:paraId="6449F81B" w14:textId="77777777" w:rsidR="00A57C63" w:rsidRDefault="00A57C63" w:rsidP="00A57C63">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一种门体配送的空中积放控制系统及其方法</w:t>
            </w:r>
          </w:p>
        </w:tc>
        <w:tc>
          <w:tcPr>
            <w:tcW w:w="819" w:type="pct"/>
            <w:shd w:val="clear" w:color="auto" w:fill="auto"/>
            <w:vAlign w:val="center"/>
          </w:tcPr>
          <w:p w14:paraId="04C00F2F" w14:textId="40DB4AE0" w:rsidR="00A57C63" w:rsidRDefault="00A57C63" w:rsidP="00A57C63">
            <w:pPr>
              <w:adjustRightInd w:val="0"/>
              <w:snapToGrid w:val="0"/>
              <w:jc w:val="center"/>
              <w:rPr>
                <w:rFonts w:ascii="Times New Roman" w:hAnsi="Times New Roman" w:cs="Times New Roman"/>
                <w:color w:val="000000"/>
                <w:sz w:val="21"/>
                <w:szCs w:val="21"/>
              </w:rPr>
            </w:pPr>
            <w:r w:rsidRPr="00722E5D">
              <w:rPr>
                <w:rFonts w:ascii="Times New Roman" w:hAnsi="Times New Roman"/>
                <w:color w:val="000000"/>
                <w:sz w:val="21"/>
                <w:szCs w:val="21"/>
              </w:rPr>
              <w:t>2020113353223</w:t>
            </w:r>
          </w:p>
        </w:tc>
        <w:tc>
          <w:tcPr>
            <w:tcW w:w="683" w:type="pct"/>
            <w:shd w:val="clear" w:color="auto" w:fill="auto"/>
            <w:vAlign w:val="center"/>
          </w:tcPr>
          <w:p w14:paraId="57133CB7"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25</w:t>
            </w:r>
            <w:r>
              <w:rPr>
                <w:rFonts w:ascii="Times New Roman" w:hAnsi="Times New Roman" w:cs="Times New Roman" w:hint="eastAsia"/>
                <w:color w:val="000000"/>
                <w:sz w:val="21"/>
                <w:szCs w:val="21"/>
              </w:rPr>
              <w:t>日</w:t>
            </w:r>
          </w:p>
        </w:tc>
        <w:tc>
          <w:tcPr>
            <w:tcW w:w="427" w:type="pct"/>
            <w:shd w:val="clear" w:color="auto" w:fill="auto"/>
            <w:vAlign w:val="center"/>
          </w:tcPr>
          <w:p w14:paraId="180D0CA1"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47AA2F4A" w14:textId="6A4E6806"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发明专利</w:t>
            </w:r>
          </w:p>
        </w:tc>
        <w:tc>
          <w:tcPr>
            <w:tcW w:w="512" w:type="pct"/>
            <w:vAlign w:val="center"/>
          </w:tcPr>
          <w:p w14:paraId="66E50990" w14:textId="6F818FD8"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等待实审提案</w:t>
            </w:r>
          </w:p>
        </w:tc>
        <w:tc>
          <w:tcPr>
            <w:tcW w:w="819" w:type="pct"/>
            <w:vAlign w:val="center"/>
          </w:tcPr>
          <w:p w14:paraId="7BACD7CA" w14:textId="176CAD11"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实质审查阶段，等待审核意见</w:t>
            </w:r>
          </w:p>
        </w:tc>
      </w:tr>
      <w:tr w:rsidR="00A57C63" w14:paraId="6251CAB5" w14:textId="77777777">
        <w:trPr>
          <w:trHeight w:val="397"/>
          <w:jc w:val="center"/>
        </w:trPr>
        <w:tc>
          <w:tcPr>
            <w:tcW w:w="332" w:type="pct"/>
            <w:shd w:val="clear" w:color="auto" w:fill="auto"/>
            <w:vAlign w:val="center"/>
          </w:tcPr>
          <w:p w14:paraId="60C043C2" w14:textId="0DA4E14F" w:rsidR="00A57C63" w:rsidRDefault="00A57C63" w:rsidP="00A57C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w:t>
            </w:r>
          </w:p>
        </w:tc>
        <w:tc>
          <w:tcPr>
            <w:tcW w:w="895" w:type="pct"/>
            <w:shd w:val="clear" w:color="auto" w:fill="auto"/>
            <w:vAlign w:val="center"/>
          </w:tcPr>
          <w:p w14:paraId="4AF4409E" w14:textId="1717200F" w:rsidR="00A57C63" w:rsidRDefault="00A57C63" w:rsidP="00A57C63">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门壳自动线换模系统</w:t>
            </w:r>
          </w:p>
        </w:tc>
        <w:tc>
          <w:tcPr>
            <w:tcW w:w="819" w:type="pct"/>
            <w:shd w:val="clear" w:color="auto" w:fill="auto"/>
            <w:vAlign w:val="center"/>
          </w:tcPr>
          <w:p w14:paraId="175FD0C2" w14:textId="6D35A6A1"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2020116035010</w:t>
            </w:r>
          </w:p>
        </w:tc>
        <w:tc>
          <w:tcPr>
            <w:tcW w:w="683" w:type="pct"/>
            <w:shd w:val="clear" w:color="auto" w:fill="auto"/>
            <w:vAlign w:val="center"/>
          </w:tcPr>
          <w:p w14:paraId="51D85068" w14:textId="3E465DC2"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30</w:t>
            </w:r>
            <w:r>
              <w:rPr>
                <w:rFonts w:ascii="Times New Roman" w:hAnsi="Times New Roman" w:cs="Times New Roman" w:hint="eastAsia"/>
                <w:color w:val="000000"/>
                <w:sz w:val="21"/>
                <w:szCs w:val="21"/>
              </w:rPr>
              <w:t>日</w:t>
            </w:r>
          </w:p>
        </w:tc>
        <w:tc>
          <w:tcPr>
            <w:tcW w:w="427" w:type="pct"/>
            <w:shd w:val="clear" w:color="auto" w:fill="auto"/>
            <w:vAlign w:val="center"/>
          </w:tcPr>
          <w:p w14:paraId="72918CE1" w14:textId="2C87AB4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54D6918B" w14:textId="6BC2876D"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发明专利</w:t>
            </w:r>
          </w:p>
        </w:tc>
        <w:tc>
          <w:tcPr>
            <w:tcW w:w="512" w:type="pct"/>
            <w:vAlign w:val="center"/>
          </w:tcPr>
          <w:p w14:paraId="20D24920" w14:textId="77777777"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初审</w:t>
            </w:r>
          </w:p>
          <w:p w14:paraId="469A5A70" w14:textId="3E4C1316"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合格</w:t>
            </w:r>
          </w:p>
        </w:tc>
        <w:tc>
          <w:tcPr>
            <w:tcW w:w="819" w:type="pct"/>
            <w:vAlign w:val="center"/>
          </w:tcPr>
          <w:p w14:paraId="2A8C4578" w14:textId="07851141"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初审合格</w:t>
            </w:r>
            <w:r w:rsidRPr="00416C9E">
              <w:rPr>
                <w:rFonts w:ascii="Times New Roman" w:hAnsi="Times New Roman"/>
                <w:color w:val="000000"/>
                <w:sz w:val="21"/>
                <w:szCs w:val="21"/>
              </w:rPr>
              <w:t>,</w:t>
            </w:r>
            <w:r w:rsidRPr="00416C9E">
              <w:rPr>
                <w:rFonts w:ascii="Times New Roman" w:hAnsi="Times New Roman" w:hint="eastAsia"/>
                <w:color w:val="000000"/>
                <w:sz w:val="21"/>
                <w:szCs w:val="21"/>
              </w:rPr>
              <w:t>等待实质审查</w:t>
            </w:r>
          </w:p>
        </w:tc>
      </w:tr>
      <w:tr w:rsidR="00A57C63" w14:paraId="057AF319" w14:textId="77777777">
        <w:trPr>
          <w:trHeight w:val="397"/>
          <w:jc w:val="center"/>
        </w:trPr>
        <w:tc>
          <w:tcPr>
            <w:tcW w:w="332" w:type="pct"/>
            <w:shd w:val="clear" w:color="auto" w:fill="auto"/>
            <w:vAlign w:val="center"/>
          </w:tcPr>
          <w:p w14:paraId="1CEC771F" w14:textId="09645172" w:rsidR="00A57C63" w:rsidRDefault="00A57C63" w:rsidP="00A57C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w:t>
            </w:r>
          </w:p>
        </w:tc>
        <w:tc>
          <w:tcPr>
            <w:tcW w:w="895" w:type="pct"/>
            <w:shd w:val="clear" w:color="auto" w:fill="auto"/>
            <w:vAlign w:val="center"/>
          </w:tcPr>
          <w:p w14:paraId="36A2A01A" w14:textId="71E8B7BB" w:rsidR="00A57C63" w:rsidRDefault="00A57C63" w:rsidP="00A57C63">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一种冰箱自动上压机生产系统及其自动上压机生产方法</w:t>
            </w:r>
          </w:p>
        </w:tc>
        <w:tc>
          <w:tcPr>
            <w:tcW w:w="819" w:type="pct"/>
            <w:shd w:val="clear" w:color="auto" w:fill="auto"/>
            <w:vAlign w:val="center"/>
          </w:tcPr>
          <w:p w14:paraId="17E4D5FF" w14:textId="07DD6890" w:rsidR="00A57C63" w:rsidRPr="00722E5D" w:rsidRDefault="00A57C63" w:rsidP="00A57C63">
            <w:pPr>
              <w:adjustRightInd w:val="0"/>
              <w:snapToGrid w:val="0"/>
              <w:jc w:val="center"/>
              <w:rPr>
                <w:rFonts w:ascii="Times New Roman" w:hAnsi="Times New Roman"/>
                <w:color w:val="000000"/>
                <w:sz w:val="21"/>
                <w:szCs w:val="21"/>
              </w:rPr>
            </w:pPr>
            <w:r>
              <w:rPr>
                <w:rFonts w:ascii="Times New Roman" w:hAnsi="Times New Roman" w:cs="Times New Roman"/>
                <w:color w:val="000000"/>
                <w:sz w:val="21"/>
                <w:szCs w:val="21"/>
              </w:rPr>
              <w:t>2020116035699</w:t>
            </w:r>
          </w:p>
        </w:tc>
        <w:tc>
          <w:tcPr>
            <w:tcW w:w="683" w:type="pct"/>
            <w:shd w:val="clear" w:color="auto" w:fill="auto"/>
            <w:vAlign w:val="center"/>
          </w:tcPr>
          <w:p w14:paraId="40F2553A" w14:textId="540117E1"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30</w:t>
            </w:r>
            <w:r>
              <w:rPr>
                <w:rFonts w:ascii="Times New Roman" w:hAnsi="Times New Roman" w:cs="Times New Roman" w:hint="eastAsia"/>
                <w:color w:val="000000"/>
                <w:sz w:val="21"/>
                <w:szCs w:val="21"/>
              </w:rPr>
              <w:t>日</w:t>
            </w:r>
          </w:p>
        </w:tc>
        <w:tc>
          <w:tcPr>
            <w:tcW w:w="427" w:type="pct"/>
            <w:shd w:val="clear" w:color="auto" w:fill="auto"/>
            <w:vAlign w:val="center"/>
          </w:tcPr>
          <w:p w14:paraId="2BBC77C0" w14:textId="48FDFC16"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784AC6E1" w14:textId="52BCC0AB"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发明专利</w:t>
            </w:r>
          </w:p>
        </w:tc>
        <w:tc>
          <w:tcPr>
            <w:tcW w:w="512" w:type="pct"/>
            <w:vAlign w:val="center"/>
          </w:tcPr>
          <w:p w14:paraId="2E383072" w14:textId="77777777"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67BCA68A" w14:textId="3CA75477"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4B4DDF43" w14:textId="7A6024E8"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案件已受理，正在等待审查意见</w:t>
            </w:r>
          </w:p>
        </w:tc>
      </w:tr>
      <w:tr w:rsidR="00A57C63" w14:paraId="10C2F0EA" w14:textId="77777777">
        <w:trPr>
          <w:trHeight w:val="397"/>
          <w:jc w:val="center"/>
        </w:trPr>
        <w:tc>
          <w:tcPr>
            <w:tcW w:w="332" w:type="pct"/>
            <w:shd w:val="clear" w:color="auto" w:fill="auto"/>
            <w:vAlign w:val="center"/>
          </w:tcPr>
          <w:p w14:paraId="024A461C" w14:textId="2F8824CB" w:rsidR="00A57C63" w:rsidRDefault="00A57C63" w:rsidP="00A57C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w:t>
            </w:r>
          </w:p>
        </w:tc>
        <w:tc>
          <w:tcPr>
            <w:tcW w:w="895" w:type="pct"/>
            <w:shd w:val="clear" w:color="auto" w:fill="auto"/>
            <w:vAlign w:val="center"/>
          </w:tcPr>
          <w:p w14:paraId="76704662" w14:textId="77777777" w:rsidR="00A57C63" w:rsidRDefault="00A57C63" w:rsidP="00A57C63">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一种用于积放小车的强轴向力摩擦杆安装结构</w:t>
            </w:r>
          </w:p>
        </w:tc>
        <w:tc>
          <w:tcPr>
            <w:tcW w:w="819" w:type="pct"/>
            <w:shd w:val="clear" w:color="auto" w:fill="auto"/>
            <w:vAlign w:val="center"/>
          </w:tcPr>
          <w:p w14:paraId="4C490FDE"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2020227565478</w:t>
            </w:r>
          </w:p>
        </w:tc>
        <w:tc>
          <w:tcPr>
            <w:tcW w:w="683" w:type="pct"/>
            <w:shd w:val="clear" w:color="auto" w:fill="auto"/>
            <w:vAlign w:val="center"/>
          </w:tcPr>
          <w:p w14:paraId="29F2A891"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25</w:t>
            </w:r>
            <w:r>
              <w:rPr>
                <w:rFonts w:ascii="Times New Roman" w:hAnsi="Times New Roman" w:cs="Times New Roman" w:hint="eastAsia"/>
                <w:color w:val="000000"/>
                <w:sz w:val="21"/>
                <w:szCs w:val="21"/>
              </w:rPr>
              <w:t>日</w:t>
            </w:r>
          </w:p>
        </w:tc>
        <w:tc>
          <w:tcPr>
            <w:tcW w:w="427" w:type="pct"/>
            <w:shd w:val="clear" w:color="auto" w:fill="auto"/>
            <w:vAlign w:val="center"/>
          </w:tcPr>
          <w:p w14:paraId="5D399240"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04AC7759" w14:textId="187F09E2" w:rsidR="00A57C63" w:rsidRDefault="00A57C63" w:rsidP="00A57C63">
            <w:pPr>
              <w:adjustRightInd w:val="0"/>
              <w:snapToGrid w:val="0"/>
              <w:jc w:val="center"/>
              <w:rPr>
                <w:rFonts w:ascii="Times New Roman" w:hAnsi="Times New Roman" w:cs="Times New Roman"/>
                <w:color w:val="000000"/>
                <w:sz w:val="21"/>
                <w:szCs w:val="21"/>
              </w:rPr>
            </w:pPr>
            <w:r w:rsidRPr="00722E5D">
              <w:rPr>
                <w:rFonts w:ascii="Times New Roman" w:hAnsi="Times New Roman" w:hint="eastAsia"/>
                <w:color w:val="000000"/>
                <w:sz w:val="21"/>
                <w:szCs w:val="21"/>
              </w:rPr>
              <w:t>实用新型</w:t>
            </w:r>
          </w:p>
        </w:tc>
        <w:tc>
          <w:tcPr>
            <w:tcW w:w="512" w:type="pct"/>
            <w:vAlign w:val="center"/>
          </w:tcPr>
          <w:p w14:paraId="23DF3BF2" w14:textId="77777777" w:rsidR="00A57C63" w:rsidRPr="00722E5D" w:rsidRDefault="00A57C63" w:rsidP="00A57C63">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受理</w:t>
            </w:r>
          </w:p>
          <w:p w14:paraId="676B397E" w14:textId="460B6CC2" w:rsidR="00A57C63" w:rsidRDefault="00A57C63" w:rsidP="00A57C63">
            <w:pPr>
              <w:adjustRightInd w:val="0"/>
              <w:snapToGrid w:val="0"/>
              <w:jc w:val="center"/>
              <w:rPr>
                <w:rFonts w:ascii="Times New Roman" w:hAnsi="Times New Roman" w:cs="Times New Roman"/>
                <w:color w:val="000000"/>
                <w:sz w:val="21"/>
                <w:szCs w:val="21"/>
              </w:rPr>
            </w:pPr>
            <w:r w:rsidRPr="00722E5D">
              <w:rPr>
                <w:rFonts w:ascii="Times New Roman" w:hAnsi="Times New Roman" w:hint="eastAsia"/>
                <w:color w:val="000000"/>
                <w:sz w:val="21"/>
                <w:szCs w:val="21"/>
              </w:rPr>
              <w:t>审查</w:t>
            </w:r>
          </w:p>
        </w:tc>
        <w:tc>
          <w:tcPr>
            <w:tcW w:w="819" w:type="pct"/>
            <w:vAlign w:val="center"/>
          </w:tcPr>
          <w:p w14:paraId="17897E67" w14:textId="355CEE19" w:rsidR="00A57C63" w:rsidRDefault="00A57C63" w:rsidP="00A57C63">
            <w:pPr>
              <w:adjustRightInd w:val="0"/>
              <w:snapToGrid w:val="0"/>
              <w:jc w:val="center"/>
              <w:rPr>
                <w:rFonts w:ascii="Times New Roman" w:hAnsi="Times New Roman" w:cs="Times New Roman"/>
                <w:color w:val="000000"/>
                <w:sz w:val="21"/>
                <w:szCs w:val="21"/>
              </w:rPr>
            </w:pPr>
            <w:r w:rsidRPr="00722E5D">
              <w:rPr>
                <w:rFonts w:ascii="Times New Roman" w:hAnsi="Times New Roman" w:hint="eastAsia"/>
                <w:color w:val="000000"/>
                <w:sz w:val="21"/>
                <w:szCs w:val="21"/>
              </w:rPr>
              <w:t>案件已受理，正在等待审查意见</w:t>
            </w:r>
          </w:p>
        </w:tc>
      </w:tr>
      <w:tr w:rsidR="00A57C63" w14:paraId="42265D8A" w14:textId="77777777">
        <w:trPr>
          <w:trHeight w:val="397"/>
          <w:jc w:val="center"/>
        </w:trPr>
        <w:tc>
          <w:tcPr>
            <w:tcW w:w="332" w:type="pct"/>
            <w:shd w:val="clear" w:color="auto" w:fill="auto"/>
            <w:vAlign w:val="center"/>
          </w:tcPr>
          <w:p w14:paraId="21A0FD07" w14:textId="14F85850" w:rsidR="00A57C63" w:rsidRDefault="00A57C63" w:rsidP="00A57C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895" w:type="pct"/>
            <w:shd w:val="clear" w:color="auto" w:fill="auto"/>
            <w:vAlign w:val="center"/>
          </w:tcPr>
          <w:p w14:paraId="3817BBFA" w14:textId="77777777" w:rsidR="00A57C63" w:rsidRDefault="00A57C63" w:rsidP="00A57C63">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一种防脱轨的积放小车</w:t>
            </w:r>
          </w:p>
        </w:tc>
        <w:tc>
          <w:tcPr>
            <w:tcW w:w="819" w:type="pct"/>
            <w:shd w:val="clear" w:color="auto" w:fill="auto"/>
            <w:vAlign w:val="center"/>
          </w:tcPr>
          <w:p w14:paraId="019335C6"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2020227565552</w:t>
            </w:r>
          </w:p>
        </w:tc>
        <w:tc>
          <w:tcPr>
            <w:tcW w:w="683" w:type="pct"/>
            <w:shd w:val="clear" w:color="auto" w:fill="auto"/>
            <w:vAlign w:val="center"/>
          </w:tcPr>
          <w:p w14:paraId="07829924"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25</w:t>
            </w:r>
            <w:r>
              <w:rPr>
                <w:rFonts w:ascii="Times New Roman" w:hAnsi="Times New Roman" w:cs="Times New Roman" w:hint="eastAsia"/>
                <w:color w:val="000000"/>
                <w:sz w:val="21"/>
                <w:szCs w:val="21"/>
              </w:rPr>
              <w:t>日</w:t>
            </w:r>
          </w:p>
        </w:tc>
        <w:tc>
          <w:tcPr>
            <w:tcW w:w="427" w:type="pct"/>
            <w:shd w:val="clear" w:color="auto" w:fill="auto"/>
            <w:vAlign w:val="center"/>
          </w:tcPr>
          <w:p w14:paraId="3839B400"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18BB32A4" w14:textId="4305EB76"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4D8BBF58" w14:textId="77777777"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60927613" w14:textId="05386C83"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6DC88F17" w14:textId="17CE26D7"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r w:rsidR="00A57C63" w14:paraId="29B15CA2" w14:textId="77777777">
        <w:trPr>
          <w:trHeight w:val="397"/>
          <w:jc w:val="center"/>
        </w:trPr>
        <w:tc>
          <w:tcPr>
            <w:tcW w:w="332" w:type="pct"/>
            <w:shd w:val="clear" w:color="auto" w:fill="auto"/>
            <w:vAlign w:val="center"/>
          </w:tcPr>
          <w:p w14:paraId="54DF5E75" w14:textId="1660C35E" w:rsidR="00A57C63" w:rsidRDefault="00A57C63" w:rsidP="00A57C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11</w:t>
            </w:r>
          </w:p>
        </w:tc>
        <w:tc>
          <w:tcPr>
            <w:tcW w:w="895" w:type="pct"/>
            <w:shd w:val="clear" w:color="auto" w:fill="auto"/>
            <w:vAlign w:val="center"/>
          </w:tcPr>
          <w:p w14:paraId="18379ADA" w14:textId="77777777" w:rsidR="00A57C63" w:rsidRDefault="00A57C63" w:rsidP="00A57C63">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一种吊胆提升机组</w:t>
            </w:r>
          </w:p>
        </w:tc>
        <w:tc>
          <w:tcPr>
            <w:tcW w:w="819" w:type="pct"/>
            <w:shd w:val="clear" w:color="auto" w:fill="auto"/>
            <w:vAlign w:val="center"/>
          </w:tcPr>
          <w:p w14:paraId="283C69B3"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2020227596885</w:t>
            </w:r>
          </w:p>
        </w:tc>
        <w:tc>
          <w:tcPr>
            <w:tcW w:w="683" w:type="pct"/>
            <w:shd w:val="clear" w:color="auto" w:fill="auto"/>
            <w:vAlign w:val="center"/>
          </w:tcPr>
          <w:p w14:paraId="30AFBCF6"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25</w:t>
            </w:r>
            <w:r>
              <w:rPr>
                <w:rFonts w:ascii="Times New Roman" w:hAnsi="Times New Roman" w:cs="Times New Roman" w:hint="eastAsia"/>
                <w:color w:val="000000"/>
                <w:sz w:val="21"/>
                <w:szCs w:val="21"/>
              </w:rPr>
              <w:t>日</w:t>
            </w:r>
          </w:p>
        </w:tc>
        <w:tc>
          <w:tcPr>
            <w:tcW w:w="427" w:type="pct"/>
            <w:shd w:val="clear" w:color="auto" w:fill="auto"/>
            <w:vAlign w:val="center"/>
          </w:tcPr>
          <w:p w14:paraId="60F10767"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19B5D2B0" w14:textId="610CB0CE"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591EFC6E" w14:textId="77777777"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6F605C5D" w14:textId="14C6F92E"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5EC43EFD" w14:textId="59743DB7"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r w:rsidR="00A57C63" w14:paraId="55169F4E" w14:textId="77777777">
        <w:trPr>
          <w:trHeight w:val="397"/>
          <w:jc w:val="center"/>
        </w:trPr>
        <w:tc>
          <w:tcPr>
            <w:tcW w:w="332" w:type="pct"/>
            <w:shd w:val="clear" w:color="auto" w:fill="auto"/>
            <w:vAlign w:val="center"/>
          </w:tcPr>
          <w:p w14:paraId="143B7BD6" w14:textId="19339982" w:rsidR="00A57C63" w:rsidRDefault="00A57C63" w:rsidP="00A57C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12</w:t>
            </w:r>
          </w:p>
        </w:tc>
        <w:tc>
          <w:tcPr>
            <w:tcW w:w="895" w:type="pct"/>
            <w:shd w:val="clear" w:color="auto" w:fill="auto"/>
            <w:vAlign w:val="center"/>
          </w:tcPr>
          <w:p w14:paraId="490A7112" w14:textId="77777777" w:rsidR="00A57C63" w:rsidRDefault="00A57C63" w:rsidP="00A57C63">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一种新型摩擦杆动力传输机构</w:t>
            </w:r>
          </w:p>
        </w:tc>
        <w:tc>
          <w:tcPr>
            <w:tcW w:w="819" w:type="pct"/>
            <w:shd w:val="clear" w:color="auto" w:fill="auto"/>
            <w:vAlign w:val="center"/>
          </w:tcPr>
          <w:p w14:paraId="30A09F73"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2020227623312</w:t>
            </w:r>
          </w:p>
        </w:tc>
        <w:tc>
          <w:tcPr>
            <w:tcW w:w="683" w:type="pct"/>
            <w:shd w:val="clear" w:color="auto" w:fill="auto"/>
            <w:vAlign w:val="center"/>
          </w:tcPr>
          <w:p w14:paraId="1D11C570"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25</w:t>
            </w:r>
            <w:r>
              <w:rPr>
                <w:rFonts w:ascii="Times New Roman" w:hAnsi="Times New Roman" w:cs="Times New Roman" w:hint="eastAsia"/>
                <w:color w:val="000000"/>
                <w:sz w:val="21"/>
                <w:szCs w:val="21"/>
              </w:rPr>
              <w:t>日</w:t>
            </w:r>
          </w:p>
        </w:tc>
        <w:tc>
          <w:tcPr>
            <w:tcW w:w="427" w:type="pct"/>
            <w:shd w:val="clear" w:color="auto" w:fill="auto"/>
            <w:vAlign w:val="center"/>
          </w:tcPr>
          <w:p w14:paraId="4DD0182D"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433C62EB" w14:textId="50CE263B"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2973033B" w14:textId="77777777"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7EABB2C6" w14:textId="3C4FBA43"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1BF65B3B" w14:textId="541F2048"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r w:rsidR="00A57C63" w14:paraId="281E55AD" w14:textId="77777777">
        <w:trPr>
          <w:trHeight w:val="397"/>
          <w:jc w:val="center"/>
        </w:trPr>
        <w:tc>
          <w:tcPr>
            <w:tcW w:w="332" w:type="pct"/>
            <w:shd w:val="clear" w:color="auto" w:fill="auto"/>
            <w:vAlign w:val="center"/>
          </w:tcPr>
          <w:p w14:paraId="5FEA4801" w14:textId="6B94D815" w:rsidR="00A57C63" w:rsidRDefault="00A57C63" w:rsidP="00A57C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13</w:t>
            </w:r>
          </w:p>
        </w:tc>
        <w:tc>
          <w:tcPr>
            <w:tcW w:w="895" w:type="pct"/>
            <w:shd w:val="clear" w:color="auto" w:fill="auto"/>
            <w:vAlign w:val="center"/>
          </w:tcPr>
          <w:p w14:paraId="39D931F2" w14:textId="77777777" w:rsidR="00A57C63" w:rsidRDefault="00A57C63" w:rsidP="00A57C63">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一种模具立体仓库</w:t>
            </w:r>
          </w:p>
        </w:tc>
        <w:tc>
          <w:tcPr>
            <w:tcW w:w="819" w:type="pct"/>
            <w:shd w:val="clear" w:color="auto" w:fill="auto"/>
            <w:vAlign w:val="center"/>
          </w:tcPr>
          <w:p w14:paraId="5C5DD3C0"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2020229581085</w:t>
            </w:r>
          </w:p>
        </w:tc>
        <w:tc>
          <w:tcPr>
            <w:tcW w:w="683" w:type="pct"/>
            <w:shd w:val="clear" w:color="auto" w:fill="auto"/>
            <w:vAlign w:val="center"/>
          </w:tcPr>
          <w:p w14:paraId="1691477E" w14:textId="3864653B"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9</w:t>
            </w:r>
            <w:r>
              <w:rPr>
                <w:rFonts w:ascii="Times New Roman" w:hAnsi="Times New Roman" w:cs="Times New Roman" w:hint="eastAsia"/>
                <w:color w:val="000000"/>
                <w:sz w:val="21"/>
                <w:szCs w:val="21"/>
              </w:rPr>
              <w:t>日</w:t>
            </w:r>
          </w:p>
        </w:tc>
        <w:tc>
          <w:tcPr>
            <w:tcW w:w="427" w:type="pct"/>
            <w:shd w:val="clear" w:color="auto" w:fill="auto"/>
            <w:vAlign w:val="center"/>
          </w:tcPr>
          <w:p w14:paraId="5E705EF9"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17F86B20" w14:textId="7BA0E494"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23D5C9B6" w14:textId="77777777"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303256FC" w14:textId="5BA800EA"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163FC968" w14:textId="19A07CD5"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r w:rsidR="00A57C63" w14:paraId="067220C0" w14:textId="77777777">
        <w:trPr>
          <w:trHeight w:val="397"/>
          <w:jc w:val="center"/>
        </w:trPr>
        <w:tc>
          <w:tcPr>
            <w:tcW w:w="332" w:type="pct"/>
            <w:shd w:val="clear" w:color="auto" w:fill="auto"/>
            <w:vAlign w:val="center"/>
          </w:tcPr>
          <w:p w14:paraId="63657583" w14:textId="7D5F1E76" w:rsidR="00A57C63" w:rsidRDefault="00A57C63" w:rsidP="00A57C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14</w:t>
            </w:r>
          </w:p>
        </w:tc>
        <w:tc>
          <w:tcPr>
            <w:tcW w:w="895" w:type="pct"/>
            <w:shd w:val="clear" w:color="auto" w:fill="auto"/>
            <w:vAlign w:val="center"/>
          </w:tcPr>
          <w:p w14:paraId="465A1B4D" w14:textId="77777777" w:rsidR="00A57C63" w:rsidRDefault="00A57C63" w:rsidP="00A57C63">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一种冰箱自动上压机生产系统</w:t>
            </w:r>
          </w:p>
        </w:tc>
        <w:tc>
          <w:tcPr>
            <w:tcW w:w="819" w:type="pct"/>
            <w:shd w:val="clear" w:color="auto" w:fill="auto"/>
            <w:vAlign w:val="center"/>
          </w:tcPr>
          <w:p w14:paraId="09D6245B"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2020232655900</w:t>
            </w:r>
          </w:p>
        </w:tc>
        <w:tc>
          <w:tcPr>
            <w:tcW w:w="683" w:type="pct"/>
            <w:shd w:val="clear" w:color="auto" w:fill="auto"/>
            <w:vAlign w:val="center"/>
          </w:tcPr>
          <w:p w14:paraId="773D6031"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30</w:t>
            </w:r>
            <w:r>
              <w:rPr>
                <w:rFonts w:ascii="Times New Roman" w:hAnsi="Times New Roman" w:cs="Times New Roman" w:hint="eastAsia"/>
                <w:color w:val="000000"/>
                <w:sz w:val="21"/>
                <w:szCs w:val="21"/>
              </w:rPr>
              <w:t>日</w:t>
            </w:r>
          </w:p>
        </w:tc>
        <w:tc>
          <w:tcPr>
            <w:tcW w:w="427" w:type="pct"/>
            <w:shd w:val="clear" w:color="auto" w:fill="auto"/>
            <w:vAlign w:val="center"/>
          </w:tcPr>
          <w:p w14:paraId="08A02D4B"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03F64288" w14:textId="4BC1C211"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7DBA6FE8" w14:textId="77777777"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19631C4C" w14:textId="7464160F"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0A414EA1" w14:textId="600BAD62"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r w:rsidR="00A57C63" w14:paraId="2A2052DF" w14:textId="77777777">
        <w:trPr>
          <w:trHeight w:val="397"/>
          <w:jc w:val="center"/>
        </w:trPr>
        <w:tc>
          <w:tcPr>
            <w:tcW w:w="332" w:type="pct"/>
            <w:shd w:val="clear" w:color="auto" w:fill="auto"/>
            <w:vAlign w:val="center"/>
          </w:tcPr>
          <w:p w14:paraId="3DC1F707" w14:textId="77777777" w:rsidR="00A57C63" w:rsidRDefault="00A57C63" w:rsidP="00A57C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15</w:t>
            </w:r>
          </w:p>
        </w:tc>
        <w:tc>
          <w:tcPr>
            <w:tcW w:w="895" w:type="pct"/>
            <w:shd w:val="clear" w:color="auto" w:fill="auto"/>
            <w:vAlign w:val="center"/>
          </w:tcPr>
          <w:p w14:paraId="552E9312" w14:textId="77777777" w:rsidR="00A57C63" w:rsidRDefault="00A57C63" w:rsidP="00A57C63">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门壳自动线换模系统</w:t>
            </w:r>
          </w:p>
        </w:tc>
        <w:tc>
          <w:tcPr>
            <w:tcW w:w="819" w:type="pct"/>
            <w:shd w:val="clear" w:color="auto" w:fill="auto"/>
            <w:vAlign w:val="center"/>
          </w:tcPr>
          <w:p w14:paraId="76CCF6F9"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2020232911150</w:t>
            </w:r>
          </w:p>
        </w:tc>
        <w:tc>
          <w:tcPr>
            <w:tcW w:w="683" w:type="pct"/>
            <w:shd w:val="clear" w:color="auto" w:fill="auto"/>
            <w:vAlign w:val="center"/>
          </w:tcPr>
          <w:p w14:paraId="302B9BB4"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30</w:t>
            </w:r>
            <w:r>
              <w:rPr>
                <w:rFonts w:ascii="Times New Roman" w:hAnsi="Times New Roman" w:cs="Times New Roman" w:hint="eastAsia"/>
                <w:color w:val="000000"/>
                <w:sz w:val="21"/>
                <w:szCs w:val="21"/>
              </w:rPr>
              <w:t>日</w:t>
            </w:r>
          </w:p>
        </w:tc>
        <w:tc>
          <w:tcPr>
            <w:tcW w:w="427" w:type="pct"/>
            <w:shd w:val="clear" w:color="auto" w:fill="auto"/>
            <w:vAlign w:val="center"/>
          </w:tcPr>
          <w:p w14:paraId="14011BF0" w14:textId="77777777" w:rsidR="00A57C63" w:rsidRDefault="00A57C63" w:rsidP="00A57C63">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09998DF9" w14:textId="5D88C42F"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0A6E99A6" w14:textId="77777777" w:rsidR="00A57C63" w:rsidRPr="00416C9E" w:rsidRDefault="00A57C63" w:rsidP="00A57C63">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62E83D61" w14:textId="50092DBA" w:rsidR="00A57C63" w:rsidRDefault="00A57C63" w:rsidP="00A57C63">
            <w:pPr>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0287ADB9" w14:textId="338086B1" w:rsidR="00A57C63" w:rsidRDefault="00A57C63" w:rsidP="00A57C63">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bl>
    <w:bookmarkEnd w:id="10"/>
    <w:p w14:paraId="3518057D"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综上所述，本次收购有利于上市公司利用北洋天青在智能制造领域和数字化工厂建设方面的先进技术优势，推动智能制造和信息化建设等</w:t>
      </w:r>
      <w:r>
        <w:rPr>
          <w:rFonts w:ascii="Times New Roman" w:hAnsi="Times New Roman" w:cs="Times New Roman" w:hint="eastAsia"/>
          <w:bCs/>
          <w:color w:val="000000"/>
          <w:szCs w:val="21"/>
        </w:rPr>
        <w:t>2021</w:t>
      </w:r>
      <w:r>
        <w:rPr>
          <w:rFonts w:ascii="Times New Roman" w:hAnsi="Times New Roman" w:cs="Times New Roman" w:hint="eastAsia"/>
          <w:bCs/>
          <w:color w:val="000000"/>
          <w:szCs w:val="21"/>
        </w:rPr>
        <w:t>年目标的实现。</w:t>
      </w:r>
    </w:p>
    <w:p w14:paraId="75975A08"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lastRenderedPageBreak/>
        <w:t>四、本次收购有利于上市公司获取智能制造领域市场地位</w:t>
      </w:r>
    </w:p>
    <w:p w14:paraId="4A65EC00"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在智能制造领域，北洋天青的主要竞争对手包括广东拓斯达科技股份有限公司、</w:t>
      </w:r>
      <w:r>
        <w:rPr>
          <w:rFonts w:ascii="Times New Roman" w:hAnsi="Times New Roman" w:cs="Times New Roman" w:hint="eastAsia"/>
          <w:bCs/>
          <w:color w:val="000000"/>
          <w:szCs w:val="21"/>
          <w:lang w:val="en-GB"/>
        </w:rPr>
        <w:t>杭州永创智能设备股份有限公司、快克智能装备股份有限公司、</w:t>
      </w:r>
      <w:r>
        <w:rPr>
          <w:rFonts w:ascii="Times New Roman" w:hAnsi="Times New Roman" w:cs="Times New Roman" w:hint="eastAsia"/>
          <w:bCs/>
          <w:color w:val="000000"/>
          <w:szCs w:val="21"/>
        </w:rPr>
        <w:t>沈阳新松机器人自动化股份有限公司、南京埃斯顿自动化股份有限公司等。上述企业在</w:t>
      </w:r>
      <w:r>
        <w:rPr>
          <w:rFonts w:ascii="Times New Roman" w:hAnsi="Times New Roman" w:cs="Times New Roman" w:hint="eastAsia"/>
          <w:bCs/>
          <w:color w:val="000000"/>
          <w:szCs w:val="21"/>
        </w:rPr>
        <w:t>3C</w:t>
      </w:r>
      <w:r>
        <w:rPr>
          <w:rFonts w:ascii="Times New Roman" w:hAnsi="Times New Roman" w:cs="Times New Roman" w:hint="eastAsia"/>
          <w:bCs/>
          <w:color w:val="000000"/>
          <w:szCs w:val="21"/>
        </w:rPr>
        <w:t>、液晶显示器、汽车和工程机械、工业机器人及其集成应用、电力电机等领域具有较强的技术实力和较高的市场占有率。而北洋天青深耕家电行业，由于智能制造领域内各个细分行业的核心技术存在一定差异，目前北洋天青在家电行业内具有一定的技术优势，且与上述企业并不存在较大的直接竞争关系。</w:t>
      </w:r>
    </w:p>
    <w:p w14:paraId="431BA905"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以海尔集团公司为例，近年来由于家电行业出货量持续上涨，其家电板块保持增长，并不断拓展海外市场。以海尔智家股份有限公司为例，</w:t>
      </w:r>
      <w:r>
        <w:rPr>
          <w:rFonts w:ascii="Times New Roman" w:hAnsi="Times New Roman" w:cs="Times New Roman" w:hint="eastAsia"/>
          <w:bCs/>
          <w:color w:val="000000"/>
          <w:szCs w:val="21"/>
        </w:rPr>
        <w:t>2019</w:t>
      </w:r>
      <w:r>
        <w:rPr>
          <w:rFonts w:ascii="Times New Roman" w:hAnsi="Times New Roman" w:cs="Times New Roman" w:hint="eastAsia"/>
          <w:bCs/>
          <w:color w:val="000000"/>
          <w:szCs w:val="21"/>
        </w:rPr>
        <w:t>年，其电冰箱、洗衣机产品分别实现营业收入</w:t>
      </w:r>
      <w:r>
        <w:rPr>
          <w:rFonts w:ascii="Times New Roman" w:hAnsi="Times New Roman" w:cs="Times New Roman" w:hint="eastAsia"/>
          <w:bCs/>
          <w:color w:val="000000"/>
          <w:szCs w:val="21"/>
        </w:rPr>
        <w:t>584.4</w:t>
      </w:r>
      <w:r>
        <w:rPr>
          <w:rFonts w:ascii="Times New Roman" w:hAnsi="Times New Roman" w:cs="Times New Roman" w:hint="eastAsia"/>
          <w:bCs/>
          <w:color w:val="000000"/>
          <w:szCs w:val="21"/>
        </w:rPr>
        <w:t>亿元和</w:t>
      </w:r>
      <w:r>
        <w:rPr>
          <w:rFonts w:ascii="Times New Roman" w:hAnsi="Times New Roman" w:cs="Times New Roman" w:hint="eastAsia"/>
          <w:bCs/>
          <w:color w:val="000000"/>
          <w:szCs w:val="21"/>
        </w:rPr>
        <w:t>447.1</w:t>
      </w:r>
      <w:r>
        <w:rPr>
          <w:rFonts w:ascii="Times New Roman" w:hAnsi="Times New Roman" w:cs="Times New Roman" w:hint="eastAsia"/>
          <w:bCs/>
          <w:color w:val="000000"/>
          <w:szCs w:val="21"/>
        </w:rPr>
        <w:t>亿元，同比增加</w:t>
      </w:r>
      <w:r>
        <w:rPr>
          <w:rFonts w:ascii="Times New Roman" w:hAnsi="Times New Roman" w:cs="Times New Roman" w:hint="eastAsia"/>
          <w:bCs/>
          <w:color w:val="000000"/>
          <w:szCs w:val="21"/>
        </w:rPr>
        <w:t>7.5%</w:t>
      </w:r>
      <w:r>
        <w:rPr>
          <w:rFonts w:ascii="Times New Roman" w:hAnsi="Times New Roman" w:cs="Times New Roman" w:hint="eastAsia"/>
          <w:bCs/>
          <w:color w:val="000000"/>
          <w:szCs w:val="21"/>
        </w:rPr>
        <w:t>和</w:t>
      </w:r>
      <w:r>
        <w:rPr>
          <w:rFonts w:ascii="Times New Roman" w:hAnsi="Times New Roman" w:cs="Times New Roman" w:hint="eastAsia"/>
          <w:bCs/>
          <w:color w:val="000000"/>
          <w:szCs w:val="21"/>
        </w:rPr>
        <w:t>25.5%</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2</w:t>
      </w:r>
      <w:r>
        <w:rPr>
          <w:rFonts w:ascii="Times New Roman" w:hAnsi="Times New Roman" w:cs="Times New Roman"/>
          <w:bCs/>
          <w:color w:val="000000"/>
          <w:szCs w:val="21"/>
        </w:rPr>
        <w:t>020</w:t>
      </w:r>
      <w:r>
        <w:rPr>
          <w:rFonts w:ascii="Times New Roman" w:hAnsi="Times New Roman" w:cs="Times New Roman" w:hint="eastAsia"/>
          <w:bCs/>
          <w:color w:val="000000"/>
          <w:szCs w:val="21"/>
        </w:rPr>
        <w:t>年，其电冰箱、洗衣机产品分别实现营业收入</w:t>
      </w:r>
      <w:r>
        <w:rPr>
          <w:rFonts w:ascii="Times New Roman" w:hAnsi="Times New Roman" w:cs="Times New Roman" w:hint="eastAsia"/>
          <w:bCs/>
          <w:color w:val="000000"/>
          <w:szCs w:val="21"/>
        </w:rPr>
        <w:t>6</w:t>
      </w:r>
      <w:r>
        <w:rPr>
          <w:rFonts w:ascii="Times New Roman" w:hAnsi="Times New Roman" w:cs="Times New Roman"/>
          <w:bCs/>
          <w:color w:val="000000"/>
          <w:szCs w:val="21"/>
        </w:rPr>
        <w:t>15.38</w:t>
      </w:r>
      <w:r>
        <w:rPr>
          <w:rFonts w:ascii="Times New Roman" w:hAnsi="Times New Roman" w:cs="Times New Roman" w:hint="eastAsia"/>
          <w:bCs/>
          <w:color w:val="000000"/>
          <w:szCs w:val="21"/>
        </w:rPr>
        <w:t>亿元和</w:t>
      </w:r>
      <w:r>
        <w:rPr>
          <w:rFonts w:ascii="Times New Roman" w:hAnsi="Times New Roman" w:cs="Times New Roman" w:hint="eastAsia"/>
          <w:bCs/>
          <w:color w:val="000000"/>
          <w:szCs w:val="21"/>
        </w:rPr>
        <w:t>4</w:t>
      </w:r>
      <w:r>
        <w:rPr>
          <w:rFonts w:ascii="Times New Roman" w:hAnsi="Times New Roman" w:cs="Times New Roman"/>
          <w:bCs/>
          <w:color w:val="000000"/>
          <w:szCs w:val="21"/>
        </w:rPr>
        <w:t>84.52</w:t>
      </w:r>
      <w:r>
        <w:rPr>
          <w:rFonts w:ascii="Times New Roman" w:hAnsi="Times New Roman" w:cs="Times New Roman" w:hint="eastAsia"/>
          <w:bCs/>
          <w:color w:val="000000"/>
          <w:szCs w:val="21"/>
        </w:rPr>
        <w:t>亿元，同比增加</w:t>
      </w:r>
      <w:r>
        <w:rPr>
          <w:rFonts w:ascii="Times New Roman" w:hAnsi="Times New Roman" w:cs="Times New Roman"/>
          <w:bCs/>
          <w:color w:val="000000"/>
          <w:szCs w:val="21"/>
        </w:rPr>
        <w:t>5.31</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和</w:t>
      </w:r>
      <w:r>
        <w:rPr>
          <w:rFonts w:ascii="Times New Roman" w:hAnsi="Times New Roman" w:cs="Times New Roman"/>
          <w:bCs/>
          <w:color w:val="000000"/>
          <w:szCs w:val="21"/>
        </w:rPr>
        <w:t>8.36</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随着海尔集团公司相关家电板块近年持续增长，其对于相应的生产线智能化建设、升级和改造需求较为强烈。北洋天青作为青岛本土企业，对于海尔集团公司的需求响应及售后服务方面具有天然的地缘优势，北洋天青自身具备迅速的客户需求反应能力及高水平的综合集成能力，经过多年的合作，与客户建立了稳定的合作关系，并获得了良好的口碑。截至本回复出具日，北洋天青已为青岛海尔智慧厨房电器设备有限公司、合肥海尔电冰箱有限公司、青岛海尔洗碗机有限公司、青岛海尔空调电子有限公司、青岛海尔电冰箱有限公司等二十余家公司提供了相关服务，是国内少有的能够针对海尔集团公司家电领域各业务板块提供生产线智能化、信息化建设、升级和改造解决方案服务的公司。</w:t>
      </w:r>
    </w:p>
    <w:p w14:paraId="173009A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凭借多年的经营，积累了丰富的客户资源，打造了良好的品牌效应，在技术、经验、人才、服务等领域均具有较强的竞争力，具有全方位为客户提供自动化、网络化、数字化的智能制造整体解决方案和产品服务的能力和为客户提供工业互联网智能工厂整体应用方案的能力，在家电行业智能制造领域具有一定的市场地位。</w:t>
      </w:r>
    </w:p>
    <w:p w14:paraId="28EFD1B2"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综上所述，本次收购有利于上市公司获取北洋天青在家电行业智能制造领域的市场地位。</w:t>
      </w:r>
    </w:p>
    <w:p w14:paraId="134C54B6"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五、本次交易有利于上市公司增强持续盈利能力</w:t>
      </w:r>
    </w:p>
    <w:p w14:paraId="725A82AF"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本次交易完成前后上市公司经营成果变动分析如下：</w:t>
      </w:r>
    </w:p>
    <w:p w14:paraId="15547919"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50"/>
        <w:gridCol w:w="1191"/>
        <w:gridCol w:w="1191"/>
        <w:gridCol w:w="975"/>
        <w:gridCol w:w="1191"/>
        <w:gridCol w:w="1191"/>
        <w:gridCol w:w="1033"/>
      </w:tblGrid>
      <w:tr w:rsidR="000A0ACD" w14:paraId="667040C4" w14:textId="77777777">
        <w:trPr>
          <w:trHeight w:val="397"/>
          <w:tblHeader/>
          <w:jc w:val="center"/>
        </w:trPr>
        <w:tc>
          <w:tcPr>
            <w:tcW w:w="1026" w:type="pct"/>
            <w:vMerge w:val="restart"/>
            <w:tcBorders>
              <w:top w:val="single" w:sz="12" w:space="0" w:color="auto"/>
              <w:left w:val="nil"/>
              <w:bottom w:val="single" w:sz="4" w:space="0" w:color="auto"/>
              <w:right w:val="single" w:sz="4" w:space="0" w:color="auto"/>
            </w:tcBorders>
            <w:vAlign w:val="center"/>
          </w:tcPr>
          <w:p w14:paraId="64B681EE"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项目</w:t>
            </w:r>
          </w:p>
        </w:tc>
        <w:tc>
          <w:tcPr>
            <w:tcW w:w="1970" w:type="pct"/>
            <w:gridSpan w:val="3"/>
            <w:tcBorders>
              <w:top w:val="single" w:sz="12" w:space="0" w:color="auto"/>
              <w:left w:val="single" w:sz="4" w:space="0" w:color="auto"/>
              <w:bottom w:val="single" w:sz="4" w:space="0" w:color="auto"/>
              <w:right w:val="single" w:sz="4" w:space="0" w:color="auto"/>
            </w:tcBorders>
            <w:vAlign w:val="center"/>
          </w:tcPr>
          <w:p w14:paraId="48A37D19"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2020</w:t>
            </w:r>
            <w:r>
              <w:rPr>
                <w:rFonts w:ascii="Times New Roman" w:hAnsi="Times New Roman" w:cs="Times New Roman" w:hint="eastAsia"/>
                <w:b/>
                <w:color w:val="000000"/>
                <w:sz w:val="21"/>
                <w:szCs w:val="21"/>
                <w:lang w:val="en-GB"/>
              </w:rPr>
              <w:t>年度</w:t>
            </w:r>
          </w:p>
        </w:tc>
        <w:tc>
          <w:tcPr>
            <w:tcW w:w="2004" w:type="pct"/>
            <w:gridSpan w:val="3"/>
            <w:tcBorders>
              <w:top w:val="single" w:sz="12" w:space="0" w:color="auto"/>
              <w:left w:val="single" w:sz="4" w:space="0" w:color="auto"/>
              <w:bottom w:val="single" w:sz="4" w:space="0" w:color="auto"/>
              <w:right w:val="nil"/>
            </w:tcBorders>
            <w:vAlign w:val="center"/>
          </w:tcPr>
          <w:p w14:paraId="430308AA"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2019</w:t>
            </w:r>
            <w:r>
              <w:rPr>
                <w:rFonts w:ascii="Times New Roman" w:hAnsi="Times New Roman" w:cs="Times New Roman" w:hint="eastAsia"/>
                <w:b/>
                <w:color w:val="000000"/>
                <w:sz w:val="21"/>
                <w:szCs w:val="21"/>
                <w:lang w:val="en-GB"/>
              </w:rPr>
              <w:t>年度</w:t>
            </w:r>
          </w:p>
        </w:tc>
      </w:tr>
      <w:tr w:rsidR="000A0ACD" w14:paraId="405598B2" w14:textId="77777777">
        <w:trPr>
          <w:trHeight w:val="397"/>
          <w:tblHeader/>
          <w:jc w:val="center"/>
        </w:trPr>
        <w:tc>
          <w:tcPr>
            <w:tcW w:w="0" w:type="auto"/>
            <w:vMerge/>
            <w:tcBorders>
              <w:top w:val="single" w:sz="12" w:space="0" w:color="auto"/>
              <w:left w:val="nil"/>
              <w:bottom w:val="single" w:sz="4" w:space="0" w:color="auto"/>
              <w:right w:val="single" w:sz="4" w:space="0" w:color="auto"/>
            </w:tcBorders>
            <w:vAlign w:val="center"/>
          </w:tcPr>
          <w:p w14:paraId="7B718554" w14:textId="77777777" w:rsidR="000A0ACD" w:rsidRDefault="000A0ACD">
            <w:pPr>
              <w:jc w:val="center"/>
              <w:rPr>
                <w:rFonts w:ascii="Times New Roman" w:hAnsi="Times New Roman" w:cs="Times New Roman"/>
                <w:b/>
                <w:color w:val="000000"/>
                <w:sz w:val="21"/>
                <w:szCs w:val="21"/>
                <w:lang w:val="en-GB"/>
              </w:rPr>
            </w:pPr>
          </w:p>
        </w:tc>
        <w:tc>
          <w:tcPr>
            <w:tcW w:w="699" w:type="pct"/>
            <w:tcBorders>
              <w:top w:val="single" w:sz="4" w:space="0" w:color="auto"/>
              <w:left w:val="single" w:sz="4" w:space="0" w:color="auto"/>
              <w:bottom w:val="single" w:sz="4" w:space="0" w:color="auto"/>
              <w:right w:val="single" w:sz="4" w:space="0" w:color="auto"/>
            </w:tcBorders>
            <w:vAlign w:val="center"/>
          </w:tcPr>
          <w:p w14:paraId="4D14D775"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交易前</w:t>
            </w:r>
          </w:p>
        </w:tc>
        <w:tc>
          <w:tcPr>
            <w:tcW w:w="699" w:type="pct"/>
            <w:tcBorders>
              <w:top w:val="single" w:sz="4" w:space="0" w:color="auto"/>
              <w:left w:val="single" w:sz="4" w:space="0" w:color="auto"/>
              <w:bottom w:val="single" w:sz="4" w:space="0" w:color="auto"/>
              <w:right w:val="single" w:sz="4" w:space="0" w:color="auto"/>
            </w:tcBorders>
            <w:vAlign w:val="center"/>
          </w:tcPr>
          <w:p w14:paraId="339A8BBB"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交易后</w:t>
            </w:r>
          </w:p>
          <w:p w14:paraId="4AEF51CF"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（备考）</w:t>
            </w:r>
          </w:p>
        </w:tc>
        <w:tc>
          <w:tcPr>
            <w:tcW w:w="572" w:type="pct"/>
            <w:tcBorders>
              <w:top w:val="single" w:sz="4" w:space="0" w:color="auto"/>
              <w:left w:val="single" w:sz="4" w:space="0" w:color="auto"/>
              <w:bottom w:val="single" w:sz="4" w:space="0" w:color="auto"/>
              <w:right w:val="single" w:sz="4" w:space="0" w:color="auto"/>
            </w:tcBorders>
            <w:vAlign w:val="center"/>
          </w:tcPr>
          <w:p w14:paraId="5A2259F9"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变动率</w:t>
            </w:r>
          </w:p>
        </w:tc>
        <w:tc>
          <w:tcPr>
            <w:tcW w:w="699" w:type="pct"/>
            <w:tcBorders>
              <w:top w:val="single" w:sz="4" w:space="0" w:color="auto"/>
              <w:left w:val="single" w:sz="4" w:space="0" w:color="auto"/>
              <w:bottom w:val="single" w:sz="4" w:space="0" w:color="auto"/>
              <w:right w:val="single" w:sz="4" w:space="0" w:color="auto"/>
            </w:tcBorders>
            <w:vAlign w:val="center"/>
          </w:tcPr>
          <w:p w14:paraId="72E2953F"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交易前</w:t>
            </w:r>
          </w:p>
        </w:tc>
        <w:tc>
          <w:tcPr>
            <w:tcW w:w="699" w:type="pct"/>
            <w:tcBorders>
              <w:top w:val="single" w:sz="4" w:space="0" w:color="auto"/>
              <w:left w:val="single" w:sz="4" w:space="0" w:color="auto"/>
              <w:bottom w:val="single" w:sz="4" w:space="0" w:color="auto"/>
              <w:right w:val="single" w:sz="4" w:space="0" w:color="auto"/>
            </w:tcBorders>
            <w:vAlign w:val="center"/>
          </w:tcPr>
          <w:p w14:paraId="79849263"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交易后</w:t>
            </w:r>
          </w:p>
          <w:p w14:paraId="6DF0CD95"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（备考）</w:t>
            </w:r>
          </w:p>
        </w:tc>
        <w:tc>
          <w:tcPr>
            <w:tcW w:w="606" w:type="pct"/>
            <w:tcBorders>
              <w:top w:val="single" w:sz="4" w:space="0" w:color="auto"/>
              <w:left w:val="single" w:sz="4" w:space="0" w:color="auto"/>
              <w:bottom w:val="single" w:sz="4" w:space="0" w:color="auto"/>
              <w:right w:val="nil"/>
            </w:tcBorders>
            <w:vAlign w:val="center"/>
          </w:tcPr>
          <w:p w14:paraId="4A0BC371" w14:textId="77777777" w:rsidR="000A0ACD" w:rsidRDefault="00362A99">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变动率</w:t>
            </w:r>
          </w:p>
        </w:tc>
      </w:tr>
      <w:tr w:rsidR="000A0ACD" w14:paraId="0EC75A02" w14:textId="77777777">
        <w:trPr>
          <w:trHeight w:val="397"/>
          <w:jc w:val="center"/>
        </w:trPr>
        <w:tc>
          <w:tcPr>
            <w:tcW w:w="1026" w:type="pct"/>
            <w:tcBorders>
              <w:top w:val="single" w:sz="4" w:space="0" w:color="auto"/>
              <w:left w:val="nil"/>
              <w:bottom w:val="single" w:sz="4" w:space="0" w:color="auto"/>
              <w:right w:val="single" w:sz="4" w:space="0" w:color="auto"/>
            </w:tcBorders>
            <w:vAlign w:val="center"/>
          </w:tcPr>
          <w:p w14:paraId="2ECFCBEB"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营业收入</w:t>
            </w:r>
          </w:p>
        </w:tc>
        <w:tc>
          <w:tcPr>
            <w:tcW w:w="699" w:type="pct"/>
            <w:tcBorders>
              <w:top w:val="single" w:sz="4" w:space="0" w:color="auto"/>
              <w:left w:val="single" w:sz="4" w:space="0" w:color="auto"/>
              <w:bottom w:val="single" w:sz="4" w:space="0" w:color="auto"/>
              <w:right w:val="single" w:sz="4" w:space="0" w:color="auto"/>
            </w:tcBorders>
            <w:vAlign w:val="center"/>
          </w:tcPr>
          <w:p w14:paraId="74CEB562"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108,829.65</w:t>
            </w:r>
          </w:p>
        </w:tc>
        <w:tc>
          <w:tcPr>
            <w:tcW w:w="699" w:type="pct"/>
            <w:tcBorders>
              <w:top w:val="single" w:sz="4" w:space="0" w:color="auto"/>
              <w:left w:val="single" w:sz="4" w:space="0" w:color="auto"/>
              <w:bottom w:val="single" w:sz="4" w:space="0" w:color="auto"/>
              <w:right w:val="single" w:sz="4" w:space="0" w:color="auto"/>
            </w:tcBorders>
            <w:vAlign w:val="center"/>
          </w:tcPr>
          <w:p w14:paraId="39116797"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123,885.82</w:t>
            </w:r>
          </w:p>
        </w:tc>
        <w:tc>
          <w:tcPr>
            <w:tcW w:w="572" w:type="pct"/>
            <w:tcBorders>
              <w:top w:val="single" w:sz="4" w:space="0" w:color="auto"/>
              <w:left w:val="single" w:sz="4" w:space="0" w:color="auto"/>
              <w:bottom w:val="single" w:sz="4" w:space="0" w:color="auto"/>
              <w:right w:val="single" w:sz="4" w:space="0" w:color="auto"/>
            </w:tcBorders>
            <w:vAlign w:val="center"/>
          </w:tcPr>
          <w:p w14:paraId="6BBFD06A"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13.83%</w:t>
            </w:r>
          </w:p>
        </w:tc>
        <w:tc>
          <w:tcPr>
            <w:tcW w:w="699" w:type="pct"/>
            <w:tcBorders>
              <w:top w:val="single" w:sz="4" w:space="0" w:color="auto"/>
              <w:left w:val="single" w:sz="4" w:space="0" w:color="auto"/>
              <w:bottom w:val="single" w:sz="4" w:space="0" w:color="auto"/>
              <w:right w:val="single" w:sz="4" w:space="0" w:color="auto"/>
            </w:tcBorders>
            <w:vAlign w:val="center"/>
          </w:tcPr>
          <w:p w14:paraId="38AB5411"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119,584.71</w:t>
            </w:r>
          </w:p>
        </w:tc>
        <w:tc>
          <w:tcPr>
            <w:tcW w:w="699" w:type="pct"/>
            <w:tcBorders>
              <w:top w:val="single" w:sz="4" w:space="0" w:color="auto"/>
              <w:left w:val="single" w:sz="4" w:space="0" w:color="auto"/>
              <w:bottom w:val="single" w:sz="4" w:space="0" w:color="auto"/>
              <w:right w:val="single" w:sz="4" w:space="0" w:color="auto"/>
            </w:tcBorders>
            <w:vAlign w:val="center"/>
          </w:tcPr>
          <w:p w14:paraId="1FC4D6D6"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129,910.85</w:t>
            </w:r>
          </w:p>
        </w:tc>
        <w:tc>
          <w:tcPr>
            <w:tcW w:w="606" w:type="pct"/>
            <w:tcBorders>
              <w:top w:val="single" w:sz="4" w:space="0" w:color="auto"/>
              <w:left w:val="single" w:sz="4" w:space="0" w:color="auto"/>
              <w:bottom w:val="single" w:sz="4" w:space="0" w:color="auto"/>
              <w:right w:val="nil"/>
            </w:tcBorders>
            <w:vAlign w:val="center"/>
          </w:tcPr>
          <w:p w14:paraId="5D728E3B"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8.63%</w:t>
            </w:r>
          </w:p>
        </w:tc>
      </w:tr>
      <w:tr w:rsidR="000A0ACD" w14:paraId="699010E7" w14:textId="77777777">
        <w:trPr>
          <w:trHeight w:val="397"/>
          <w:jc w:val="center"/>
        </w:trPr>
        <w:tc>
          <w:tcPr>
            <w:tcW w:w="1026" w:type="pct"/>
            <w:tcBorders>
              <w:top w:val="single" w:sz="4" w:space="0" w:color="auto"/>
              <w:left w:val="nil"/>
              <w:bottom w:val="single" w:sz="4" w:space="0" w:color="auto"/>
              <w:right w:val="single" w:sz="4" w:space="0" w:color="auto"/>
            </w:tcBorders>
            <w:vAlign w:val="center"/>
          </w:tcPr>
          <w:p w14:paraId="10D4B9C6"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营业成本</w:t>
            </w:r>
          </w:p>
        </w:tc>
        <w:tc>
          <w:tcPr>
            <w:tcW w:w="699" w:type="pct"/>
            <w:tcBorders>
              <w:top w:val="single" w:sz="4" w:space="0" w:color="auto"/>
              <w:left w:val="single" w:sz="4" w:space="0" w:color="auto"/>
              <w:bottom w:val="single" w:sz="4" w:space="0" w:color="auto"/>
              <w:right w:val="single" w:sz="4" w:space="0" w:color="auto"/>
            </w:tcBorders>
            <w:vAlign w:val="center"/>
          </w:tcPr>
          <w:p w14:paraId="4BE79980"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98,489.34</w:t>
            </w:r>
          </w:p>
        </w:tc>
        <w:tc>
          <w:tcPr>
            <w:tcW w:w="699" w:type="pct"/>
            <w:tcBorders>
              <w:top w:val="single" w:sz="4" w:space="0" w:color="auto"/>
              <w:left w:val="single" w:sz="4" w:space="0" w:color="auto"/>
              <w:bottom w:val="single" w:sz="4" w:space="0" w:color="auto"/>
              <w:right w:val="single" w:sz="4" w:space="0" w:color="auto"/>
            </w:tcBorders>
            <w:vAlign w:val="center"/>
          </w:tcPr>
          <w:p w14:paraId="0EF8A2AA"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108,065.04</w:t>
            </w:r>
          </w:p>
        </w:tc>
        <w:tc>
          <w:tcPr>
            <w:tcW w:w="572" w:type="pct"/>
            <w:tcBorders>
              <w:top w:val="single" w:sz="4" w:space="0" w:color="auto"/>
              <w:left w:val="single" w:sz="4" w:space="0" w:color="auto"/>
              <w:bottom w:val="single" w:sz="4" w:space="0" w:color="auto"/>
              <w:right w:val="single" w:sz="4" w:space="0" w:color="auto"/>
            </w:tcBorders>
            <w:vAlign w:val="center"/>
          </w:tcPr>
          <w:p w14:paraId="7384FB18"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9.72%</w:t>
            </w:r>
          </w:p>
        </w:tc>
        <w:tc>
          <w:tcPr>
            <w:tcW w:w="699" w:type="pct"/>
            <w:tcBorders>
              <w:top w:val="single" w:sz="4" w:space="0" w:color="auto"/>
              <w:left w:val="single" w:sz="4" w:space="0" w:color="auto"/>
              <w:bottom w:val="single" w:sz="4" w:space="0" w:color="auto"/>
              <w:right w:val="single" w:sz="4" w:space="0" w:color="auto"/>
            </w:tcBorders>
            <w:vAlign w:val="center"/>
          </w:tcPr>
          <w:p w14:paraId="4FA1AF6B"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109,036.73</w:t>
            </w:r>
          </w:p>
        </w:tc>
        <w:tc>
          <w:tcPr>
            <w:tcW w:w="699" w:type="pct"/>
            <w:tcBorders>
              <w:top w:val="single" w:sz="4" w:space="0" w:color="auto"/>
              <w:left w:val="single" w:sz="4" w:space="0" w:color="auto"/>
              <w:bottom w:val="single" w:sz="4" w:space="0" w:color="auto"/>
              <w:right w:val="single" w:sz="4" w:space="0" w:color="auto"/>
            </w:tcBorders>
            <w:vAlign w:val="center"/>
          </w:tcPr>
          <w:p w14:paraId="08D384B3"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116,223.68</w:t>
            </w:r>
          </w:p>
        </w:tc>
        <w:tc>
          <w:tcPr>
            <w:tcW w:w="606" w:type="pct"/>
            <w:tcBorders>
              <w:top w:val="single" w:sz="4" w:space="0" w:color="auto"/>
              <w:left w:val="single" w:sz="4" w:space="0" w:color="auto"/>
              <w:bottom w:val="single" w:sz="4" w:space="0" w:color="auto"/>
              <w:right w:val="nil"/>
            </w:tcBorders>
            <w:vAlign w:val="center"/>
          </w:tcPr>
          <w:p w14:paraId="35967EED"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6.59%</w:t>
            </w:r>
          </w:p>
        </w:tc>
      </w:tr>
      <w:tr w:rsidR="000A0ACD" w14:paraId="524ABD95" w14:textId="77777777">
        <w:trPr>
          <w:trHeight w:val="397"/>
          <w:jc w:val="center"/>
        </w:trPr>
        <w:tc>
          <w:tcPr>
            <w:tcW w:w="1026" w:type="pct"/>
            <w:tcBorders>
              <w:top w:val="single" w:sz="4" w:space="0" w:color="auto"/>
              <w:left w:val="nil"/>
              <w:bottom w:val="single" w:sz="4" w:space="0" w:color="auto"/>
              <w:right w:val="single" w:sz="4" w:space="0" w:color="auto"/>
            </w:tcBorders>
            <w:vAlign w:val="center"/>
          </w:tcPr>
          <w:p w14:paraId="56E560B5"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营业利润</w:t>
            </w:r>
          </w:p>
        </w:tc>
        <w:tc>
          <w:tcPr>
            <w:tcW w:w="699" w:type="pct"/>
            <w:tcBorders>
              <w:top w:val="single" w:sz="4" w:space="0" w:color="auto"/>
              <w:left w:val="single" w:sz="4" w:space="0" w:color="auto"/>
              <w:bottom w:val="single" w:sz="4" w:space="0" w:color="auto"/>
              <w:right w:val="single" w:sz="4" w:space="0" w:color="auto"/>
            </w:tcBorders>
            <w:vAlign w:val="center"/>
          </w:tcPr>
          <w:p w14:paraId="38BBE415"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12,168.36</w:t>
            </w:r>
          </w:p>
        </w:tc>
        <w:tc>
          <w:tcPr>
            <w:tcW w:w="699" w:type="pct"/>
            <w:tcBorders>
              <w:top w:val="single" w:sz="4" w:space="0" w:color="auto"/>
              <w:left w:val="single" w:sz="4" w:space="0" w:color="auto"/>
              <w:bottom w:val="single" w:sz="4" w:space="0" w:color="auto"/>
              <w:right w:val="single" w:sz="4" w:space="0" w:color="auto"/>
            </w:tcBorders>
            <w:vAlign w:val="center"/>
          </w:tcPr>
          <w:p w14:paraId="1B29DBCA"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15,198.08</w:t>
            </w:r>
          </w:p>
        </w:tc>
        <w:tc>
          <w:tcPr>
            <w:tcW w:w="572" w:type="pct"/>
            <w:tcBorders>
              <w:top w:val="single" w:sz="4" w:space="0" w:color="auto"/>
              <w:left w:val="single" w:sz="4" w:space="0" w:color="auto"/>
              <w:bottom w:val="single" w:sz="4" w:space="0" w:color="auto"/>
              <w:right w:val="single" w:sz="4" w:space="0" w:color="auto"/>
            </w:tcBorders>
            <w:vAlign w:val="center"/>
          </w:tcPr>
          <w:p w14:paraId="2FE185E9"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24.90%</w:t>
            </w:r>
          </w:p>
        </w:tc>
        <w:tc>
          <w:tcPr>
            <w:tcW w:w="699" w:type="pct"/>
            <w:tcBorders>
              <w:top w:val="single" w:sz="4" w:space="0" w:color="auto"/>
              <w:left w:val="single" w:sz="4" w:space="0" w:color="auto"/>
              <w:bottom w:val="single" w:sz="4" w:space="0" w:color="auto"/>
              <w:right w:val="single" w:sz="4" w:space="0" w:color="auto"/>
            </w:tcBorders>
            <w:vAlign w:val="center"/>
          </w:tcPr>
          <w:p w14:paraId="79DB17F4"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-15,988.59</w:t>
            </w:r>
          </w:p>
        </w:tc>
        <w:tc>
          <w:tcPr>
            <w:tcW w:w="699" w:type="pct"/>
            <w:tcBorders>
              <w:top w:val="single" w:sz="4" w:space="0" w:color="auto"/>
              <w:left w:val="single" w:sz="4" w:space="0" w:color="auto"/>
              <w:bottom w:val="single" w:sz="4" w:space="0" w:color="auto"/>
              <w:right w:val="single" w:sz="4" w:space="0" w:color="auto"/>
            </w:tcBorders>
            <w:vAlign w:val="center"/>
          </w:tcPr>
          <w:p w14:paraId="6532E373"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-14,950.28</w:t>
            </w:r>
          </w:p>
        </w:tc>
        <w:tc>
          <w:tcPr>
            <w:tcW w:w="606" w:type="pct"/>
            <w:tcBorders>
              <w:top w:val="single" w:sz="4" w:space="0" w:color="auto"/>
              <w:left w:val="single" w:sz="4" w:space="0" w:color="auto"/>
              <w:bottom w:val="single" w:sz="4" w:space="0" w:color="auto"/>
              <w:right w:val="nil"/>
            </w:tcBorders>
            <w:vAlign w:val="center"/>
          </w:tcPr>
          <w:p w14:paraId="6C4C9DB3"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6.49%</w:t>
            </w:r>
          </w:p>
        </w:tc>
      </w:tr>
      <w:tr w:rsidR="000A0ACD" w14:paraId="3EC91B6F" w14:textId="77777777">
        <w:trPr>
          <w:trHeight w:val="397"/>
          <w:jc w:val="center"/>
        </w:trPr>
        <w:tc>
          <w:tcPr>
            <w:tcW w:w="1026" w:type="pct"/>
            <w:tcBorders>
              <w:top w:val="single" w:sz="4" w:space="0" w:color="auto"/>
              <w:left w:val="nil"/>
              <w:bottom w:val="single" w:sz="4" w:space="0" w:color="auto"/>
              <w:right w:val="single" w:sz="4" w:space="0" w:color="auto"/>
            </w:tcBorders>
            <w:vAlign w:val="center"/>
          </w:tcPr>
          <w:p w14:paraId="1857EA27"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利润总额</w:t>
            </w:r>
          </w:p>
        </w:tc>
        <w:tc>
          <w:tcPr>
            <w:tcW w:w="699" w:type="pct"/>
            <w:tcBorders>
              <w:top w:val="single" w:sz="4" w:space="0" w:color="auto"/>
              <w:left w:val="single" w:sz="4" w:space="0" w:color="auto"/>
              <w:bottom w:val="single" w:sz="4" w:space="0" w:color="auto"/>
              <w:right w:val="single" w:sz="4" w:space="0" w:color="auto"/>
            </w:tcBorders>
            <w:vAlign w:val="center"/>
          </w:tcPr>
          <w:p w14:paraId="7FBE98A8"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12,200.13</w:t>
            </w:r>
          </w:p>
        </w:tc>
        <w:tc>
          <w:tcPr>
            <w:tcW w:w="699" w:type="pct"/>
            <w:tcBorders>
              <w:top w:val="single" w:sz="4" w:space="0" w:color="auto"/>
              <w:left w:val="single" w:sz="4" w:space="0" w:color="auto"/>
              <w:bottom w:val="single" w:sz="4" w:space="0" w:color="auto"/>
              <w:right w:val="single" w:sz="4" w:space="0" w:color="auto"/>
            </w:tcBorders>
            <w:vAlign w:val="center"/>
          </w:tcPr>
          <w:p w14:paraId="4DF3519A"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15,181.61</w:t>
            </w:r>
          </w:p>
        </w:tc>
        <w:tc>
          <w:tcPr>
            <w:tcW w:w="572" w:type="pct"/>
            <w:tcBorders>
              <w:top w:val="single" w:sz="4" w:space="0" w:color="auto"/>
              <w:left w:val="single" w:sz="4" w:space="0" w:color="auto"/>
              <w:bottom w:val="single" w:sz="4" w:space="0" w:color="auto"/>
              <w:right w:val="single" w:sz="4" w:space="0" w:color="auto"/>
            </w:tcBorders>
            <w:vAlign w:val="center"/>
          </w:tcPr>
          <w:p w14:paraId="0A8E626E"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24.44%</w:t>
            </w:r>
          </w:p>
        </w:tc>
        <w:tc>
          <w:tcPr>
            <w:tcW w:w="699" w:type="pct"/>
            <w:tcBorders>
              <w:top w:val="single" w:sz="4" w:space="0" w:color="auto"/>
              <w:left w:val="single" w:sz="4" w:space="0" w:color="auto"/>
              <w:bottom w:val="single" w:sz="4" w:space="0" w:color="auto"/>
              <w:right w:val="single" w:sz="4" w:space="0" w:color="auto"/>
            </w:tcBorders>
            <w:vAlign w:val="center"/>
          </w:tcPr>
          <w:p w14:paraId="1362D581"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-15,981.94</w:t>
            </w:r>
          </w:p>
        </w:tc>
        <w:tc>
          <w:tcPr>
            <w:tcW w:w="699" w:type="pct"/>
            <w:tcBorders>
              <w:top w:val="single" w:sz="4" w:space="0" w:color="auto"/>
              <w:left w:val="single" w:sz="4" w:space="0" w:color="auto"/>
              <w:bottom w:val="single" w:sz="4" w:space="0" w:color="auto"/>
              <w:right w:val="single" w:sz="4" w:space="0" w:color="auto"/>
            </w:tcBorders>
            <w:vAlign w:val="center"/>
          </w:tcPr>
          <w:p w14:paraId="51A56A8A"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-14,900.02</w:t>
            </w:r>
          </w:p>
        </w:tc>
        <w:tc>
          <w:tcPr>
            <w:tcW w:w="606" w:type="pct"/>
            <w:tcBorders>
              <w:top w:val="single" w:sz="4" w:space="0" w:color="auto"/>
              <w:left w:val="single" w:sz="4" w:space="0" w:color="auto"/>
              <w:bottom w:val="single" w:sz="4" w:space="0" w:color="auto"/>
              <w:right w:val="nil"/>
            </w:tcBorders>
            <w:vAlign w:val="center"/>
          </w:tcPr>
          <w:p w14:paraId="51F4FE35"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6.77%</w:t>
            </w:r>
          </w:p>
        </w:tc>
      </w:tr>
      <w:tr w:rsidR="000A0ACD" w14:paraId="0C56A49F" w14:textId="77777777">
        <w:trPr>
          <w:trHeight w:val="397"/>
          <w:jc w:val="center"/>
        </w:trPr>
        <w:tc>
          <w:tcPr>
            <w:tcW w:w="1026" w:type="pct"/>
            <w:tcBorders>
              <w:top w:val="single" w:sz="4" w:space="0" w:color="auto"/>
              <w:left w:val="nil"/>
              <w:bottom w:val="single" w:sz="4" w:space="0" w:color="auto"/>
              <w:right w:val="single" w:sz="4" w:space="0" w:color="auto"/>
            </w:tcBorders>
            <w:vAlign w:val="center"/>
          </w:tcPr>
          <w:p w14:paraId="442E458B"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净利润</w:t>
            </w:r>
          </w:p>
        </w:tc>
        <w:tc>
          <w:tcPr>
            <w:tcW w:w="699" w:type="pct"/>
            <w:tcBorders>
              <w:top w:val="single" w:sz="4" w:space="0" w:color="auto"/>
              <w:left w:val="single" w:sz="4" w:space="0" w:color="auto"/>
              <w:bottom w:val="single" w:sz="4" w:space="0" w:color="auto"/>
              <w:right w:val="single" w:sz="4" w:space="0" w:color="auto"/>
            </w:tcBorders>
            <w:vAlign w:val="center"/>
          </w:tcPr>
          <w:p w14:paraId="3E2EC5A1"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11,936.44</w:t>
            </w:r>
          </w:p>
        </w:tc>
        <w:tc>
          <w:tcPr>
            <w:tcW w:w="699" w:type="pct"/>
            <w:tcBorders>
              <w:top w:val="single" w:sz="4" w:space="0" w:color="auto"/>
              <w:left w:val="single" w:sz="4" w:space="0" w:color="auto"/>
              <w:bottom w:val="single" w:sz="4" w:space="0" w:color="auto"/>
              <w:right w:val="single" w:sz="4" w:space="0" w:color="auto"/>
            </w:tcBorders>
            <w:vAlign w:val="center"/>
          </w:tcPr>
          <w:p w14:paraId="23608D0D"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14,495.26</w:t>
            </w:r>
          </w:p>
        </w:tc>
        <w:tc>
          <w:tcPr>
            <w:tcW w:w="572" w:type="pct"/>
            <w:tcBorders>
              <w:top w:val="single" w:sz="4" w:space="0" w:color="auto"/>
              <w:left w:val="single" w:sz="4" w:space="0" w:color="auto"/>
              <w:bottom w:val="single" w:sz="4" w:space="0" w:color="auto"/>
              <w:right w:val="single" w:sz="4" w:space="0" w:color="auto"/>
            </w:tcBorders>
            <w:vAlign w:val="center"/>
          </w:tcPr>
          <w:p w14:paraId="4A100436"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21.44%</w:t>
            </w:r>
          </w:p>
        </w:tc>
        <w:tc>
          <w:tcPr>
            <w:tcW w:w="699" w:type="pct"/>
            <w:tcBorders>
              <w:top w:val="single" w:sz="4" w:space="0" w:color="auto"/>
              <w:left w:val="single" w:sz="4" w:space="0" w:color="auto"/>
              <w:bottom w:val="single" w:sz="4" w:space="0" w:color="auto"/>
              <w:right w:val="single" w:sz="4" w:space="0" w:color="auto"/>
            </w:tcBorders>
            <w:vAlign w:val="center"/>
          </w:tcPr>
          <w:p w14:paraId="637E794F"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-16,252.67</w:t>
            </w:r>
          </w:p>
        </w:tc>
        <w:tc>
          <w:tcPr>
            <w:tcW w:w="699" w:type="pct"/>
            <w:tcBorders>
              <w:top w:val="single" w:sz="4" w:space="0" w:color="auto"/>
              <w:left w:val="single" w:sz="4" w:space="0" w:color="auto"/>
              <w:bottom w:val="single" w:sz="4" w:space="0" w:color="auto"/>
              <w:right w:val="single" w:sz="4" w:space="0" w:color="auto"/>
            </w:tcBorders>
            <w:vAlign w:val="center"/>
          </w:tcPr>
          <w:p w14:paraId="0600C8E9"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-15,304.51</w:t>
            </w:r>
          </w:p>
        </w:tc>
        <w:tc>
          <w:tcPr>
            <w:tcW w:w="606" w:type="pct"/>
            <w:tcBorders>
              <w:top w:val="single" w:sz="4" w:space="0" w:color="auto"/>
              <w:left w:val="single" w:sz="4" w:space="0" w:color="auto"/>
              <w:bottom w:val="single" w:sz="4" w:space="0" w:color="auto"/>
              <w:right w:val="nil"/>
            </w:tcBorders>
            <w:vAlign w:val="center"/>
          </w:tcPr>
          <w:p w14:paraId="672833C3"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5.83%</w:t>
            </w:r>
          </w:p>
        </w:tc>
      </w:tr>
      <w:tr w:rsidR="000A0ACD" w14:paraId="75A42CB9" w14:textId="77777777">
        <w:trPr>
          <w:trHeight w:val="397"/>
          <w:jc w:val="center"/>
        </w:trPr>
        <w:tc>
          <w:tcPr>
            <w:tcW w:w="1026" w:type="pct"/>
            <w:tcBorders>
              <w:top w:val="single" w:sz="4" w:space="0" w:color="auto"/>
              <w:left w:val="nil"/>
              <w:bottom w:val="single" w:sz="12" w:space="0" w:color="auto"/>
              <w:right w:val="single" w:sz="4" w:space="0" w:color="auto"/>
            </w:tcBorders>
            <w:vAlign w:val="center"/>
          </w:tcPr>
          <w:p w14:paraId="72F62700" w14:textId="77777777" w:rsidR="000A0ACD" w:rsidRDefault="00362A99">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归属于母公司所有者的净利润</w:t>
            </w:r>
          </w:p>
        </w:tc>
        <w:tc>
          <w:tcPr>
            <w:tcW w:w="699" w:type="pct"/>
            <w:tcBorders>
              <w:top w:val="single" w:sz="4" w:space="0" w:color="auto"/>
              <w:left w:val="single" w:sz="4" w:space="0" w:color="auto"/>
              <w:bottom w:val="single" w:sz="12" w:space="0" w:color="auto"/>
              <w:right w:val="single" w:sz="4" w:space="0" w:color="auto"/>
            </w:tcBorders>
            <w:vAlign w:val="center"/>
          </w:tcPr>
          <w:p w14:paraId="68431087"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15,643.18</w:t>
            </w:r>
          </w:p>
        </w:tc>
        <w:tc>
          <w:tcPr>
            <w:tcW w:w="699" w:type="pct"/>
            <w:tcBorders>
              <w:top w:val="single" w:sz="4" w:space="0" w:color="auto"/>
              <w:left w:val="single" w:sz="4" w:space="0" w:color="auto"/>
              <w:bottom w:val="single" w:sz="12" w:space="0" w:color="auto"/>
              <w:right w:val="single" w:sz="4" w:space="0" w:color="auto"/>
            </w:tcBorders>
            <w:vAlign w:val="center"/>
          </w:tcPr>
          <w:p w14:paraId="6FDDE9AD"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17,690.23</w:t>
            </w:r>
          </w:p>
        </w:tc>
        <w:tc>
          <w:tcPr>
            <w:tcW w:w="572" w:type="pct"/>
            <w:tcBorders>
              <w:top w:val="single" w:sz="4" w:space="0" w:color="auto"/>
              <w:left w:val="single" w:sz="4" w:space="0" w:color="auto"/>
              <w:bottom w:val="single" w:sz="12" w:space="0" w:color="auto"/>
              <w:right w:val="single" w:sz="4" w:space="0" w:color="auto"/>
            </w:tcBorders>
            <w:vAlign w:val="center"/>
          </w:tcPr>
          <w:p w14:paraId="2F5A7B7F"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13.09%</w:t>
            </w:r>
          </w:p>
        </w:tc>
        <w:tc>
          <w:tcPr>
            <w:tcW w:w="699" w:type="pct"/>
            <w:tcBorders>
              <w:top w:val="single" w:sz="4" w:space="0" w:color="auto"/>
              <w:left w:val="single" w:sz="4" w:space="0" w:color="auto"/>
              <w:bottom w:val="single" w:sz="12" w:space="0" w:color="auto"/>
              <w:right w:val="single" w:sz="4" w:space="0" w:color="auto"/>
            </w:tcBorders>
            <w:vAlign w:val="center"/>
          </w:tcPr>
          <w:p w14:paraId="3D409579"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-13,003.68</w:t>
            </w:r>
          </w:p>
        </w:tc>
        <w:tc>
          <w:tcPr>
            <w:tcW w:w="699" w:type="pct"/>
            <w:tcBorders>
              <w:top w:val="single" w:sz="4" w:space="0" w:color="auto"/>
              <w:left w:val="single" w:sz="4" w:space="0" w:color="auto"/>
              <w:bottom w:val="single" w:sz="12" w:space="0" w:color="auto"/>
              <w:right w:val="single" w:sz="4" w:space="0" w:color="auto"/>
            </w:tcBorders>
            <w:vAlign w:val="center"/>
          </w:tcPr>
          <w:p w14:paraId="71B310BB"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-12,245.14</w:t>
            </w:r>
          </w:p>
        </w:tc>
        <w:tc>
          <w:tcPr>
            <w:tcW w:w="606" w:type="pct"/>
            <w:tcBorders>
              <w:top w:val="single" w:sz="4" w:space="0" w:color="auto"/>
              <w:left w:val="single" w:sz="4" w:space="0" w:color="auto"/>
              <w:bottom w:val="single" w:sz="12" w:space="0" w:color="auto"/>
              <w:right w:val="nil"/>
            </w:tcBorders>
            <w:vAlign w:val="center"/>
          </w:tcPr>
          <w:p w14:paraId="7D95C499" w14:textId="77777777" w:rsidR="000A0ACD" w:rsidRDefault="00362A99">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5.83%</w:t>
            </w:r>
          </w:p>
        </w:tc>
      </w:tr>
    </w:tbl>
    <w:p w14:paraId="36549AE3"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本次交易完成后，上市公司</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年度、</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年度的营业收入、净利润等指标均有所增长，盈利能力有所提高。</w:t>
      </w:r>
    </w:p>
    <w:p w14:paraId="66C6BCA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标的公司在业绩承诺期内各会计年度经审计的、按照扣除非经常性损益前后</w:t>
      </w:r>
      <w:r>
        <w:rPr>
          <w:rFonts w:ascii="Times New Roman" w:hAnsi="Times New Roman" w:cs="Times New Roman" w:hint="eastAsia"/>
          <w:bCs/>
          <w:color w:val="000000"/>
          <w:szCs w:val="21"/>
        </w:rPr>
        <w:t>归属于母公司所有者的净利润</w:t>
      </w:r>
      <w:r>
        <w:rPr>
          <w:rFonts w:ascii="Times New Roman" w:hAnsi="Times New Roman" w:cs="Times New Roman" w:hint="eastAsia"/>
          <w:bCs/>
          <w:color w:val="000000"/>
          <w:szCs w:val="21"/>
          <w:lang w:val="en-GB"/>
        </w:rPr>
        <w:t>孰低原则确定的承诺净利润分别为：</w:t>
      </w:r>
    </w:p>
    <w:tbl>
      <w:tblPr>
        <w:tblW w:w="8363" w:type="dxa"/>
        <w:jc w:val="center"/>
        <w:tblBorders>
          <w:top w:val="single" w:sz="12" w:space="0" w:color="auto"/>
          <w:bottom w:val="single" w:sz="12" w:space="0" w:color="auto"/>
          <w:insideH w:val="outset" w:sz="6" w:space="0" w:color="auto"/>
          <w:insideV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86"/>
        <w:gridCol w:w="2180"/>
        <w:gridCol w:w="1993"/>
        <w:gridCol w:w="2004"/>
      </w:tblGrid>
      <w:tr w:rsidR="000A0ACD" w14:paraId="63D950C3" w14:textId="77777777">
        <w:trPr>
          <w:trHeight w:val="397"/>
          <w:tblHeader/>
          <w:jc w:val="center"/>
        </w:trPr>
        <w:tc>
          <w:tcPr>
            <w:tcW w:w="8363" w:type="dxa"/>
            <w:gridSpan w:val="4"/>
            <w:shd w:val="clear" w:color="auto" w:fill="FFFFFF"/>
            <w:vAlign w:val="center"/>
          </w:tcPr>
          <w:p w14:paraId="7140F3E3" w14:textId="77777777" w:rsidR="000A0ACD" w:rsidRDefault="00362A99">
            <w:pPr>
              <w:keepNext/>
              <w:widowControl w:val="0"/>
              <w:jc w:val="center"/>
              <w:rPr>
                <w:rFonts w:ascii="Times New Roman" w:hAnsi="Times New Roman" w:cs="Times New Roman"/>
                <w:b/>
                <w:bCs/>
                <w:kern w:val="2"/>
                <w:sz w:val="21"/>
                <w:szCs w:val="21"/>
              </w:rPr>
            </w:pPr>
            <w:r>
              <w:rPr>
                <w:rFonts w:ascii="Times New Roman" w:hAnsi="Times New Roman" w:cs="Times New Roman"/>
                <w:b/>
                <w:bCs/>
                <w:color w:val="333333"/>
                <w:kern w:val="2"/>
                <w:sz w:val="21"/>
                <w:szCs w:val="21"/>
              </w:rPr>
              <w:t>承诺净利润（万元）</w:t>
            </w:r>
          </w:p>
        </w:tc>
      </w:tr>
      <w:tr w:rsidR="000A0ACD" w14:paraId="7C1D3351" w14:textId="77777777">
        <w:trPr>
          <w:trHeight w:val="397"/>
          <w:jc w:val="center"/>
        </w:trPr>
        <w:tc>
          <w:tcPr>
            <w:tcW w:w="2186" w:type="dxa"/>
            <w:shd w:val="clear" w:color="auto" w:fill="FFFFFF"/>
            <w:vAlign w:val="center"/>
          </w:tcPr>
          <w:p w14:paraId="22FC2813" w14:textId="77777777" w:rsidR="000A0ACD" w:rsidRDefault="00362A99">
            <w:pPr>
              <w:keepNext/>
              <w:widowControl w:val="0"/>
              <w:jc w:val="center"/>
              <w:rPr>
                <w:rFonts w:ascii="Times New Roman" w:hAnsi="Times New Roman" w:cs="Times New Roman"/>
                <w:b/>
                <w:bCs/>
                <w:color w:val="333333"/>
                <w:kern w:val="2"/>
                <w:sz w:val="21"/>
                <w:szCs w:val="21"/>
              </w:rPr>
            </w:pPr>
            <w:r>
              <w:rPr>
                <w:rFonts w:ascii="Times New Roman" w:hAnsi="Times New Roman" w:cs="Times New Roman"/>
                <w:b/>
                <w:bCs/>
                <w:color w:val="333333"/>
                <w:kern w:val="2"/>
                <w:sz w:val="21"/>
                <w:szCs w:val="21"/>
              </w:rPr>
              <w:t>2020</w:t>
            </w:r>
            <w:r>
              <w:rPr>
                <w:rFonts w:ascii="Times New Roman" w:hAnsi="Times New Roman" w:cs="Times New Roman"/>
                <w:b/>
                <w:bCs/>
                <w:color w:val="333333"/>
                <w:kern w:val="2"/>
                <w:sz w:val="21"/>
                <w:szCs w:val="21"/>
              </w:rPr>
              <w:t>年</w:t>
            </w:r>
          </w:p>
        </w:tc>
        <w:tc>
          <w:tcPr>
            <w:tcW w:w="2180" w:type="dxa"/>
            <w:shd w:val="clear" w:color="auto" w:fill="FFFFFF"/>
            <w:tcMar>
              <w:top w:w="0" w:type="dxa"/>
              <w:left w:w="0" w:type="dxa"/>
              <w:bottom w:w="0" w:type="dxa"/>
              <w:right w:w="0" w:type="dxa"/>
            </w:tcMar>
            <w:vAlign w:val="center"/>
          </w:tcPr>
          <w:p w14:paraId="3E9A3592" w14:textId="77777777" w:rsidR="000A0ACD" w:rsidRDefault="00362A99">
            <w:pPr>
              <w:keepNext/>
              <w:widowControl w:val="0"/>
              <w:jc w:val="center"/>
              <w:rPr>
                <w:rFonts w:ascii="Times New Roman" w:hAnsi="Times New Roman" w:cs="Times New Roman"/>
                <w:b/>
                <w:bCs/>
                <w:kern w:val="2"/>
                <w:sz w:val="21"/>
                <w:szCs w:val="21"/>
              </w:rPr>
            </w:pPr>
            <w:r>
              <w:rPr>
                <w:rFonts w:ascii="Times New Roman" w:hAnsi="Times New Roman" w:cs="Times New Roman"/>
                <w:b/>
                <w:bCs/>
                <w:color w:val="333333"/>
                <w:kern w:val="2"/>
                <w:sz w:val="21"/>
                <w:szCs w:val="21"/>
              </w:rPr>
              <w:t>2021</w:t>
            </w:r>
            <w:r>
              <w:rPr>
                <w:rFonts w:ascii="Times New Roman" w:hAnsi="Times New Roman" w:cs="Times New Roman"/>
                <w:b/>
                <w:bCs/>
                <w:color w:val="333333"/>
                <w:kern w:val="2"/>
                <w:sz w:val="21"/>
                <w:szCs w:val="21"/>
              </w:rPr>
              <w:t>年</w:t>
            </w:r>
          </w:p>
        </w:tc>
        <w:tc>
          <w:tcPr>
            <w:tcW w:w="1993" w:type="dxa"/>
            <w:shd w:val="clear" w:color="auto" w:fill="FFFFFF"/>
            <w:tcMar>
              <w:top w:w="0" w:type="dxa"/>
              <w:left w:w="0" w:type="dxa"/>
              <w:bottom w:w="0" w:type="dxa"/>
              <w:right w:w="0" w:type="dxa"/>
            </w:tcMar>
            <w:vAlign w:val="center"/>
          </w:tcPr>
          <w:p w14:paraId="3D06059F" w14:textId="77777777" w:rsidR="000A0ACD" w:rsidRDefault="00362A99">
            <w:pPr>
              <w:keepNext/>
              <w:widowControl w:val="0"/>
              <w:jc w:val="center"/>
              <w:rPr>
                <w:rFonts w:ascii="Times New Roman" w:hAnsi="Times New Roman" w:cs="Times New Roman"/>
                <w:b/>
                <w:bCs/>
                <w:kern w:val="2"/>
                <w:sz w:val="21"/>
                <w:szCs w:val="21"/>
              </w:rPr>
            </w:pPr>
            <w:r>
              <w:rPr>
                <w:rFonts w:ascii="Times New Roman" w:hAnsi="Times New Roman" w:cs="Times New Roman"/>
                <w:b/>
                <w:bCs/>
                <w:color w:val="333333"/>
                <w:kern w:val="2"/>
                <w:sz w:val="21"/>
                <w:szCs w:val="21"/>
              </w:rPr>
              <w:t>2022</w:t>
            </w:r>
            <w:r>
              <w:rPr>
                <w:rFonts w:ascii="Times New Roman" w:hAnsi="Times New Roman" w:cs="Times New Roman"/>
                <w:b/>
                <w:bCs/>
                <w:color w:val="333333"/>
                <w:kern w:val="2"/>
                <w:sz w:val="21"/>
                <w:szCs w:val="21"/>
              </w:rPr>
              <w:t>年</w:t>
            </w:r>
          </w:p>
        </w:tc>
        <w:tc>
          <w:tcPr>
            <w:tcW w:w="2004" w:type="dxa"/>
            <w:shd w:val="clear" w:color="auto" w:fill="FFFFFF"/>
            <w:tcMar>
              <w:top w:w="0" w:type="dxa"/>
              <w:left w:w="0" w:type="dxa"/>
              <w:bottom w:w="0" w:type="dxa"/>
              <w:right w:w="0" w:type="dxa"/>
            </w:tcMar>
            <w:vAlign w:val="center"/>
          </w:tcPr>
          <w:p w14:paraId="2B126799" w14:textId="77777777" w:rsidR="000A0ACD" w:rsidRDefault="00362A99">
            <w:pPr>
              <w:keepNext/>
              <w:widowControl w:val="0"/>
              <w:jc w:val="center"/>
              <w:rPr>
                <w:rFonts w:ascii="Times New Roman" w:hAnsi="Times New Roman" w:cs="Times New Roman"/>
                <w:b/>
                <w:bCs/>
                <w:kern w:val="2"/>
                <w:sz w:val="21"/>
                <w:szCs w:val="21"/>
              </w:rPr>
            </w:pPr>
            <w:r>
              <w:rPr>
                <w:rFonts w:ascii="Times New Roman" w:hAnsi="Times New Roman" w:cs="Times New Roman"/>
                <w:b/>
                <w:bCs/>
                <w:color w:val="333333"/>
                <w:kern w:val="2"/>
                <w:sz w:val="21"/>
                <w:szCs w:val="21"/>
              </w:rPr>
              <w:t>2023</w:t>
            </w:r>
            <w:r>
              <w:rPr>
                <w:rFonts w:ascii="Times New Roman" w:hAnsi="Times New Roman" w:cs="Times New Roman"/>
                <w:b/>
                <w:bCs/>
                <w:color w:val="333333"/>
                <w:kern w:val="2"/>
                <w:sz w:val="21"/>
                <w:szCs w:val="21"/>
              </w:rPr>
              <w:t>年</w:t>
            </w:r>
          </w:p>
        </w:tc>
      </w:tr>
      <w:tr w:rsidR="000A0ACD" w14:paraId="5236B645" w14:textId="77777777">
        <w:trPr>
          <w:trHeight w:val="397"/>
          <w:jc w:val="center"/>
        </w:trPr>
        <w:tc>
          <w:tcPr>
            <w:tcW w:w="2186" w:type="dxa"/>
            <w:shd w:val="clear" w:color="auto" w:fill="FFFFFF"/>
            <w:vAlign w:val="center"/>
          </w:tcPr>
          <w:p w14:paraId="0746A95C" w14:textId="77777777" w:rsidR="000A0ACD" w:rsidRDefault="00362A99">
            <w:pPr>
              <w:widowControl w:val="0"/>
              <w:jc w:val="right"/>
              <w:rPr>
                <w:rFonts w:ascii="Times New Roman" w:hAnsi="Times New Roman" w:cs="Times New Roman"/>
                <w:kern w:val="2"/>
                <w:sz w:val="21"/>
                <w:szCs w:val="21"/>
              </w:rPr>
            </w:pPr>
            <w:r>
              <w:rPr>
                <w:rFonts w:ascii="Times New Roman" w:hAnsi="Times New Roman" w:cs="Times New Roman"/>
                <w:kern w:val="2"/>
                <w:sz w:val="21"/>
                <w:szCs w:val="21"/>
              </w:rPr>
              <w:t>2,750.00</w:t>
            </w:r>
          </w:p>
        </w:tc>
        <w:tc>
          <w:tcPr>
            <w:tcW w:w="2180" w:type="dxa"/>
            <w:shd w:val="clear" w:color="auto" w:fill="FFFFFF"/>
            <w:tcMar>
              <w:top w:w="0" w:type="dxa"/>
              <w:left w:w="0" w:type="dxa"/>
              <w:bottom w:w="0" w:type="dxa"/>
              <w:right w:w="0" w:type="dxa"/>
            </w:tcMar>
            <w:vAlign w:val="center"/>
          </w:tcPr>
          <w:p w14:paraId="3CDBD682" w14:textId="77777777" w:rsidR="000A0ACD" w:rsidRDefault="00362A99">
            <w:pPr>
              <w:widowControl w:val="0"/>
              <w:jc w:val="right"/>
              <w:rPr>
                <w:rFonts w:ascii="Times New Roman" w:hAnsi="Times New Roman" w:cs="Times New Roman"/>
                <w:kern w:val="2"/>
                <w:sz w:val="21"/>
                <w:szCs w:val="21"/>
              </w:rPr>
            </w:pPr>
            <w:r>
              <w:rPr>
                <w:rFonts w:ascii="Times New Roman" w:hAnsi="Times New Roman" w:cs="Times New Roman"/>
                <w:kern w:val="2"/>
                <w:sz w:val="21"/>
                <w:szCs w:val="21"/>
              </w:rPr>
              <w:t>3,800.00</w:t>
            </w:r>
          </w:p>
        </w:tc>
        <w:tc>
          <w:tcPr>
            <w:tcW w:w="1993" w:type="dxa"/>
            <w:shd w:val="clear" w:color="auto" w:fill="FFFFFF"/>
            <w:tcMar>
              <w:top w:w="0" w:type="dxa"/>
              <w:left w:w="0" w:type="dxa"/>
              <w:bottom w:w="0" w:type="dxa"/>
              <w:right w:w="0" w:type="dxa"/>
            </w:tcMar>
            <w:vAlign w:val="center"/>
          </w:tcPr>
          <w:p w14:paraId="58C119E2" w14:textId="77777777" w:rsidR="000A0ACD" w:rsidRDefault="00362A99">
            <w:pPr>
              <w:widowControl w:val="0"/>
              <w:jc w:val="right"/>
              <w:rPr>
                <w:rFonts w:ascii="Times New Roman" w:hAnsi="Times New Roman" w:cs="Times New Roman"/>
                <w:kern w:val="2"/>
                <w:sz w:val="21"/>
                <w:szCs w:val="21"/>
              </w:rPr>
            </w:pPr>
            <w:r>
              <w:rPr>
                <w:rFonts w:ascii="Times New Roman" w:hAnsi="Times New Roman" w:cs="Times New Roman"/>
                <w:kern w:val="2"/>
                <w:sz w:val="21"/>
                <w:szCs w:val="21"/>
              </w:rPr>
              <w:t>4,100.00</w:t>
            </w:r>
          </w:p>
        </w:tc>
        <w:tc>
          <w:tcPr>
            <w:tcW w:w="2004" w:type="dxa"/>
            <w:shd w:val="clear" w:color="auto" w:fill="FFFFFF"/>
            <w:tcMar>
              <w:top w:w="0" w:type="dxa"/>
              <w:left w:w="0" w:type="dxa"/>
              <w:bottom w:w="0" w:type="dxa"/>
              <w:right w:w="0" w:type="dxa"/>
            </w:tcMar>
            <w:vAlign w:val="center"/>
          </w:tcPr>
          <w:p w14:paraId="030AD915" w14:textId="77777777" w:rsidR="000A0ACD" w:rsidRDefault="00362A99">
            <w:pPr>
              <w:widowControl w:val="0"/>
              <w:jc w:val="right"/>
              <w:rPr>
                <w:rFonts w:ascii="Times New Roman" w:hAnsi="Times New Roman" w:cs="Times New Roman"/>
                <w:kern w:val="2"/>
                <w:sz w:val="21"/>
                <w:szCs w:val="21"/>
              </w:rPr>
            </w:pPr>
            <w:r>
              <w:rPr>
                <w:rFonts w:ascii="Times New Roman" w:hAnsi="Times New Roman" w:cs="Times New Roman"/>
                <w:kern w:val="2"/>
                <w:sz w:val="21"/>
                <w:szCs w:val="21"/>
              </w:rPr>
              <w:t>4,300.00</w:t>
            </w:r>
          </w:p>
        </w:tc>
      </w:tr>
    </w:tbl>
    <w:p w14:paraId="17FB6564"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如果北洋天青在业绩承诺期内各年度均能够实现其承诺净利润数，上市公司持续盈利能力将进一步增强。</w:t>
      </w:r>
    </w:p>
    <w:p w14:paraId="226D5C29"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六、补充披露情况</w:t>
      </w:r>
    </w:p>
    <w:p w14:paraId="58755886"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lang w:val="en-GB"/>
        </w:rPr>
        <w:t>上市公司已在《重组报告书》“第十三节</w:t>
      </w:r>
      <w:r>
        <w:rPr>
          <w:rFonts w:ascii="Times New Roman" w:hAnsi="Times New Roman" w:cs="Times New Roman"/>
          <w:bCs/>
          <w:color w:val="000000"/>
          <w:szCs w:val="21"/>
          <w:lang w:val="en-GB"/>
        </w:rPr>
        <w:t xml:space="preserve"> </w:t>
      </w:r>
      <w:r>
        <w:rPr>
          <w:rFonts w:ascii="Times New Roman" w:hAnsi="Times New Roman" w:cs="Times New Roman" w:hint="eastAsia"/>
          <w:bCs/>
          <w:color w:val="000000"/>
          <w:szCs w:val="21"/>
          <w:lang w:val="en-GB"/>
        </w:rPr>
        <w:t>其他重要事项”之“十三、本次收购的必要性”进行了补充披露。</w:t>
      </w:r>
    </w:p>
    <w:p w14:paraId="28D1FF66"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七、独立财务顾问核查意见</w:t>
      </w:r>
    </w:p>
    <w:p w14:paraId="1B3FA30E"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经核查，独立财务顾问认为：本次收购有利于拓展上市公司的业务范围，有利于实现上市公司资产规模的扩张和财务指标的改善，有利于上市公司推动智能制造和信息化建设，有利于上市公司获取北洋天青在家电行业智能制造领域的市场地位，因此，本次收购具有一定的必要性。本次交易有利于上市公司增强持续盈利能力。</w:t>
      </w:r>
    </w:p>
    <w:p w14:paraId="735F0FFF"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themeColor="text1"/>
          <w:szCs w:val="21"/>
        </w:rPr>
        <w:t>补充披露</w:t>
      </w:r>
      <w:r>
        <w:rPr>
          <w:rFonts w:ascii="Times New Roman" w:eastAsia="黑体" w:hAnsi="Times New Roman" w:cs="Times New Roman" w:hint="eastAsia"/>
          <w:b/>
          <w:color w:val="000000"/>
          <w:szCs w:val="21"/>
        </w:rPr>
        <w:t>上市公司与标的资产主业是否存在显著协同效应及其认定理由，如否，补充披露上市公司是否具备充足的家电智能制造行业知识、经营管理能力、资源整合能力及营销能力，交易完成后能否在有效控制管理成本的前提下整合和管控标的资产，对潜在整合风险有何应对措施。请独立财务顾问核查并发表明确意见。</w:t>
      </w:r>
    </w:p>
    <w:p w14:paraId="20F5A785"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一、上市公司与标的资产主业不存在显著协同效应</w:t>
      </w:r>
    </w:p>
    <w:p w14:paraId="0B2852CA"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本次交易前，上市公司主要从事压力容器的研发、生产加工及销售业务，主要产品包括车用液化天然气（</w:t>
      </w:r>
      <w:r>
        <w:rPr>
          <w:rFonts w:ascii="Times New Roman" w:hAnsi="Times New Roman" w:cs="Times New Roman" w:hint="eastAsia"/>
          <w:bCs/>
          <w:color w:val="000000"/>
          <w:szCs w:val="21"/>
        </w:rPr>
        <w:t>LNG</w:t>
      </w:r>
      <w:r>
        <w:rPr>
          <w:rFonts w:ascii="Times New Roman" w:hAnsi="Times New Roman" w:cs="Times New Roman" w:hint="eastAsia"/>
          <w:bCs/>
          <w:color w:val="000000"/>
          <w:szCs w:val="21"/>
        </w:rPr>
        <w:t>）气瓶，车用压缩天然气（</w:t>
      </w:r>
      <w:r>
        <w:rPr>
          <w:rFonts w:ascii="Times New Roman" w:hAnsi="Times New Roman" w:cs="Times New Roman" w:hint="eastAsia"/>
          <w:bCs/>
          <w:color w:val="000000"/>
          <w:szCs w:val="21"/>
        </w:rPr>
        <w:t>CNG</w:t>
      </w:r>
      <w:r>
        <w:rPr>
          <w:rFonts w:ascii="Times New Roman" w:hAnsi="Times New Roman" w:cs="Times New Roman" w:hint="eastAsia"/>
          <w:bCs/>
          <w:color w:val="000000"/>
          <w:szCs w:val="21"/>
        </w:rPr>
        <w:t>）气瓶，钢质无缝气瓶，钢质焊接气瓶，焊接绝热气瓶，碳纤维全缠绕复合气瓶，板冲式无石棉填料乙炔瓶</w:t>
      </w:r>
      <w:r>
        <w:rPr>
          <w:rFonts w:ascii="Times New Roman" w:hAnsi="Times New Roman" w:cs="Times New Roman" w:hint="eastAsia"/>
          <w:bCs/>
          <w:color w:val="000000"/>
          <w:szCs w:val="21"/>
        </w:rPr>
        <w:t>ISO</w:t>
      </w:r>
      <w:r>
        <w:rPr>
          <w:rFonts w:ascii="Times New Roman" w:hAnsi="Times New Roman" w:cs="Times New Roman" w:hint="eastAsia"/>
          <w:bCs/>
          <w:color w:val="000000"/>
          <w:szCs w:val="21"/>
        </w:rPr>
        <w:t>罐式集装箱，氢燃料电池用铝内胆碳纤维全缠绕复合气瓶以及低温储罐、</w:t>
      </w:r>
      <w:r>
        <w:rPr>
          <w:rFonts w:ascii="Times New Roman" w:hAnsi="Times New Roman" w:cs="Times New Roman" w:hint="eastAsia"/>
          <w:bCs/>
          <w:color w:val="000000"/>
          <w:szCs w:val="21"/>
        </w:rPr>
        <w:t>LNG</w:t>
      </w:r>
      <w:r>
        <w:rPr>
          <w:rFonts w:ascii="Times New Roman" w:hAnsi="Times New Roman" w:cs="Times New Roman" w:hint="eastAsia"/>
          <w:bCs/>
          <w:color w:val="000000"/>
          <w:szCs w:val="21"/>
        </w:rPr>
        <w:t>加气站设备等。北洋天青深耕家电自动化领域，主要从事家电行业的生产线智能化、信息化建设、升级和改造，形成了包括工业机器人本体及系统集成、智能制造装备、机器视觉、测试系统集成、模具立体库自动换模系统、物流悬挂输送系统和企业信息化七大业务板块的产品线。因此，上市公司与标的资产主业不存在显著的协同效应。</w:t>
      </w:r>
    </w:p>
    <w:p w14:paraId="24FCCF13"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二、上市公司具备充足的家电智能制造行业知识、经营管理能力、资源整合能力及营销能力</w:t>
      </w:r>
    </w:p>
    <w:p w14:paraId="11A0CE84"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市公司董事、高管人员具有丰富的企业管理经验，董事长、总经理、执行董事、总工程师等主要人员均有十年以上的工业机械行业工作及管理经验。上市公司以技术基础优良、产品稳定可靠的企业形象以及友好的客户关系为基础，拥有良好的资源整合能力。</w:t>
      </w:r>
    </w:p>
    <w:p w14:paraId="611F63C9"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本次重组完成后，在保持标的公司经营管理层基本不变的情况下，上市公司将向北洋天青委派董事、副总经理及财务总监等。上述安排既保持了标的公司原</w:t>
      </w:r>
      <w:r>
        <w:rPr>
          <w:rFonts w:ascii="Times New Roman" w:hAnsi="Times New Roman" w:cs="Times New Roman" w:hint="eastAsia"/>
          <w:bCs/>
          <w:color w:val="000000"/>
          <w:szCs w:val="21"/>
        </w:rPr>
        <w:lastRenderedPageBreak/>
        <w:t>有经营所需的人员、技术、运营、客户资源，又引入了上市公司管理体系。同时，上市公司未来将不断地吸收智能制造相关行业人员储备，以满足标的公司未来发展中所需要的人员、技术和销售等需求。</w:t>
      </w:r>
    </w:p>
    <w:p w14:paraId="0C43FAF4"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综上所述，本次收购完成后上市公司具备充足的家电智能制造行业知识、经营管理能力、资源整合能力及营销能力。</w:t>
      </w:r>
    </w:p>
    <w:p w14:paraId="26FF0975"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三、交易完成后上市公司能够在有效控制管理成本的前提下整合和管控标的资产</w:t>
      </w:r>
    </w:p>
    <w:p w14:paraId="211A846E"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本次交易完成后，北洋天青将成为上市公司控股子公司，纳入上市公司统一的管理体系，上市公司拟采取以下业务管理模式：</w:t>
      </w:r>
    </w:p>
    <w:p w14:paraId="115728E9"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在制度建设和资源配置层面，上市公司将实行统一管理。上市公司将把自身规范、成熟的财务管理体系引入北洋天青的日常财务工作中，建立和完善北洋天青各项业务管理制度，强化财务核算及内部控制体系，确保北洋天青以符合上市公司标准的体系进行规范运作。</w:t>
      </w:r>
    </w:p>
    <w:p w14:paraId="57C927EB" w14:textId="6F22B428"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在经营管理层面，为了加强对标的公司的管理，根据交易各方签署的《资产收购协议》，本次收购完成后，标的公司董事会将由</w:t>
      </w:r>
      <w:r>
        <w:rPr>
          <w:rFonts w:ascii="Times New Roman" w:hAnsi="Times New Roman" w:cs="Times New Roman" w:hint="eastAsia"/>
          <w:bCs/>
          <w:color w:val="000000"/>
          <w:szCs w:val="21"/>
        </w:rPr>
        <w:t>5</w:t>
      </w:r>
      <w:r>
        <w:rPr>
          <w:rFonts w:ascii="Times New Roman" w:hAnsi="Times New Roman" w:cs="Times New Roman" w:hint="eastAsia"/>
          <w:bCs/>
          <w:color w:val="000000"/>
          <w:szCs w:val="21"/>
        </w:rPr>
        <w:t>名董事组成，其中上市公司有权委派</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名董事，法定代表人和董事长由上市公司委派的董事担任。标的公司监事会将由</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名监事组成，其中上市公司有权委派</w:t>
      </w: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名监事。标的公司总经理由黄晓峰担任，上市公司向标的公司委派一名副总经理及一名财务总监参与经营管理。同时，根据经营需要京城股份可以向标的公司委派若干名业务骨干人员参与公司运营。</w:t>
      </w:r>
    </w:p>
    <w:p w14:paraId="5B0D41D4"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在员工激励及稳定方面，上市公司在《发行股份及支付现金购买资产协议》中通过超额利润奖励安排、锁定核心人员任职、竞业禁止承诺等方式保持标的公司经营的稳定性。除上述不竞争承诺外，交易对方保证北洋天青核心管理团队成员与北洋天青签署令上市公司满意的劳动合同、保密及竞业限制协议。</w:t>
      </w:r>
    </w:p>
    <w:p w14:paraId="26A34B97"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超额业绩奖励机制的设立，可以保持标的公司核心人员及团队的稳定，提升相关人员的经营积极性，实现上市公司利益与交易对方利益的绑定，保障北洋天</w:t>
      </w:r>
      <w:r>
        <w:rPr>
          <w:rFonts w:ascii="Times New Roman" w:hAnsi="Times New Roman" w:cs="Times New Roman" w:hint="eastAsia"/>
          <w:bCs/>
          <w:color w:val="000000"/>
          <w:szCs w:val="21"/>
        </w:rPr>
        <w:lastRenderedPageBreak/>
        <w:t>青业务的进一步发展。同时，上市公司将通过业务交流学习等方式不断提升上市公司员工特别是高级管理人员在自动化行业的知识储备、经验能力与业务水平。</w:t>
      </w:r>
    </w:p>
    <w:p w14:paraId="6197B712"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通过上述业务管理措施，本次交易完成后，上市公司能够在有效控制管理成本的前提下整合和管控标的资产。</w:t>
      </w:r>
    </w:p>
    <w:p w14:paraId="145717DE"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四、对潜在整合风险的应对措施</w:t>
      </w:r>
    </w:p>
    <w:p w14:paraId="6C3B4975"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本次重组完成后，北洋天青将成为上市公司的控股子公司。上市公司将从公司治理、业务、财务、人员等方面对标的公司进行管控。为了有效防范管控风险，上市公司将采取以下管理控制措施：</w:t>
      </w:r>
    </w:p>
    <w:p w14:paraId="397DF4FB"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1</w:t>
      </w:r>
      <w:r>
        <w:rPr>
          <w:rFonts w:ascii="Times New Roman" w:hAnsi="Times New Roman" w:cs="Times New Roman" w:hint="eastAsia"/>
          <w:bCs/>
          <w:color w:val="000000"/>
          <w:szCs w:val="21"/>
        </w:rPr>
        <w:t>）上市公司将结合标的公司的行业和业务情况，充分发挥团队管理、公司治理和风险防控等经验，从财务控制、制度控制、人力资源管理等方面对标的公司的各业务模块进行集中协调，统一管理，提高管理控制能力；</w:t>
      </w:r>
    </w:p>
    <w:p w14:paraId="302C152E"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2</w:t>
      </w:r>
      <w:r>
        <w:rPr>
          <w:rFonts w:ascii="Times New Roman" w:hAnsi="Times New Roman" w:cs="Times New Roman" w:hint="eastAsia"/>
          <w:bCs/>
          <w:color w:val="000000"/>
          <w:szCs w:val="21"/>
        </w:rPr>
        <w:t>）进一步完善并严格执行内部控制制度，尤其是对子公司的管理制度，加强上市公司对子公司重大经营决策、财务决策、对外担保、重大资产处置等方面的管理与控制，提升上市公司的整体的掌控能力、决策水平和抗风险能力；</w:t>
      </w:r>
    </w:p>
    <w:p w14:paraId="263550F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3</w:t>
      </w:r>
      <w:r>
        <w:rPr>
          <w:rFonts w:ascii="Times New Roman" w:hAnsi="Times New Roman" w:cs="Times New Roman" w:hint="eastAsia"/>
          <w:bCs/>
          <w:color w:val="000000"/>
          <w:szCs w:val="21"/>
        </w:rPr>
        <w:t>）建立长效的人力资源制度，包括优秀人才选聘机制、薪酬奖励机制、晋升机制等，长效的人力资源制度有利于健全上市公司法人治理结构、提高员工积极性，有效提升整合的效率与效益；</w:t>
      </w:r>
    </w:p>
    <w:p w14:paraId="666EEF1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4</w:t>
      </w:r>
      <w:r>
        <w:rPr>
          <w:rFonts w:ascii="Times New Roman" w:hAnsi="Times New Roman" w:cs="Times New Roman" w:hint="eastAsia"/>
          <w:bCs/>
          <w:color w:val="000000"/>
          <w:szCs w:val="21"/>
        </w:rPr>
        <w:t>）为防范因上市公司与标的公司在价值观、经营理念、管理风格等方面存在的差异可能会导致关键人员流失、客户资源流失等不利情形的出现，上市公司将通过推广企业文化、加强交流等方式来提高员工认同感、忠诚度和稳定性；</w:t>
      </w:r>
    </w:p>
    <w:p w14:paraId="48D802E7"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5</w:t>
      </w:r>
      <w:r>
        <w:rPr>
          <w:rFonts w:ascii="Times New Roman" w:hAnsi="Times New Roman" w:cs="Times New Roman" w:hint="eastAsia"/>
          <w:bCs/>
          <w:color w:val="000000"/>
          <w:szCs w:val="21"/>
        </w:rPr>
        <w:t>）本次交易完成后，标的公司将接受上市公司内部审计部门的审计监督，上市公司审计部门对标的公司进行定期的内部审计。</w:t>
      </w:r>
    </w:p>
    <w:p w14:paraId="21F429D1"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五、补充披露情况</w:t>
      </w:r>
    </w:p>
    <w:p w14:paraId="2EF4FED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上市公司已在《重组报告书》“第九节</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管理层讨论与分析”之“四、本次交易对上市公司持续经营能力、未来发展前景、每股收益等财务指标和非财务指</w:t>
      </w:r>
      <w:r>
        <w:rPr>
          <w:rFonts w:ascii="Times New Roman" w:hAnsi="Times New Roman" w:cs="Times New Roman" w:hint="eastAsia"/>
          <w:bCs/>
          <w:color w:val="000000"/>
          <w:szCs w:val="21"/>
        </w:rPr>
        <w:lastRenderedPageBreak/>
        <w:t>标的影响分析”之“（四）本次交易完成后上市公司对潜在整合风险的应对措施”进行了补充披露。</w:t>
      </w:r>
    </w:p>
    <w:p w14:paraId="07E1FFCA"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六、独立财务顾问核查意见</w:t>
      </w:r>
    </w:p>
    <w:p w14:paraId="041E8EE6"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sectPr w:rsidR="000A0ACD">
          <w:pgSz w:w="11906" w:h="16838"/>
          <w:pgMar w:top="1440" w:right="1800" w:bottom="1440" w:left="1800" w:header="851" w:footer="992" w:gutter="0"/>
          <w:cols w:space="425"/>
          <w:docGrid w:type="lines" w:linePitch="312"/>
        </w:sectPr>
      </w:pPr>
      <w:r>
        <w:rPr>
          <w:rFonts w:ascii="Times New Roman" w:hAnsi="Times New Roman" w:cs="Times New Roman" w:hint="eastAsia"/>
          <w:bCs/>
          <w:color w:val="000000"/>
          <w:szCs w:val="21"/>
        </w:rPr>
        <w:t>经核查，独立财务顾问认为：本次交易前，上市公司主要从事压力容器的研发、生产加工及销售业务，北洋天青主要从事家电行业的生产线智能化、信息化建设、升级和改造业务，上市公司与标的资产主业不存在显著的协同效应。上市公司具备充足的家电智能制造行业知识、经营管理能力、资源整合能力及营销能力，且交易完成后能够在有效控制管理成本的前提下整合和管控标的资产，上市公司通过公司治理、业务运营、财务管理等相关措施的执行，能够有效应对潜在的整合风险。</w:t>
      </w:r>
    </w:p>
    <w:p w14:paraId="3A7CC986" w14:textId="77777777" w:rsidR="000A0ACD" w:rsidRDefault="00362A99">
      <w:pPr>
        <w:spacing w:beforeLines="50" w:before="156" w:line="360" w:lineRule="auto"/>
        <w:ind w:firstLineChars="200" w:firstLine="562"/>
        <w:jc w:val="both"/>
        <w:outlineLvl w:val="0"/>
        <w:rPr>
          <w:rFonts w:ascii="Times New Roman" w:eastAsia="黑体" w:hAnsi="Times New Roman" w:cs="Times New Roman"/>
          <w:b/>
          <w:color w:val="000000"/>
          <w:sz w:val="28"/>
          <w:szCs w:val="28"/>
        </w:rPr>
      </w:pPr>
      <w:bookmarkStart w:id="11" w:name="_Toc69256867"/>
      <w:bookmarkStart w:id="12" w:name="_Toc69256847"/>
      <w:r>
        <w:rPr>
          <w:rFonts w:ascii="Times New Roman" w:eastAsia="黑体" w:hAnsi="Times New Roman" w:cs="Times New Roman" w:hint="eastAsia"/>
          <w:b/>
          <w:color w:val="000000"/>
          <w:sz w:val="28"/>
          <w:szCs w:val="28"/>
        </w:rPr>
        <w:lastRenderedPageBreak/>
        <w:t>第二题</w:t>
      </w:r>
      <w:bookmarkEnd w:id="11"/>
      <w:bookmarkEnd w:id="12"/>
    </w:p>
    <w:p w14:paraId="604BF3D1"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）上市公司</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年末合并口径货币资金余额为</w:t>
      </w:r>
      <w:r>
        <w:rPr>
          <w:rFonts w:ascii="Times New Roman" w:eastAsia="黑体" w:hAnsi="Times New Roman" w:cs="Times New Roman" w:hint="eastAsia"/>
          <w:b/>
          <w:color w:val="000000"/>
          <w:szCs w:val="21"/>
        </w:rPr>
        <w:t>8,350.93</w:t>
      </w:r>
      <w:r>
        <w:rPr>
          <w:rFonts w:ascii="Times New Roman" w:eastAsia="黑体" w:hAnsi="Times New Roman" w:cs="Times New Roman" w:hint="eastAsia"/>
          <w:b/>
          <w:color w:val="000000"/>
          <w:szCs w:val="21"/>
        </w:rPr>
        <w:t>万元，本次募集配套资金主要用于支付交易对价、补充上市公司和标的资产流动资金等。</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如本次交易配套融资金额未达预期，可能对上市公司资金使用安排及偿债能力产生不利影响。请你公司结合配套募集资金筹集和使用安排、上市公司资金周转情况及从其他渠道融资的能力，补充披露：配套融资金额未达预期的具体影响及应对措施。请独立财务顾问和会计师核查并发表明确意见。</w:t>
      </w:r>
    </w:p>
    <w:p w14:paraId="5CD58678" w14:textId="77777777" w:rsidR="000A0ACD" w:rsidRDefault="00362A99">
      <w:pPr>
        <w:pStyle w:val="affffd"/>
        <w:spacing w:before="156"/>
        <w:ind w:firstLine="482"/>
        <w:rPr>
          <w:b/>
        </w:rPr>
      </w:pPr>
      <w:r>
        <w:rPr>
          <w:rFonts w:hint="eastAsia"/>
          <w:b/>
        </w:rPr>
        <w:t>【回复说明】</w:t>
      </w:r>
    </w:p>
    <w:p w14:paraId="069498DE"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一、配套募集资金筹集和使用安排、上市公司资金周转情况及从其他渠道融资的能力情况</w:t>
      </w:r>
    </w:p>
    <w:p w14:paraId="0DB92603"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color w:val="000000"/>
        </w:rPr>
        <w:t>（一）配套募集资金筹集和使用安排</w:t>
      </w:r>
    </w:p>
    <w:p w14:paraId="12F3FEC2" w14:textId="77777777" w:rsidR="000A0ACD" w:rsidRDefault="00362A99">
      <w:pPr>
        <w:pStyle w:val="affffd"/>
        <w:spacing w:before="156"/>
        <w:ind w:firstLine="480"/>
      </w:pPr>
      <w:r>
        <w:rPr>
          <w:rFonts w:hint="eastAsia"/>
        </w:rPr>
        <w:t>本次募集配套资金拟用于支付本次交易现金对价、税费及中介机构费用、补充上市公司及标的资产流动资金等。其中，用于补充流动资金的比例不超过交易作价的</w:t>
      </w:r>
      <w:r>
        <w:rPr>
          <w:rFonts w:hint="eastAsia"/>
        </w:rPr>
        <w:t>25%</w:t>
      </w:r>
      <w:r>
        <w:rPr>
          <w:rFonts w:hint="eastAsia"/>
        </w:rPr>
        <w:t>，或不超过募集配套资金总额的</w:t>
      </w:r>
      <w:r>
        <w:rPr>
          <w:rFonts w:hint="eastAsia"/>
        </w:rPr>
        <w:t>50%</w:t>
      </w:r>
      <w:r>
        <w:rPr>
          <w:rFonts w:hint="eastAsia"/>
        </w:rPr>
        <w:t>。</w:t>
      </w:r>
    </w:p>
    <w:p w14:paraId="35811EC3" w14:textId="77777777" w:rsidR="000A0ACD" w:rsidRDefault="00362A99">
      <w:pPr>
        <w:pStyle w:val="affffd"/>
        <w:spacing w:before="156"/>
        <w:ind w:firstLine="480"/>
      </w:pPr>
      <w:r>
        <w:rPr>
          <w:rFonts w:hint="eastAsia"/>
        </w:rPr>
        <w:t>本次配套融资所募集资金的总额不超过</w:t>
      </w:r>
      <w:r>
        <w:rPr>
          <w:rFonts w:hint="eastAsia"/>
        </w:rPr>
        <w:t>15,896.61</w:t>
      </w:r>
      <w:r>
        <w:rPr>
          <w:rFonts w:hint="eastAsia"/>
        </w:rPr>
        <w:t>万元，不超过本次交易中以发行股份方式购买资产的交易价格的</w:t>
      </w:r>
      <w:r>
        <w:rPr>
          <w:rFonts w:hint="eastAsia"/>
        </w:rPr>
        <w:t>100%</w:t>
      </w:r>
      <w:r>
        <w:rPr>
          <w:rFonts w:hint="eastAsia"/>
        </w:rPr>
        <w:t>，本次配套融资所募集资金将用于如下方面：</w:t>
      </w:r>
    </w:p>
    <w:p w14:paraId="3585E0DA"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5"/>
        <w:gridCol w:w="5812"/>
        <w:gridCol w:w="2035"/>
      </w:tblGrid>
      <w:tr w:rsidR="000A0ACD" w14:paraId="3AB9AF49" w14:textId="77777777">
        <w:trPr>
          <w:trHeight w:val="397"/>
          <w:tblHeader/>
        </w:trPr>
        <w:tc>
          <w:tcPr>
            <w:tcW w:w="396" w:type="pct"/>
            <w:tcBorders>
              <w:top w:val="single" w:sz="12" w:space="0" w:color="auto"/>
              <w:left w:val="nil"/>
              <w:bottom w:val="single" w:sz="4" w:space="0" w:color="auto"/>
              <w:right w:val="single" w:sz="4" w:space="0" w:color="auto"/>
            </w:tcBorders>
            <w:vAlign w:val="center"/>
          </w:tcPr>
          <w:p w14:paraId="6C0FE602"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序号</w:t>
            </w:r>
          </w:p>
        </w:tc>
        <w:tc>
          <w:tcPr>
            <w:tcW w:w="3410" w:type="pct"/>
            <w:tcBorders>
              <w:top w:val="single" w:sz="12" w:space="0" w:color="auto"/>
              <w:left w:val="single" w:sz="4" w:space="0" w:color="auto"/>
              <w:bottom w:val="single" w:sz="4" w:space="0" w:color="auto"/>
              <w:right w:val="single" w:sz="4" w:space="0" w:color="auto"/>
            </w:tcBorders>
            <w:vAlign w:val="center"/>
          </w:tcPr>
          <w:p w14:paraId="38F7BA43"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项目名称</w:t>
            </w:r>
          </w:p>
        </w:tc>
        <w:tc>
          <w:tcPr>
            <w:tcW w:w="1194" w:type="pct"/>
            <w:tcBorders>
              <w:top w:val="single" w:sz="12" w:space="0" w:color="auto"/>
              <w:left w:val="single" w:sz="4" w:space="0" w:color="auto"/>
              <w:bottom w:val="single" w:sz="4" w:space="0" w:color="auto"/>
              <w:right w:val="nil"/>
            </w:tcBorders>
            <w:vAlign w:val="center"/>
          </w:tcPr>
          <w:p w14:paraId="12B16699"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募集资金投入金额</w:t>
            </w:r>
          </w:p>
        </w:tc>
      </w:tr>
      <w:tr w:rsidR="000A0ACD" w14:paraId="2C9DD484" w14:textId="77777777">
        <w:trPr>
          <w:trHeight w:val="397"/>
        </w:trPr>
        <w:tc>
          <w:tcPr>
            <w:tcW w:w="396" w:type="pct"/>
            <w:tcBorders>
              <w:top w:val="single" w:sz="4" w:space="0" w:color="auto"/>
              <w:left w:val="nil"/>
              <w:bottom w:val="single" w:sz="4" w:space="0" w:color="auto"/>
              <w:right w:val="single" w:sz="4" w:space="0" w:color="auto"/>
            </w:tcBorders>
            <w:vAlign w:val="center"/>
          </w:tcPr>
          <w:p w14:paraId="008643B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3410" w:type="pct"/>
            <w:tcBorders>
              <w:top w:val="single" w:sz="4" w:space="0" w:color="auto"/>
              <w:left w:val="single" w:sz="4" w:space="0" w:color="auto"/>
              <w:bottom w:val="single" w:sz="4" w:space="0" w:color="auto"/>
              <w:right w:val="single" w:sz="4" w:space="0" w:color="auto"/>
            </w:tcBorders>
            <w:noWrap/>
            <w:vAlign w:val="center"/>
          </w:tcPr>
          <w:p w14:paraId="39E1505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支付本次交易现金对价</w:t>
            </w:r>
          </w:p>
        </w:tc>
        <w:tc>
          <w:tcPr>
            <w:tcW w:w="1194" w:type="pct"/>
            <w:tcBorders>
              <w:top w:val="single" w:sz="4" w:space="0" w:color="auto"/>
              <w:left w:val="single" w:sz="4" w:space="0" w:color="auto"/>
              <w:bottom w:val="single" w:sz="4" w:space="0" w:color="auto"/>
              <w:right w:val="nil"/>
            </w:tcBorders>
            <w:noWrap/>
            <w:vAlign w:val="center"/>
          </w:tcPr>
          <w:p w14:paraId="13D34F8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8,743.39</w:t>
            </w:r>
          </w:p>
        </w:tc>
      </w:tr>
      <w:tr w:rsidR="000A0ACD" w14:paraId="74F4EDB4" w14:textId="77777777">
        <w:trPr>
          <w:trHeight w:val="397"/>
        </w:trPr>
        <w:tc>
          <w:tcPr>
            <w:tcW w:w="396" w:type="pct"/>
            <w:tcBorders>
              <w:top w:val="single" w:sz="4" w:space="0" w:color="auto"/>
              <w:left w:val="nil"/>
              <w:bottom w:val="single" w:sz="4" w:space="0" w:color="auto"/>
              <w:right w:val="single" w:sz="4" w:space="0" w:color="auto"/>
            </w:tcBorders>
            <w:vAlign w:val="center"/>
          </w:tcPr>
          <w:p w14:paraId="3DEE9ED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3410" w:type="pct"/>
            <w:tcBorders>
              <w:top w:val="single" w:sz="4" w:space="0" w:color="auto"/>
              <w:left w:val="single" w:sz="4" w:space="0" w:color="auto"/>
              <w:bottom w:val="single" w:sz="4" w:space="0" w:color="auto"/>
              <w:right w:val="single" w:sz="4" w:space="0" w:color="auto"/>
            </w:tcBorders>
            <w:noWrap/>
            <w:vAlign w:val="center"/>
          </w:tcPr>
          <w:p w14:paraId="064FDA7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补充上市公司流动资金、支付税费及中介机构费用</w:t>
            </w:r>
          </w:p>
        </w:tc>
        <w:tc>
          <w:tcPr>
            <w:tcW w:w="1194" w:type="pct"/>
            <w:tcBorders>
              <w:top w:val="single" w:sz="4" w:space="0" w:color="auto"/>
              <w:left w:val="single" w:sz="4" w:space="0" w:color="auto"/>
              <w:bottom w:val="single" w:sz="4" w:space="0" w:color="auto"/>
              <w:right w:val="nil"/>
            </w:tcBorders>
            <w:noWrap/>
            <w:vAlign w:val="center"/>
          </w:tcPr>
          <w:p w14:paraId="407C206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4,153.22</w:t>
            </w:r>
          </w:p>
        </w:tc>
      </w:tr>
      <w:tr w:rsidR="000A0ACD" w14:paraId="140B4DDD" w14:textId="77777777">
        <w:trPr>
          <w:trHeight w:val="397"/>
        </w:trPr>
        <w:tc>
          <w:tcPr>
            <w:tcW w:w="396" w:type="pct"/>
            <w:tcBorders>
              <w:top w:val="single" w:sz="4" w:space="0" w:color="auto"/>
              <w:left w:val="nil"/>
              <w:bottom w:val="single" w:sz="4" w:space="0" w:color="auto"/>
              <w:right w:val="single" w:sz="4" w:space="0" w:color="auto"/>
            </w:tcBorders>
            <w:vAlign w:val="center"/>
          </w:tcPr>
          <w:p w14:paraId="7350191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3410" w:type="pct"/>
            <w:tcBorders>
              <w:top w:val="single" w:sz="4" w:space="0" w:color="auto"/>
              <w:left w:val="single" w:sz="4" w:space="0" w:color="auto"/>
              <w:bottom w:val="single" w:sz="4" w:space="0" w:color="auto"/>
              <w:right w:val="single" w:sz="4" w:space="0" w:color="auto"/>
            </w:tcBorders>
            <w:noWrap/>
            <w:vAlign w:val="center"/>
          </w:tcPr>
          <w:p w14:paraId="62E037C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向标的公司增资补充流动资金</w:t>
            </w:r>
          </w:p>
        </w:tc>
        <w:tc>
          <w:tcPr>
            <w:tcW w:w="1194" w:type="pct"/>
            <w:tcBorders>
              <w:top w:val="single" w:sz="4" w:space="0" w:color="auto"/>
              <w:left w:val="single" w:sz="4" w:space="0" w:color="auto"/>
              <w:bottom w:val="single" w:sz="4" w:space="0" w:color="auto"/>
              <w:right w:val="nil"/>
            </w:tcBorders>
            <w:noWrap/>
            <w:vAlign w:val="center"/>
          </w:tcPr>
          <w:p w14:paraId="4EC91A8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3,000.00</w:t>
            </w:r>
          </w:p>
        </w:tc>
      </w:tr>
      <w:tr w:rsidR="000A0ACD" w14:paraId="323303B6" w14:textId="77777777">
        <w:trPr>
          <w:trHeight w:val="397"/>
        </w:trPr>
        <w:tc>
          <w:tcPr>
            <w:tcW w:w="3806" w:type="pct"/>
            <w:gridSpan w:val="2"/>
            <w:tcBorders>
              <w:top w:val="single" w:sz="4" w:space="0" w:color="auto"/>
              <w:left w:val="nil"/>
              <w:bottom w:val="single" w:sz="12" w:space="0" w:color="auto"/>
              <w:right w:val="single" w:sz="4" w:space="0" w:color="auto"/>
            </w:tcBorders>
            <w:vAlign w:val="center"/>
          </w:tcPr>
          <w:p w14:paraId="10B6E032"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194" w:type="pct"/>
            <w:tcBorders>
              <w:top w:val="single" w:sz="4" w:space="0" w:color="auto"/>
              <w:left w:val="single" w:sz="4" w:space="0" w:color="auto"/>
              <w:bottom w:val="single" w:sz="12" w:space="0" w:color="auto"/>
              <w:right w:val="nil"/>
            </w:tcBorders>
            <w:noWrap/>
            <w:vAlign w:val="center"/>
          </w:tcPr>
          <w:p w14:paraId="52C38786"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15,896.61</w:t>
            </w:r>
          </w:p>
        </w:tc>
      </w:tr>
    </w:tbl>
    <w:p w14:paraId="6A222366"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color w:val="000000"/>
        </w:rPr>
        <w:t>（二）上市公司资金周转情况及从其他渠道融资情况</w:t>
      </w:r>
    </w:p>
    <w:p w14:paraId="3AB4E86E" w14:textId="77777777" w:rsidR="000A0ACD" w:rsidRDefault="00362A99">
      <w:pPr>
        <w:pStyle w:val="affffd"/>
        <w:spacing w:before="156"/>
        <w:ind w:firstLine="482"/>
        <w:rPr>
          <w:b/>
          <w:bCs/>
        </w:rPr>
      </w:pPr>
      <w:r>
        <w:rPr>
          <w:rFonts w:hint="eastAsia"/>
          <w:b/>
          <w:bCs/>
        </w:rPr>
        <w:t>1</w:t>
      </w:r>
      <w:r>
        <w:rPr>
          <w:rFonts w:hint="eastAsia"/>
          <w:b/>
          <w:bCs/>
        </w:rPr>
        <w:t>、自有资金使用情况</w:t>
      </w:r>
    </w:p>
    <w:p w14:paraId="49459EC6" w14:textId="77777777" w:rsidR="000A0ACD" w:rsidRDefault="00362A99">
      <w:pPr>
        <w:pStyle w:val="affffd"/>
        <w:spacing w:before="156"/>
        <w:ind w:firstLine="480"/>
      </w:pPr>
      <w:r>
        <w:rPr>
          <w:rFonts w:hint="eastAsia"/>
        </w:rPr>
        <w:t>截至</w:t>
      </w:r>
      <w:r>
        <w:rPr>
          <w:rFonts w:hint="eastAsia"/>
        </w:rPr>
        <w:t>2020</w:t>
      </w:r>
      <w:r>
        <w:rPr>
          <w:rFonts w:hint="eastAsia"/>
        </w:rPr>
        <w:t>年</w:t>
      </w:r>
      <w:r>
        <w:rPr>
          <w:rFonts w:hint="eastAsia"/>
        </w:rPr>
        <w:t>12</w:t>
      </w:r>
      <w:r>
        <w:rPr>
          <w:rFonts w:hint="eastAsia"/>
        </w:rPr>
        <w:t>月</w:t>
      </w:r>
      <w:r>
        <w:rPr>
          <w:rFonts w:hint="eastAsia"/>
        </w:rPr>
        <w:t>31</w:t>
      </w:r>
      <w:r>
        <w:rPr>
          <w:rFonts w:hint="eastAsia"/>
        </w:rPr>
        <w:t>日，上市公司货币资金构成具体情况如下：</w:t>
      </w:r>
    </w:p>
    <w:p w14:paraId="0EE8F177"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lastRenderedPageBreak/>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428"/>
        <w:gridCol w:w="5094"/>
      </w:tblGrid>
      <w:tr w:rsidR="000A0ACD" w14:paraId="22F28DDC" w14:textId="77777777">
        <w:trPr>
          <w:trHeight w:val="397"/>
          <w:tblHeader/>
        </w:trPr>
        <w:tc>
          <w:tcPr>
            <w:tcW w:w="2011" w:type="pct"/>
            <w:tcBorders>
              <w:top w:val="single" w:sz="12" w:space="0" w:color="auto"/>
              <w:left w:val="nil"/>
              <w:bottom w:val="single" w:sz="4" w:space="0" w:color="auto"/>
              <w:right w:val="single" w:sz="4" w:space="0" w:color="auto"/>
            </w:tcBorders>
            <w:vAlign w:val="center"/>
          </w:tcPr>
          <w:p w14:paraId="19842C6A"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2989" w:type="pct"/>
            <w:tcBorders>
              <w:top w:val="single" w:sz="12" w:space="0" w:color="auto"/>
              <w:left w:val="single" w:sz="4" w:space="0" w:color="auto"/>
              <w:bottom w:val="single" w:sz="4" w:space="0" w:color="auto"/>
              <w:right w:val="nil"/>
            </w:tcBorders>
            <w:vAlign w:val="center"/>
          </w:tcPr>
          <w:p w14:paraId="7EA88B3D"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2020</w:t>
            </w:r>
            <w:r>
              <w:rPr>
                <w:rFonts w:ascii="Times New Roman" w:hAnsi="Times New Roman" w:cs="Times New Roman" w:hint="eastAsia"/>
                <w:b/>
                <w:bCs/>
                <w:color w:val="000000"/>
                <w:sz w:val="21"/>
                <w:szCs w:val="21"/>
              </w:rPr>
              <w:t>年</w:t>
            </w:r>
            <w:r>
              <w:rPr>
                <w:rFonts w:ascii="Times New Roman" w:hAnsi="Times New Roman" w:cs="Times New Roman" w:hint="eastAsia"/>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hint="eastAsia"/>
                <w:b/>
                <w:bCs/>
                <w:color w:val="000000"/>
                <w:sz w:val="21"/>
                <w:szCs w:val="21"/>
              </w:rPr>
              <w:t>31</w:t>
            </w:r>
            <w:r>
              <w:rPr>
                <w:rFonts w:ascii="Times New Roman" w:hAnsi="Times New Roman" w:cs="Times New Roman" w:hint="eastAsia"/>
                <w:b/>
                <w:bCs/>
                <w:color w:val="000000"/>
                <w:sz w:val="21"/>
                <w:szCs w:val="21"/>
              </w:rPr>
              <w:t>日</w:t>
            </w:r>
          </w:p>
        </w:tc>
      </w:tr>
      <w:tr w:rsidR="000A0ACD" w14:paraId="63A42A39" w14:textId="77777777">
        <w:trPr>
          <w:trHeight w:val="397"/>
        </w:trPr>
        <w:tc>
          <w:tcPr>
            <w:tcW w:w="2011" w:type="pct"/>
            <w:tcBorders>
              <w:top w:val="single" w:sz="4" w:space="0" w:color="auto"/>
              <w:left w:val="nil"/>
              <w:bottom w:val="single" w:sz="4" w:space="0" w:color="auto"/>
              <w:right w:val="single" w:sz="4" w:space="0" w:color="auto"/>
            </w:tcBorders>
            <w:vAlign w:val="center"/>
          </w:tcPr>
          <w:p w14:paraId="4E38FD9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库存现金</w:t>
            </w:r>
          </w:p>
        </w:tc>
        <w:tc>
          <w:tcPr>
            <w:tcW w:w="2989" w:type="pct"/>
            <w:tcBorders>
              <w:top w:val="single" w:sz="4" w:space="0" w:color="auto"/>
              <w:left w:val="single" w:sz="4" w:space="0" w:color="auto"/>
              <w:bottom w:val="single" w:sz="4" w:space="0" w:color="auto"/>
              <w:right w:val="nil"/>
            </w:tcBorders>
            <w:noWrap/>
            <w:vAlign w:val="center"/>
          </w:tcPr>
          <w:p w14:paraId="7B64C34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12.50</w:t>
            </w:r>
          </w:p>
        </w:tc>
      </w:tr>
      <w:tr w:rsidR="000A0ACD" w14:paraId="279489E4" w14:textId="77777777">
        <w:trPr>
          <w:trHeight w:val="397"/>
        </w:trPr>
        <w:tc>
          <w:tcPr>
            <w:tcW w:w="2011" w:type="pct"/>
            <w:tcBorders>
              <w:top w:val="single" w:sz="4" w:space="0" w:color="auto"/>
              <w:left w:val="nil"/>
              <w:bottom w:val="single" w:sz="4" w:space="0" w:color="auto"/>
              <w:right w:val="single" w:sz="4" w:space="0" w:color="auto"/>
            </w:tcBorders>
            <w:vAlign w:val="center"/>
          </w:tcPr>
          <w:p w14:paraId="2BF4A5C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银行存款</w:t>
            </w:r>
          </w:p>
        </w:tc>
        <w:tc>
          <w:tcPr>
            <w:tcW w:w="2989" w:type="pct"/>
            <w:tcBorders>
              <w:top w:val="single" w:sz="4" w:space="0" w:color="auto"/>
              <w:left w:val="single" w:sz="4" w:space="0" w:color="auto"/>
              <w:bottom w:val="single" w:sz="4" w:space="0" w:color="auto"/>
              <w:right w:val="nil"/>
            </w:tcBorders>
            <w:noWrap/>
            <w:vAlign w:val="center"/>
          </w:tcPr>
          <w:p w14:paraId="63895BD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24,602.10</w:t>
            </w:r>
          </w:p>
        </w:tc>
      </w:tr>
      <w:tr w:rsidR="000A0ACD" w14:paraId="2452578D" w14:textId="77777777">
        <w:trPr>
          <w:trHeight w:val="397"/>
        </w:trPr>
        <w:tc>
          <w:tcPr>
            <w:tcW w:w="2011" w:type="pct"/>
            <w:tcBorders>
              <w:top w:val="single" w:sz="4" w:space="0" w:color="auto"/>
              <w:left w:val="nil"/>
              <w:bottom w:val="single" w:sz="4" w:space="0" w:color="auto"/>
              <w:right w:val="single" w:sz="4" w:space="0" w:color="auto"/>
            </w:tcBorders>
            <w:vAlign w:val="center"/>
          </w:tcPr>
          <w:p w14:paraId="087ABA5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其他货币资金</w:t>
            </w:r>
          </w:p>
        </w:tc>
        <w:tc>
          <w:tcPr>
            <w:tcW w:w="2989" w:type="pct"/>
            <w:tcBorders>
              <w:top w:val="single" w:sz="4" w:space="0" w:color="auto"/>
              <w:left w:val="single" w:sz="4" w:space="0" w:color="auto"/>
              <w:bottom w:val="single" w:sz="4" w:space="0" w:color="auto"/>
              <w:right w:val="nil"/>
            </w:tcBorders>
            <w:noWrap/>
            <w:vAlign w:val="center"/>
          </w:tcPr>
          <w:p w14:paraId="674A314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3,292.14</w:t>
            </w:r>
          </w:p>
        </w:tc>
      </w:tr>
      <w:tr w:rsidR="000A0ACD" w14:paraId="6678A87E" w14:textId="77777777">
        <w:trPr>
          <w:trHeight w:val="397"/>
        </w:trPr>
        <w:tc>
          <w:tcPr>
            <w:tcW w:w="2011" w:type="pct"/>
            <w:tcBorders>
              <w:top w:val="single" w:sz="4" w:space="0" w:color="auto"/>
              <w:left w:val="nil"/>
              <w:bottom w:val="single" w:sz="12" w:space="0" w:color="auto"/>
              <w:right w:val="single" w:sz="4" w:space="0" w:color="auto"/>
            </w:tcBorders>
            <w:vAlign w:val="center"/>
          </w:tcPr>
          <w:p w14:paraId="05F58A60"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2989" w:type="pct"/>
            <w:tcBorders>
              <w:top w:val="single" w:sz="4" w:space="0" w:color="auto"/>
              <w:left w:val="single" w:sz="4" w:space="0" w:color="auto"/>
              <w:bottom w:val="single" w:sz="12" w:space="0" w:color="auto"/>
              <w:right w:val="nil"/>
            </w:tcBorders>
            <w:noWrap/>
            <w:vAlign w:val="center"/>
          </w:tcPr>
          <w:p w14:paraId="37CA49A9"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27,906.75</w:t>
            </w:r>
          </w:p>
        </w:tc>
      </w:tr>
    </w:tbl>
    <w:p w14:paraId="3DE4CA48" w14:textId="77777777" w:rsidR="000A0ACD" w:rsidRDefault="00362A99">
      <w:pPr>
        <w:pStyle w:val="affffd"/>
        <w:spacing w:before="156"/>
        <w:ind w:firstLine="480"/>
      </w:pPr>
      <w:r>
        <w:rPr>
          <w:rFonts w:hint="eastAsia"/>
        </w:rPr>
        <w:t>截至</w:t>
      </w:r>
      <w:r>
        <w:rPr>
          <w:rFonts w:hint="eastAsia"/>
        </w:rPr>
        <w:t>2020</w:t>
      </w:r>
      <w:r>
        <w:rPr>
          <w:rFonts w:hint="eastAsia"/>
        </w:rPr>
        <w:t>年</w:t>
      </w:r>
      <w:r>
        <w:rPr>
          <w:rFonts w:hint="eastAsia"/>
        </w:rPr>
        <w:t>12</w:t>
      </w:r>
      <w:r>
        <w:rPr>
          <w:rFonts w:hint="eastAsia"/>
        </w:rPr>
        <w:t>月</w:t>
      </w:r>
      <w:r>
        <w:rPr>
          <w:rFonts w:hint="eastAsia"/>
        </w:rPr>
        <w:t>31</w:t>
      </w:r>
      <w:r>
        <w:rPr>
          <w:rFonts w:hint="eastAsia"/>
        </w:rPr>
        <w:t>日，上市公司期末货币资金余额为</w:t>
      </w:r>
      <w:r>
        <w:rPr>
          <w:rFonts w:hint="eastAsia"/>
        </w:rPr>
        <w:t>27,906.75</w:t>
      </w:r>
      <w:r>
        <w:rPr>
          <w:rFonts w:hint="eastAsia"/>
        </w:rPr>
        <w:t>万元，其中包含前次非公开募集资金余额为</w:t>
      </w:r>
      <w:r>
        <w:rPr>
          <w:rFonts w:hint="eastAsia"/>
        </w:rPr>
        <w:t>4,231.15</w:t>
      </w:r>
      <w:r>
        <w:rPr>
          <w:rFonts w:hint="eastAsia"/>
        </w:rPr>
        <w:t>万元，使用受限的货币资金余额为</w:t>
      </w:r>
      <w:r>
        <w:rPr>
          <w:rFonts w:hint="eastAsia"/>
        </w:rPr>
        <w:t>3,292.14</w:t>
      </w:r>
      <w:r>
        <w:rPr>
          <w:rFonts w:hint="eastAsia"/>
        </w:rPr>
        <w:t>万元（主要为银行承兑汇票保证金、信用证借款保证金、诉讼冻结资金等）。此外，根据测算，上市公司</w:t>
      </w:r>
      <w:r>
        <w:rPr>
          <w:rFonts w:hint="eastAsia"/>
        </w:rPr>
        <w:t>202</w:t>
      </w:r>
      <w:r>
        <w:t>1</w:t>
      </w:r>
      <w:r>
        <w:rPr>
          <w:rFonts w:hint="eastAsia"/>
        </w:rPr>
        <w:t>年营运资金需求量</w:t>
      </w:r>
      <w:r>
        <w:rPr>
          <w:vertAlign w:val="superscript"/>
        </w:rPr>
        <w:footnoteReference w:id="1"/>
      </w:r>
      <w:r>
        <w:rPr>
          <w:rFonts w:hint="eastAsia"/>
        </w:rPr>
        <w:t>为</w:t>
      </w:r>
      <w:r>
        <w:rPr>
          <w:rFonts w:hint="eastAsia"/>
        </w:rPr>
        <w:t>10,578.39</w:t>
      </w:r>
      <w:r>
        <w:rPr>
          <w:rFonts w:hint="eastAsia"/>
        </w:rPr>
        <w:t>万元，则上市公司实际可用的货币资金为</w:t>
      </w:r>
      <w:r>
        <w:rPr>
          <w:rFonts w:hint="eastAsia"/>
        </w:rPr>
        <w:t>9,805.07</w:t>
      </w:r>
      <w:r>
        <w:rPr>
          <w:rFonts w:hint="eastAsia"/>
        </w:rPr>
        <w:t>万元，上市公司可以根据需要以自有资金支付部分现金对价费用等。</w:t>
      </w:r>
    </w:p>
    <w:p w14:paraId="0D310433" w14:textId="77777777" w:rsidR="000A0ACD" w:rsidRDefault="00362A99">
      <w:pPr>
        <w:pStyle w:val="affffd"/>
        <w:spacing w:before="156"/>
        <w:ind w:firstLine="482"/>
        <w:rPr>
          <w:b/>
          <w:bCs/>
        </w:rPr>
      </w:pPr>
      <w:r>
        <w:rPr>
          <w:rFonts w:hint="eastAsia"/>
          <w:b/>
          <w:bCs/>
        </w:rPr>
        <w:t>2</w:t>
      </w:r>
      <w:r>
        <w:rPr>
          <w:rFonts w:hint="eastAsia"/>
          <w:b/>
          <w:bCs/>
        </w:rPr>
        <w:t>、从其他渠道融资情况</w:t>
      </w:r>
    </w:p>
    <w:p w14:paraId="2C7ADC6A" w14:textId="77777777" w:rsidR="000A0ACD" w:rsidRDefault="00362A99">
      <w:pPr>
        <w:pStyle w:val="affffd"/>
        <w:spacing w:before="156"/>
        <w:ind w:firstLine="480"/>
      </w:pPr>
      <w:r>
        <w:rPr>
          <w:rFonts w:hint="eastAsia"/>
        </w:rPr>
        <w:t>截至</w:t>
      </w:r>
      <w:r>
        <w:rPr>
          <w:rFonts w:hint="eastAsia"/>
        </w:rPr>
        <w:t>2020</w:t>
      </w:r>
      <w:r>
        <w:rPr>
          <w:rFonts w:hint="eastAsia"/>
        </w:rPr>
        <w:t>年</w:t>
      </w:r>
      <w:r>
        <w:rPr>
          <w:rFonts w:hint="eastAsia"/>
        </w:rPr>
        <w:t>12</w:t>
      </w:r>
      <w:r>
        <w:rPr>
          <w:rFonts w:hint="eastAsia"/>
        </w:rPr>
        <w:t>月</w:t>
      </w:r>
      <w:r>
        <w:rPr>
          <w:rFonts w:hint="eastAsia"/>
        </w:rPr>
        <w:t>31</w:t>
      </w:r>
      <w:r>
        <w:rPr>
          <w:rFonts w:hint="eastAsia"/>
        </w:rPr>
        <w:t>日，上市公司尚未使用的银行借款及银行承兑汇票的额度为</w:t>
      </w:r>
      <w:r>
        <w:rPr>
          <w:rFonts w:hint="eastAsia"/>
        </w:rPr>
        <w:t>5,600.00</w:t>
      </w:r>
      <w:r>
        <w:rPr>
          <w:rFonts w:hint="eastAsia"/>
        </w:rPr>
        <w:t>万元，上市公司具备一定的债务融资空间和能力。</w:t>
      </w:r>
    </w:p>
    <w:p w14:paraId="006697B8" w14:textId="77777777" w:rsidR="000A0ACD" w:rsidRDefault="00362A99">
      <w:pPr>
        <w:pStyle w:val="affffd"/>
        <w:spacing w:before="156"/>
        <w:ind w:firstLine="480"/>
      </w:pPr>
      <w:r>
        <w:rPr>
          <w:rFonts w:hint="eastAsia"/>
        </w:rPr>
        <w:t>综上所述，若本次配套融资金额未达预期，上市公司拟先行利用现有可用的自有资金支付，对于不足部分及因自有资金支付对价而产生的经营性资金短缺，拟通过银行贷款等债务性融资解决。</w:t>
      </w:r>
    </w:p>
    <w:p w14:paraId="7AD70CB6"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二、配套融资金额未达预期的具体影响及应对措施</w:t>
      </w:r>
    </w:p>
    <w:p w14:paraId="270F9C07"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color w:val="000000"/>
        </w:rPr>
        <w:t>（一）本次交易不依赖配套募集资金</w:t>
      </w:r>
    </w:p>
    <w:p w14:paraId="1CE18ECA" w14:textId="77777777" w:rsidR="000A0ACD" w:rsidRDefault="00362A99">
      <w:pPr>
        <w:pStyle w:val="affffd"/>
        <w:spacing w:before="156"/>
        <w:ind w:firstLine="480"/>
      </w:pPr>
      <w:r>
        <w:rPr>
          <w:rFonts w:hint="eastAsia"/>
        </w:rPr>
        <w:t>本次配套融资所募集资金的总额不超过</w:t>
      </w:r>
      <w:r>
        <w:rPr>
          <w:rFonts w:hint="eastAsia"/>
        </w:rPr>
        <w:t>15,896.61</w:t>
      </w:r>
      <w:r>
        <w:rPr>
          <w:rFonts w:hint="eastAsia"/>
        </w:rPr>
        <w:t>万元，将优先用于支付现金对价</w:t>
      </w:r>
      <w:r>
        <w:rPr>
          <w:rFonts w:hint="eastAsia"/>
        </w:rPr>
        <w:t>8,743.39</w:t>
      </w:r>
      <w:r>
        <w:rPr>
          <w:rFonts w:hint="eastAsia"/>
        </w:rPr>
        <w:t>万元，超出支付现金对价部分的募集资金将按照轻重缓急用于支付中介机构费用、补充上市公司及标的资产流动资金等事项。</w:t>
      </w:r>
    </w:p>
    <w:p w14:paraId="142F917C" w14:textId="77777777" w:rsidR="000A0ACD" w:rsidRDefault="00362A99">
      <w:pPr>
        <w:pStyle w:val="affffd"/>
        <w:spacing w:before="156"/>
        <w:ind w:firstLine="480"/>
      </w:pPr>
      <w:r>
        <w:rPr>
          <w:rFonts w:hint="eastAsia"/>
        </w:rPr>
        <w:t>截至</w:t>
      </w:r>
      <w:r>
        <w:rPr>
          <w:rFonts w:hint="eastAsia"/>
        </w:rPr>
        <w:t>2020</w:t>
      </w:r>
      <w:r>
        <w:rPr>
          <w:rFonts w:hint="eastAsia"/>
        </w:rPr>
        <w:t>年</w:t>
      </w:r>
      <w:r>
        <w:rPr>
          <w:rFonts w:hint="eastAsia"/>
        </w:rPr>
        <w:t>12</w:t>
      </w:r>
      <w:r>
        <w:rPr>
          <w:rFonts w:hint="eastAsia"/>
        </w:rPr>
        <w:t>月</w:t>
      </w:r>
      <w:r>
        <w:rPr>
          <w:rFonts w:hint="eastAsia"/>
        </w:rPr>
        <w:t>31</w:t>
      </w:r>
      <w:r>
        <w:rPr>
          <w:rFonts w:hint="eastAsia"/>
        </w:rPr>
        <w:t>日，上市公司实际可用的货币资金为</w:t>
      </w:r>
      <w:r>
        <w:rPr>
          <w:rFonts w:hint="eastAsia"/>
        </w:rPr>
        <w:t>9,805.07</w:t>
      </w:r>
      <w:r>
        <w:rPr>
          <w:rFonts w:hint="eastAsia"/>
        </w:rPr>
        <w:t>万元，尚未使用的银行借款及银行承兑汇票的额度为</w:t>
      </w:r>
      <w:r>
        <w:rPr>
          <w:rFonts w:hint="eastAsia"/>
        </w:rPr>
        <w:t>5,600.00</w:t>
      </w:r>
      <w:r>
        <w:rPr>
          <w:rFonts w:hint="eastAsia"/>
        </w:rPr>
        <w:t>万元，合计为</w:t>
      </w:r>
      <w:r>
        <w:rPr>
          <w:rFonts w:hint="eastAsia"/>
        </w:rPr>
        <w:t>15,405.07</w:t>
      </w:r>
      <w:r>
        <w:rPr>
          <w:rFonts w:hint="eastAsia"/>
        </w:rPr>
        <w:t>万元，自有资金及银行授信能够覆盖现金支付交易对价的上限。若本次配套融资</w:t>
      </w:r>
      <w:r>
        <w:rPr>
          <w:rFonts w:hint="eastAsia"/>
        </w:rPr>
        <w:lastRenderedPageBreak/>
        <w:t>金额未达预期，上市公司能够通过自有资金和银行借款支付交易现金对价、中介机构费用等项目，本次交易不依赖配套募集资金。</w:t>
      </w:r>
    </w:p>
    <w:p w14:paraId="7FECFB10"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color w:val="000000"/>
        </w:rPr>
        <w:t>（二）对公司偿债能力的影响及应对措施</w:t>
      </w:r>
    </w:p>
    <w:p w14:paraId="41689DC8" w14:textId="77777777" w:rsidR="000A0ACD" w:rsidRDefault="00362A99">
      <w:pPr>
        <w:pStyle w:val="affffd"/>
        <w:spacing w:before="156"/>
        <w:ind w:firstLine="480"/>
      </w:pPr>
      <w:r>
        <w:rPr>
          <w:rFonts w:hint="eastAsia"/>
        </w:rPr>
        <w:t>截至</w:t>
      </w:r>
      <w:r>
        <w:rPr>
          <w:rFonts w:hint="eastAsia"/>
        </w:rPr>
        <w:t>2020</w:t>
      </w:r>
      <w:r>
        <w:rPr>
          <w:rFonts w:hint="eastAsia"/>
        </w:rPr>
        <w:t>年</w:t>
      </w:r>
      <w:r>
        <w:rPr>
          <w:rFonts w:hint="eastAsia"/>
        </w:rPr>
        <w:t>12</w:t>
      </w:r>
      <w:r>
        <w:rPr>
          <w:rFonts w:hint="eastAsia"/>
        </w:rPr>
        <w:t>月</w:t>
      </w:r>
      <w:r>
        <w:rPr>
          <w:rFonts w:hint="eastAsia"/>
        </w:rPr>
        <w:t>31</w:t>
      </w:r>
      <w:r>
        <w:rPr>
          <w:rFonts w:hint="eastAsia"/>
        </w:rPr>
        <w:t>日，上市公司资产负债率为</w:t>
      </w:r>
      <w:r>
        <w:rPr>
          <w:rFonts w:hint="eastAsia"/>
        </w:rPr>
        <w:t>41.27%</w:t>
      </w:r>
      <w:r>
        <w:rPr>
          <w:rFonts w:hint="eastAsia"/>
        </w:rPr>
        <w:t>，假设本次配套融资金额未达预期，使用自有资金和银行借款支付交易现金对价费用等项目对上市公司资产负债率影响的敏感性分析如下：</w:t>
      </w:r>
    </w:p>
    <w:tbl>
      <w:tblPr>
        <w:tblStyle w:val="affff"/>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880"/>
        <w:gridCol w:w="2804"/>
        <w:gridCol w:w="2838"/>
      </w:tblGrid>
      <w:tr w:rsidR="000A0ACD" w14:paraId="24AD0123" w14:textId="77777777">
        <w:trPr>
          <w:trHeight w:val="397"/>
          <w:tblHeader/>
        </w:trPr>
        <w:tc>
          <w:tcPr>
            <w:tcW w:w="1690" w:type="pct"/>
            <w:tcBorders>
              <w:top w:val="single" w:sz="12" w:space="0" w:color="auto"/>
              <w:left w:val="nil"/>
              <w:bottom w:val="single" w:sz="4" w:space="0" w:color="auto"/>
              <w:right w:val="single" w:sz="4" w:space="0" w:color="auto"/>
            </w:tcBorders>
            <w:vAlign w:val="center"/>
          </w:tcPr>
          <w:p w14:paraId="6579DCFE"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使用银行借款金额</w:t>
            </w:r>
          </w:p>
        </w:tc>
        <w:tc>
          <w:tcPr>
            <w:tcW w:w="1645" w:type="pct"/>
            <w:tcBorders>
              <w:top w:val="single" w:sz="12" w:space="0" w:color="auto"/>
              <w:left w:val="single" w:sz="4" w:space="0" w:color="auto"/>
              <w:bottom w:val="single" w:sz="4" w:space="0" w:color="auto"/>
              <w:right w:val="single" w:sz="4" w:space="0" w:color="auto"/>
            </w:tcBorders>
            <w:vAlign w:val="center"/>
          </w:tcPr>
          <w:p w14:paraId="0F1FE63A"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资产负债率</w:t>
            </w:r>
          </w:p>
        </w:tc>
        <w:tc>
          <w:tcPr>
            <w:tcW w:w="1665" w:type="pct"/>
            <w:tcBorders>
              <w:top w:val="single" w:sz="12" w:space="0" w:color="auto"/>
              <w:left w:val="single" w:sz="4" w:space="0" w:color="auto"/>
              <w:bottom w:val="single" w:sz="4" w:space="0" w:color="auto"/>
              <w:right w:val="nil"/>
            </w:tcBorders>
            <w:vAlign w:val="center"/>
          </w:tcPr>
          <w:p w14:paraId="55CFEC67"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资产负债率增加幅度</w:t>
            </w:r>
          </w:p>
        </w:tc>
      </w:tr>
      <w:tr w:rsidR="000A0ACD" w14:paraId="3B64E249" w14:textId="77777777">
        <w:trPr>
          <w:trHeight w:val="397"/>
        </w:trPr>
        <w:tc>
          <w:tcPr>
            <w:tcW w:w="1690" w:type="pct"/>
            <w:tcBorders>
              <w:top w:val="single" w:sz="4" w:space="0" w:color="auto"/>
              <w:left w:val="nil"/>
              <w:bottom w:val="single" w:sz="4" w:space="0" w:color="auto"/>
              <w:right w:val="single" w:sz="4" w:space="0" w:color="auto"/>
            </w:tcBorders>
            <w:vAlign w:val="center"/>
          </w:tcPr>
          <w:p w14:paraId="1C116DC4"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2,000</w:t>
            </w:r>
            <w:r>
              <w:rPr>
                <w:rFonts w:ascii="Times New Roman" w:hAnsi="Times New Roman" w:cs="Times New Roman" w:hint="eastAsia"/>
                <w:sz w:val="21"/>
                <w:szCs w:val="21"/>
              </w:rPr>
              <w:t>万元</w:t>
            </w:r>
          </w:p>
        </w:tc>
        <w:tc>
          <w:tcPr>
            <w:tcW w:w="1645" w:type="pct"/>
            <w:tcBorders>
              <w:top w:val="single" w:sz="4" w:space="0" w:color="auto"/>
              <w:left w:val="single" w:sz="4" w:space="0" w:color="auto"/>
              <w:bottom w:val="single" w:sz="4" w:space="0" w:color="auto"/>
              <w:right w:val="single" w:sz="4" w:space="0" w:color="auto"/>
            </w:tcBorders>
            <w:vAlign w:val="center"/>
          </w:tcPr>
          <w:p w14:paraId="63ACA7B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41.95%</w:t>
            </w:r>
          </w:p>
        </w:tc>
        <w:tc>
          <w:tcPr>
            <w:tcW w:w="1665" w:type="pct"/>
            <w:tcBorders>
              <w:top w:val="single" w:sz="4" w:space="0" w:color="auto"/>
              <w:left w:val="single" w:sz="4" w:space="0" w:color="auto"/>
              <w:bottom w:val="single" w:sz="4" w:space="0" w:color="auto"/>
              <w:right w:val="nil"/>
            </w:tcBorders>
            <w:vAlign w:val="center"/>
          </w:tcPr>
          <w:p w14:paraId="71AAAAB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0.68%</w:t>
            </w:r>
          </w:p>
        </w:tc>
      </w:tr>
      <w:tr w:rsidR="000A0ACD" w14:paraId="1147640E" w14:textId="77777777">
        <w:trPr>
          <w:trHeight w:val="397"/>
        </w:trPr>
        <w:tc>
          <w:tcPr>
            <w:tcW w:w="1690" w:type="pct"/>
            <w:tcBorders>
              <w:top w:val="single" w:sz="4" w:space="0" w:color="auto"/>
              <w:left w:val="nil"/>
              <w:bottom w:val="single" w:sz="4" w:space="0" w:color="auto"/>
              <w:right w:val="single" w:sz="4" w:space="0" w:color="auto"/>
            </w:tcBorders>
            <w:vAlign w:val="center"/>
          </w:tcPr>
          <w:p w14:paraId="2849EB41"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4,000</w:t>
            </w:r>
            <w:r>
              <w:rPr>
                <w:rFonts w:ascii="Times New Roman" w:hAnsi="Times New Roman" w:cs="Times New Roman" w:hint="eastAsia"/>
                <w:sz w:val="21"/>
                <w:szCs w:val="21"/>
              </w:rPr>
              <w:t>万元</w:t>
            </w:r>
          </w:p>
        </w:tc>
        <w:tc>
          <w:tcPr>
            <w:tcW w:w="1645" w:type="pct"/>
            <w:tcBorders>
              <w:top w:val="single" w:sz="4" w:space="0" w:color="auto"/>
              <w:left w:val="single" w:sz="4" w:space="0" w:color="auto"/>
              <w:bottom w:val="single" w:sz="4" w:space="0" w:color="auto"/>
              <w:right w:val="single" w:sz="4" w:space="0" w:color="auto"/>
            </w:tcBorders>
            <w:vAlign w:val="center"/>
          </w:tcPr>
          <w:p w14:paraId="36D2E33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42.62%</w:t>
            </w:r>
          </w:p>
        </w:tc>
        <w:tc>
          <w:tcPr>
            <w:tcW w:w="1665" w:type="pct"/>
            <w:tcBorders>
              <w:top w:val="single" w:sz="4" w:space="0" w:color="auto"/>
              <w:left w:val="single" w:sz="4" w:space="0" w:color="auto"/>
              <w:bottom w:val="single" w:sz="4" w:space="0" w:color="auto"/>
              <w:right w:val="nil"/>
            </w:tcBorders>
            <w:vAlign w:val="center"/>
          </w:tcPr>
          <w:p w14:paraId="5362D30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1.35%</w:t>
            </w:r>
          </w:p>
        </w:tc>
      </w:tr>
      <w:tr w:rsidR="000A0ACD" w14:paraId="5920319E" w14:textId="77777777">
        <w:trPr>
          <w:trHeight w:val="397"/>
        </w:trPr>
        <w:tc>
          <w:tcPr>
            <w:tcW w:w="1690" w:type="pct"/>
            <w:tcBorders>
              <w:top w:val="single" w:sz="4" w:space="0" w:color="auto"/>
              <w:left w:val="nil"/>
              <w:bottom w:val="single" w:sz="12" w:space="0" w:color="auto"/>
              <w:right w:val="single" w:sz="4" w:space="0" w:color="auto"/>
            </w:tcBorders>
            <w:vAlign w:val="center"/>
          </w:tcPr>
          <w:p w14:paraId="7AD627C0"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5,600</w:t>
            </w:r>
            <w:r>
              <w:rPr>
                <w:rFonts w:ascii="Times New Roman" w:hAnsi="Times New Roman" w:cs="Times New Roman" w:hint="eastAsia"/>
                <w:sz w:val="21"/>
                <w:szCs w:val="21"/>
              </w:rPr>
              <w:t>万元</w:t>
            </w:r>
          </w:p>
        </w:tc>
        <w:tc>
          <w:tcPr>
            <w:tcW w:w="1645" w:type="pct"/>
            <w:tcBorders>
              <w:top w:val="single" w:sz="4" w:space="0" w:color="auto"/>
              <w:left w:val="single" w:sz="4" w:space="0" w:color="auto"/>
              <w:bottom w:val="single" w:sz="12" w:space="0" w:color="auto"/>
              <w:right w:val="single" w:sz="4" w:space="0" w:color="auto"/>
            </w:tcBorders>
            <w:vAlign w:val="center"/>
          </w:tcPr>
          <w:p w14:paraId="04BFF99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43.14%</w:t>
            </w:r>
          </w:p>
        </w:tc>
        <w:tc>
          <w:tcPr>
            <w:tcW w:w="1665" w:type="pct"/>
            <w:tcBorders>
              <w:top w:val="single" w:sz="4" w:space="0" w:color="auto"/>
              <w:left w:val="single" w:sz="4" w:space="0" w:color="auto"/>
              <w:bottom w:val="single" w:sz="12" w:space="0" w:color="auto"/>
              <w:right w:val="nil"/>
            </w:tcBorders>
            <w:vAlign w:val="center"/>
          </w:tcPr>
          <w:p w14:paraId="53D62397"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1.87%</w:t>
            </w:r>
          </w:p>
        </w:tc>
      </w:tr>
    </w:tbl>
    <w:p w14:paraId="431C6B77" w14:textId="77777777" w:rsidR="000A0ACD" w:rsidRDefault="00362A99">
      <w:pPr>
        <w:pStyle w:val="affffd"/>
        <w:spacing w:beforeLines="0" w:line="240" w:lineRule="auto"/>
        <w:ind w:firstLineChars="0" w:firstLine="0"/>
        <w:rPr>
          <w:sz w:val="21"/>
          <w:szCs w:val="18"/>
        </w:rPr>
      </w:pPr>
      <w:r>
        <w:rPr>
          <w:rFonts w:hint="eastAsia"/>
          <w:sz w:val="21"/>
          <w:szCs w:val="18"/>
        </w:rPr>
        <w:t>注：上述分析仅将银行借款金额作为负债，未考虑本次重组及其他因素影响；资产负债率增加幅度为绝对值。</w:t>
      </w:r>
    </w:p>
    <w:p w14:paraId="345391BE" w14:textId="77777777" w:rsidR="000A0ACD" w:rsidRDefault="00362A99">
      <w:pPr>
        <w:pStyle w:val="affffd"/>
        <w:spacing w:before="156"/>
        <w:ind w:firstLine="480"/>
      </w:pPr>
      <w:r>
        <w:rPr>
          <w:rFonts w:hint="eastAsia"/>
        </w:rPr>
        <w:t>本次交易完成后，上市公司总资产规模、净资产规模、收入规模将有所增加，通过收购标的公司，上市公司的盈利能力将得到进一步增强，抗风险能力得到进一步提升。若配套融资金额未达预期，上市公司拟使用自有资金和银行借款支付本次配套募集资金项目中需支付的交易现金对价费用等项目。上市公司资产负债率将有所提高，但仍处于合理水平，不会对上市公司偿债能力及日常生产经营造成较大影响。</w:t>
      </w:r>
    </w:p>
    <w:p w14:paraId="050AF3E1"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三、补充披露情况</w:t>
      </w:r>
    </w:p>
    <w:p w14:paraId="103AA7A7" w14:textId="77777777" w:rsidR="000A0ACD" w:rsidRDefault="00362A99">
      <w:pPr>
        <w:pStyle w:val="affffd"/>
        <w:spacing w:before="156"/>
        <w:ind w:firstLine="480"/>
      </w:pPr>
      <w:r>
        <w:rPr>
          <w:bCs/>
        </w:rPr>
        <w:t>上市公司已在《重组报告书》</w:t>
      </w:r>
      <w:r>
        <w:rPr>
          <w:rFonts w:hint="eastAsia"/>
        </w:rPr>
        <w:t>“第五节</w:t>
      </w:r>
      <w:r>
        <w:t xml:space="preserve"> </w:t>
      </w:r>
      <w:r>
        <w:t>发行股份情况</w:t>
      </w:r>
      <w:r>
        <w:rPr>
          <w:rFonts w:hint="eastAsia"/>
        </w:rPr>
        <w:t>”</w:t>
      </w:r>
      <w:r>
        <w:t>之</w:t>
      </w:r>
      <w:r>
        <w:rPr>
          <w:rFonts w:hint="eastAsia"/>
        </w:rPr>
        <w:t>“</w:t>
      </w:r>
      <w:r>
        <w:t>三、募集配套资金的用途及必要性</w:t>
      </w:r>
      <w:r>
        <w:rPr>
          <w:rFonts w:hint="eastAsia"/>
        </w:rPr>
        <w:t>”之“（二）募集配套资金的必要性”及“（四）本次募集配套资金金额未达预期的具体影响及应对措施”</w:t>
      </w:r>
      <w:r>
        <w:rPr>
          <w:rFonts w:hint="eastAsia"/>
          <w:bCs/>
          <w:lang w:val="en-GB"/>
        </w:rPr>
        <w:t>进行了补充披露。</w:t>
      </w:r>
    </w:p>
    <w:p w14:paraId="353E6BE3"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四、中介机构核查意见</w:t>
      </w:r>
    </w:p>
    <w:p w14:paraId="36BDC27A" w14:textId="77777777" w:rsidR="000A0ACD" w:rsidRDefault="00362A99">
      <w:pPr>
        <w:pStyle w:val="affffd"/>
        <w:spacing w:before="156"/>
        <w:ind w:firstLine="480"/>
      </w:pPr>
      <w:r>
        <w:rPr>
          <w:rFonts w:hint="eastAsia"/>
          <w:lang w:val="zh-CN"/>
        </w:rPr>
        <w:t>经核查，独立财务顾问及会计师认为：若本次配套融资金额未达预期，上市公司有能力以自有资金或通过其他融资方式解决；配套融资最终成功与否不影响本次购买资产的实施，使用自有资金或向银行借款等其他方式支付现金对价费用等项目不会对</w:t>
      </w:r>
      <w:r>
        <w:rPr>
          <w:rFonts w:hint="eastAsia"/>
        </w:rPr>
        <w:t>上市</w:t>
      </w:r>
      <w:r>
        <w:rPr>
          <w:rFonts w:hint="eastAsia"/>
          <w:lang w:val="zh-CN"/>
        </w:rPr>
        <w:t>公司偿债能力及日常生产经营造成较大影响。</w:t>
      </w:r>
    </w:p>
    <w:p w14:paraId="28DA8216" w14:textId="77777777" w:rsidR="000A0ACD" w:rsidRDefault="000A0ACD">
      <w:pPr>
        <w:pStyle w:val="afffff"/>
        <w:sectPr w:rsidR="000A0ACD">
          <w:pgSz w:w="11906" w:h="16838"/>
          <w:pgMar w:top="1440" w:right="1800" w:bottom="1440" w:left="1800" w:header="851" w:footer="992" w:gutter="0"/>
          <w:cols w:space="425"/>
          <w:docGrid w:type="lines" w:linePitch="312"/>
        </w:sectPr>
      </w:pPr>
      <w:bookmarkStart w:id="13" w:name="_Toc69256868"/>
      <w:bookmarkStart w:id="14" w:name="_Toc69256848"/>
    </w:p>
    <w:p w14:paraId="61BD4F92" w14:textId="77777777" w:rsidR="000A0ACD" w:rsidRDefault="00362A99">
      <w:pPr>
        <w:pStyle w:val="afffff"/>
      </w:pPr>
      <w:r>
        <w:rPr>
          <w:rFonts w:hint="eastAsia"/>
        </w:rPr>
        <w:lastRenderedPageBreak/>
        <w:t>第三题</w:t>
      </w:r>
      <w:bookmarkEnd w:id="13"/>
      <w:bookmarkEnd w:id="14"/>
    </w:p>
    <w:p w14:paraId="36A27C1E"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2018</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1-9</w:t>
      </w:r>
      <w:r>
        <w:rPr>
          <w:rFonts w:ascii="Times New Roman" w:eastAsia="黑体" w:hAnsi="Times New Roman" w:cs="Times New Roman" w:hint="eastAsia"/>
          <w:b/>
          <w:color w:val="000000"/>
          <w:szCs w:val="21"/>
        </w:rPr>
        <w:t>月，北洋天青前五大客户的营业收入占当期营业收入的比重分别为</w:t>
      </w:r>
      <w:r>
        <w:rPr>
          <w:rFonts w:ascii="Times New Roman" w:eastAsia="黑体" w:hAnsi="Times New Roman" w:cs="Times New Roman" w:hint="eastAsia"/>
          <w:b/>
          <w:color w:val="000000"/>
          <w:szCs w:val="21"/>
        </w:rPr>
        <w:t>99.65%</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99.94%</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100%</w:t>
      </w:r>
      <w:r>
        <w:rPr>
          <w:rFonts w:ascii="Times New Roman" w:eastAsia="黑体" w:hAnsi="Times New Roman" w:cs="Times New Roman" w:hint="eastAsia"/>
          <w:b/>
          <w:color w:val="000000"/>
          <w:szCs w:val="21"/>
        </w:rPr>
        <w:t>，客户集中度高。</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）北洋天青拥有</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项实用新型专利，另外</w:t>
      </w:r>
      <w:r>
        <w:rPr>
          <w:rFonts w:ascii="Times New Roman" w:eastAsia="黑体" w:hAnsi="Times New Roman" w:cs="Times New Roman" w:hint="eastAsia"/>
          <w:b/>
          <w:color w:val="000000"/>
          <w:szCs w:val="21"/>
        </w:rPr>
        <w:t>11</w:t>
      </w:r>
      <w:r>
        <w:rPr>
          <w:rFonts w:ascii="Times New Roman" w:eastAsia="黑体" w:hAnsi="Times New Roman" w:cs="Times New Roman" w:hint="eastAsia"/>
          <w:b/>
          <w:color w:val="000000"/>
          <w:szCs w:val="21"/>
        </w:rPr>
        <w:t>项专利正在申请，主要业务为定制化系统集成和机器人配套，依据客户的需求提供定制化服务。请你公司：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）以简明清晰、通俗易懂的语言补充披露定制化系统集成和机器人配套业务的业务模式、生产流程、工艺和主要产品。</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结合北洋天青与主要客户合作期限、合同主要内容、续期条件，新客户拓展情况及相关约定等，补充披露北洋天青与主要客户合作的稳定性及可持续性，是否存在流失现有客户或无法拓展新客户的风险，对其经营稳定性和持续盈利能力的影响及应对措施。</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）结合北洋天青和主要竞争对手在业务规模、市场占有率、核心技术上的差异及行业内竞争态势，补充披露北洋天青核心竞争力，有无被替代风险及应对措施。请独立财务顾问核查并发表明确意见。</w:t>
      </w:r>
    </w:p>
    <w:p w14:paraId="128049D7" w14:textId="77777777" w:rsidR="000A0ACD" w:rsidRDefault="00362A99">
      <w:pPr>
        <w:pStyle w:val="affffd"/>
        <w:spacing w:before="156"/>
        <w:ind w:firstLine="482"/>
        <w:rPr>
          <w:b/>
        </w:rPr>
      </w:pPr>
      <w:r>
        <w:rPr>
          <w:rFonts w:hint="eastAsia"/>
          <w:b/>
        </w:rPr>
        <w:t>【回复说明】</w:t>
      </w:r>
    </w:p>
    <w:p w14:paraId="5E9D86C2" w14:textId="77777777" w:rsidR="000A0ACD" w:rsidRDefault="00362A99">
      <w:pPr>
        <w:spacing w:beforeLines="50" w:before="156" w:line="360" w:lineRule="auto"/>
        <w:ind w:firstLineChars="200" w:firstLine="482"/>
        <w:jc w:val="both"/>
        <w:outlineLvl w:val="1"/>
        <w:rPr>
          <w:rFonts w:ascii="Times New Roman" w:hAnsi="Times New Roman" w:cs="Times New Roman"/>
          <w:b/>
          <w:color w:val="000000"/>
          <w:szCs w:val="21"/>
        </w:rPr>
      </w:pPr>
      <w:r>
        <w:rPr>
          <w:rFonts w:ascii="Times New Roman" w:hAnsi="Times New Roman" w:cs="Times New Roman" w:hint="eastAsia"/>
          <w:b/>
          <w:color w:val="000000"/>
          <w:szCs w:val="21"/>
        </w:rPr>
        <w:t>1</w:t>
      </w:r>
      <w:r>
        <w:rPr>
          <w:rFonts w:ascii="Times New Roman" w:hAnsi="Times New Roman" w:cs="Times New Roman" w:hint="eastAsia"/>
          <w:b/>
          <w:color w:val="000000"/>
          <w:szCs w:val="21"/>
        </w:rPr>
        <w:t>）以简明清晰、通俗易懂的语言补充披露定制化系统集成和机器人配套业务的业务模式、生产流程、工艺和主要产品。</w:t>
      </w:r>
    </w:p>
    <w:p w14:paraId="5C47AF85"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一、定制化系统集成和机器人配套业务</w:t>
      </w:r>
    </w:p>
    <w:p w14:paraId="45256280" w14:textId="77777777" w:rsidR="000A0ACD" w:rsidRDefault="00362A99">
      <w:pPr>
        <w:spacing w:afterLines="50" w:after="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聚焦工业自动化领域，形成了包括工业机器人本体及系统集成、智能制造装备、机器视觉、测试系统集成、模具立体库自动换模系统、物流悬挂输送系统和企业信息化七大业务板块的产品线。每个业务板块可独立运作，为下游制造业客户提供工业智能化和信息化的产品，也可以相互配合，依托</w:t>
      </w: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的综合集成能力，为客户提供生产线智能化建设、升级和改造与数字化生产车间的整体解决方案。</w:t>
      </w:r>
    </w:p>
    <w:p w14:paraId="46409287"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标的公司业务围绕机器人和定制化集成配套两大类开展，第一类是以机器人本体及配套为主的业务，该类业务特点主要是以机器人集成应用为主体的独立项目，配套设备及服务是为配合机器人完成客户制造工艺需求的集成。主要产品如冲压连线、空调翅片自动取片项目等。第二类是以定制化集成为主的业务，该类</w:t>
      </w:r>
      <w:r>
        <w:rPr>
          <w:rFonts w:ascii="Times New Roman" w:hAnsi="Times New Roman" w:cs="Times New Roman" w:hint="eastAsia"/>
          <w:bCs/>
          <w:color w:val="000000"/>
          <w:szCs w:val="21"/>
        </w:rPr>
        <w:lastRenderedPageBreak/>
        <w:t>业务特点主要是为客户提供定制化的非标准集成设备和生产线。此类业务根据客户需求综合模具立体库智能制造装备、测试系统集成、机器视觉系统、自动换模系统、物流悬挂输送系统、企业信息化系统等产品线的应用。主要产品如总装生产线项目、悬挂链物流系统等。</w:t>
      </w:r>
    </w:p>
    <w:p w14:paraId="36423091"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二、主要产品及服务</w:t>
      </w:r>
    </w:p>
    <w:p w14:paraId="244DF741"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（一）工业机器人本体及系统集成</w:t>
      </w:r>
    </w:p>
    <w:p w14:paraId="5E134484"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报告期内，北洋天青业务以工业机器人系统集成为主，涵盖搬运、码垛、装箱、插件、点胶等多个应用领域。在工业机器人系统集成方面，北洋天青依据下游制造业客户的不同生产工艺和用途需求，制定设计方案，然后以外购的工业机器人为本体，把夹具、输送线、定位系统、电气控制系统、信息化系统等集合成一套可以替代人工的智能化设备，以帮助客户提高生产效率、降低生产成本。北洋天青代表性项目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64"/>
        <w:gridCol w:w="3782"/>
        <w:gridCol w:w="3576"/>
      </w:tblGrid>
      <w:tr w:rsidR="000A0ACD" w14:paraId="4BEAD0C4" w14:textId="77777777">
        <w:trPr>
          <w:trHeight w:val="397"/>
          <w:tblHeader/>
        </w:trPr>
        <w:tc>
          <w:tcPr>
            <w:tcW w:w="683" w:type="pct"/>
            <w:tcBorders>
              <w:top w:val="single" w:sz="12" w:space="0" w:color="auto"/>
              <w:left w:val="nil"/>
              <w:bottom w:val="single" w:sz="4" w:space="0" w:color="auto"/>
              <w:right w:val="single" w:sz="4" w:space="0" w:color="auto"/>
            </w:tcBorders>
            <w:vAlign w:val="center"/>
          </w:tcPr>
          <w:p w14:paraId="243855DE" w14:textId="77777777" w:rsidR="000A0ACD" w:rsidRDefault="00362A99">
            <w:pPr>
              <w:keepNext/>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项目名称</w:t>
            </w:r>
          </w:p>
        </w:tc>
        <w:tc>
          <w:tcPr>
            <w:tcW w:w="2219" w:type="pct"/>
            <w:tcBorders>
              <w:top w:val="single" w:sz="12" w:space="0" w:color="auto"/>
              <w:left w:val="single" w:sz="4" w:space="0" w:color="auto"/>
              <w:bottom w:val="single" w:sz="4" w:space="0" w:color="auto"/>
              <w:right w:val="single" w:sz="4" w:space="0" w:color="auto"/>
            </w:tcBorders>
            <w:vAlign w:val="center"/>
          </w:tcPr>
          <w:p w14:paraId="2042FE4A" w14:textId="77777777" w:rsidR="000A0ACD" w:rsidRDefault="00362A99">
            <w:pPr>
              <w:keepNext/>
              <w:autoSpaceDE w:val="0"/>
              <w:autoSpaceDN w:val="0"/>
              <w:adjustRightIn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产品功能和用途</w:t>
            </w:r>
          </w:p>
        </w:tc>
        <w:tc>
          <w:tcPr>
            <w:tcW w:w="2098" w:type="pct"/>
            <w:tcBorders>
              <w:top w:val="single" w:sz="12" w:space="0" w:color="auto"/>
              <w:left w:val="single" w:sz="4" w:space="0" w:color="auto"/>
              <w:bottom w:val="single" w:sz="4" w:space="0" w:color="auto"/>
              <w:right w:val="nil"/>
            </w:tcBorders>
            <w:vAlign w:val="center"/>
          </w:tcPr>
          <w:p w14:paraId="45223227" w14:textId="77777777" w:rsidR="000A0ACD" w:rsidRDefault="00362A99">
            <w:pPr>
              <w:keepNext/>
              <w:autoSpaceDE w:val="0"/>
              <w:autoSpaceDN w:val="0"/>
              <w:adjustRightIn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产品示例图</w:t>
            </w:r>
          </w:p>
        </w:tc>
      </w:tr>
      <w:tr w:rsidR="000A0ACD" w14:paraId="689888FB" w14:textId="77777777">
        <w:trPr>
          <w:trHeight w:val="397"/>
        </w:trPr>
        <w:tc>
          <w:tcPr>
            <w:tcW w:w="683" w:type="pct"/>
            <w:tcBorders>
              <w:top w:val="single" w:sz="4" w:space="0" w:color="auto"/>
              <w:left w:val="nil"/>
              <w:bottom w:val="single" w:sz="4" w:space="0" w:color="auto"/>
              <w:right w:val="single" w:sz="4" w:space="0" w:color="auto"/>
            </w:tcBorders>
            <w:vAlign w:val="center"/>
          </w:tcPr>
          <w:p w14:paraId="0A57DDCD"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冰箱门壳机器人冲压连线</w:t>
            </w:r>
          </w:p>
        </w:tc>
        <w:tc>
          <w:tcPr>
            <w:tcW w:w="2219" w:type="pct"/>
            <w:tcBorders>
              <w:top w:val="single" w:sz="4" w:space="0" w:color="auto"/>
              <w:left w:val="single" w:sz="4" w:space="0" w:color="auto"/>
              <w:bottom w:val="single" w:sz="4" w:space="0" w:color="auto"/>
              <w:right w:val="single" w:sz="4" w:space="0" w:color="auto"/>
            </w:tcBorders>
            <w:vAlign w:val="center"/>
          </w:tcPr>
          <w:p w14:paraId="67E4B8D8" w14:textId="77777777" w:rsidR="000A0ACD" w:rsidRDefault="00362A99">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属于工业机器人在冲压领域集成设计及应用，可以实现钣金冲压车间单机床的自动上下料，多机床间即多工序之间的物料自动搬运，包含机器人，机械手，钣金上料拆垛台，冲床模具自动换模设备及系统，下料输送线等，有助于节省人工，提高生产效率，降低安全隐患</w:t>
            </w:r>
          </w:p>
        </w:tc>
        <w:tc>
          <w:tcPr>
            <w:tcW w:w="2098" w:type="pct"/>
            <w:tcBorders>
              <w:top w:val="single" w:sz="4" w:space="0" w:color="auto"/>
              <w:left w:val="single" w:sz="4" w:space="0" w:color="auto"/>
              <w:bottom w:val="single" w:sz="4" w:space="0" w:color="auto"/>
              <w:right w:val="nil"/>
            </w:tcBorders>
            <w:vAlign w:val="center"/>
          </w:tcPr>
          <w:p w14:paraId="4C941939" w14:textId="77777777" w:rsidR="000A0ACD" w:rsidRDefault="00362A99">
            <w:pPr>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49AD2088" wp14:editId="11C5CF8F">
                  <wp:extent cx="2057400" cy="1936750"/>
                  <wp:effectExtent l="0" t="0" r="0" b="6350"/>
                  <wp:docPr id="18" name="图片 18" descr="8b9cf2d129a71eea0040871107f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b9cf2d129a71eea0040871107f2709"/>
                          <pic:cNvPicPr>
                            <a:picLocks noChangeAspect="1" noChangeArrowheads="1"/>
                          </pic:cNvPicPr>
                        </pic:nvPicPr>
                        <pic:blipFill>
                          <a:blip r:embed="rId12">
                            <a:extLst>
                              <a:ext uri="{28A0092B-C50C-407E-A947-70E740481C1C}">
                                <a14:useLocalDpi xmlns:a14="http://schemas.microsoft.com/office/drawing/2010/main" val="0"/>
                              </a:ext>
                            </a:extLst>
                          </a:blip>
                          <a:srcRect t="29443"/>
                          <a:stretch>
                            <a:fillRect/>
                          </a:stretch>
                        </pic:blipFill>
                        <pic:spPr>
                          <a:xfrm>
                            <a:off x="0" y="0"/>
                            <a:ext cx="2057400" cy="1936750"/>
                          </a:xfrm>
                          <a:prstGeom prst="rect">
                            <a:avLst/>
                          </a:prstGeom>
                          <a:noFill/>
                          <a:ln>
                            <a:noFill/>
                          </a:ln>
                        </pic:spPr>
                      </pic:pic>
                    </a:graphicData>
                  </a:graphic>
                </wp:inline>
              </w:drawing>
            </w:r>
          </w:p>
        </w:tc>
      </w:tr>
      <w:tr w:rsidR="000A0ACD" w14:paraId="4AA42C02" w14:textId="77777777">
        <w:trPr>
          <w:trHeight w:val="397"/>
        </w:trPr>
        <w:tc>
          <w:tcPr>
            <w:tcW w:w="683" w:type="pct"/>
            <w:tcBorders>
              <w:top w:val="single" w:sz="4" w:space="0" w:color="auto"/>
              <w:left w:val="nil"/>
              <w:bottom w:val="single" w:sz="4" w:space="0" w:color="auto"/>
              <w:right w:val="single" w:sz="4" w:space="0" w:color="auto"/>
            </w:tcBorders>
            <w:vAlign w:val="center"/>
          </w:tcPr>
          <w:p w14:paraId="3ECBE6E4" w14:textId="77777777" w:rsidR="000A0ACD" w:rsidRDefault="00362A99">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门壳钣金成型线加强铁自动铆接上下料项目</w:t>
            </w:r>
          </w:p>
        </w:tc>
        <w:tc>
          <w:tcPr>
            <w:tcW w:w="2219" w:type="pct"/>
            <w:tcBorders>
              <w:top w:val="single" w:sz="4" w:space="0" w:color="auto"/>
              <w:left w:val="single" w:sz="4" w:space="0" w:color="auto"/>
              <w:bottom w:val="single" w:sz="4" w:space="0" w:color="auto"/>
              <w:right w:val="single" w:sz="4" w:space="0" w:color="auto"/>
            </w:tcBorders>
            <w:vAlign w:val="center"/>
          </w:tcPr>
          <w:p w14:paraId="2F658D46" w14:textId="77777777" w:rsidR="000A0ACD" w:rsidRDefault="00362A99">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属于工业机器人配合配套钣金成型线自动上下料的集成设计及应用，由机器人、机械手、供料设备、储料仓、定位台，可以实现加强铁自动供料和铆接、根据信息化配方实现自动切换型号混线柔性生产模式，解决了人工劳动强度大、速度慢，混线生产柔性生产困难等难题</w:t>
            </w:r>
          </w:p>
        </w:tc>
        <w:tc>
          <w:tcPr>
            <w:tcW w:w="2098" w:type="pct"/>
            <w:tcBorders>
              <w:top w:val="single" w:sz="4" w:space="0" w:color="auto"/>
              <w:left w:val="single" w:sz="4" w:space="0" w:color="auto"/>
              <w:bottom w:val="single" w:sz="4" w:space="0" w:color="auto"/>
              <w:right w:val="nil"/>
            </w:tcBorders>
            <w:vAlign w:val="center"/>
          </w:tcPr>
          <w:p w14:paraId="65E9851A" w14:textId="77777777" w:rsidR="000A0ACD" w:rsidRDefault="00362A99">
            <w:pPr>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6CB865BB" wp14:editId="7923AD64">
                  <wp:extent cx="2063750" cy="1441450"/>
                  <wp:effectExtent l="0" t="0" r="0" b="6350"/>
                  <wp:docPr id="17" name="图片 17" descr="澳柯玛项目10——周业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澳柯玛项目10——周业荣"/>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63750" cy="1441450"/>
                          </a:xfrm>
                          <a:prstGeom prst="rect">
                            <a:avLst/>
                          </a:prstGeom>
                          <a:noFill/>
                          <a:ln>
                            <a:noFill/>
                          </a:ln>
                        </pic:spPr>
                      </pic:pic>
                    </a:graphicData>
                  </a:graphic>
                </wp:inline>
              </w:drawing>
            </w:r>
          </w:p>
        </w:tc>
      </w:tr>
      <w:tr w:rsidR="000A0ACD" w14:paraId="2CEA3FD3" w14:textId="77777777">
        <w:trPr>
          <w:trHeight w:val="397"/>
        </w:trPr>
        <w:tc>
          <w:tcPr>
            <w:tcW w:w="683" w:type="pct"/>
            <w:tcBorders>
              <w:top w:val="single" w:sz="4" w:space="0" w:color="auto"/>
              <w:left w:val="nil"/>
              <w:bottom w:val="single" w:sz="4" w:space="0" w:color="auto"/>
              <w:right w:val="single" w:sz="4" w:space="0" w:color="auto"/>
            </w:tcBorders>
            <w:vAlign w:val="center"/>
          </w:tcPr>
          <w:p w14:paraId="17392258" w14:textId="77777777" w:rsidR="000A0ACD" w:rsidRDefault="00362A99">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空调翅片自动取片项目</w:t>
            </w:r>
          </w:p>
        </w:tc>
        <w:tc>
          <w:tcPr>
            <w:tcW w:w="2219" w:type="pct"/>
            <w:tcBorders>
              <w:top w:val="single" w:sz="4" w:space="0" w:color="auto"/>
              <w:left w:val="single" w:sz="4" w:space="0" w:color="auto"/>
              <w:bottom w:val="single" w:sz="4" w:space="0" w:color="auto"/>
              <w:right w:val="single" w:sz="4" w:space="0" w:color="auto"/>
            </w:tcBorders>
            <w:vAlign w:val="center"/>
          </w:tcPr>
          <w:p w14:paraId="05E746BD" w14:textId="77777777" w:rsidR="000A0ACD" w:rsidRDefault="00362A99">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属于工业机器人在空调两器行业非标自动化领域集成设计及应用，由机器人、机器人伺服平移第七轴，自动调整伺服取料机械手，下料码垛位等组成，结合信息化实现空调冲切冷凝器翅片的自动取放和码垛，根据配方自动调整夹爪和调用不同程序，实现一键换型柔性生产，解决人工劳动强度大，取片容易导致倒伏等质量不良率高等难题，属行业首创</w:t>
            </w:r>
          </w:p>
        </w:tc>
        <w:tc>
          <w:tcPr>
            <w:tcW w:w="2098" w:type="pct"/>
            <w:tcBorders>
              <w:top w:val="single" w:sz="4" w:space="0" w:color="auto"/>
              <w:left w:val="single" w:sz="4" w:space="0" w:color="auto"/>
              <w:bottom w:val="single" w:sz="4" w:space="0" w:color="auto"/>
              <w:right w:val="nil"/>
            </w:tcBorders>
            <w:vAlign w:val="center"/>
          </w:tcPr>
          <w:p w14:paraId="1491800D" w14:textId="77777777" w:rsidR="000A0ACD" w:rsidRDefault="00362A99">
            <w:pPr>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68BFDC46" wp14:editId="23724884">
                  <wp:extent cx="2070100" cy="1549400"/>
                  <wp:effectExtent l="0" t="0" r="6350" b="0"/>
                  <wp:docPr id="16" name="图片 16" descr="IMG_20200704_1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704_1740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70100" cy="1549400"/>
                          </a:xfrm>
                          <a:prstGeom prst="rect">
                            <a:avLst/>
                          </a:prstGeom>
                          <a:noFill/>
                          <a:ln>
                            <a:noFill/>
                          </a:ln>
                        </pic:spPr>
                      </pic:pic>
                    </a:graphicData>
                  </a:graphic>
                </wp:inline>
              </w:drawing>
            </w:r>
          </w:p>
        </w:tc>
      </w:tr>
      <w:tr w:rsidR="000A0ACD" w14:paraId="039BBB89" w14:textId="77777777">
        <w:trPr>
          <w:trHeight w:val="397"/>
        </w:trPr>
        <w:tc>
          <w:tcPr>
            <w:tcW w:w="683" w:type="pct"/>
            <w:tcBorders>
              <w:top w:val="single" w:sz="4" w:space="0" w:color="auto"/>
              <w:left w:val="nil"/>
              <w:bottom w:val="single" w:sz="12" w:space="0" w:color="auto"/>
              <w:right w:val="single" w:sz="4" w:space="0" w:color="auto"/>
            </w:tcBorders>
            <w:vAlign w:val="center"/>
          </w:tcPr>
          <w:p w14:paraId="319F57F9" w14:textId="77777777" w:rsidR="000A0ACD" w:rsidRDefault="00362A99">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滚筒洗衣机内筒注塑自动上下料项目</w:t>
            </w:r>
          </w:p>
        </w:tc>
        <w:tc>
          <w:tcPr>
            <w:tcW w:w="2219" w:type="pct"/>
            <w:tcBorders>
              <w:top w:val="single" w:sz="4" w:space="0" w:color="auto"/>
              <w:left w:val="single" w:sz="4" w:space="0" w:color="auto"/>
              <w:bottom w:val="single" w:sz="12" w:space="0" w:color="auto"/>
              <w:right w:val="single" w:sz="4" w:space="0" w:color="auto"/>
            </w:tcBorders>
            <w:vAlign w:val="center"/>
          </w:tcPr>
          <w:p w14:paraId="48FEA886" w14:textId="77777777" w:rsidR="000A0ACD" w:rsidRDefault="00362A99">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属于工业机器人在洗衣机内筒注塑成型工位非标自动化的集成设计及应用，由机器人、取料机械手，供料设备、储料仓、定位台，下料注胶头切割专机，下料输送线等设备构成，可以实现滚筒成型镶套件注塑前上料，滚筒成型后下料，胶头切割，下料输送等。根据信息化配方，实现自动切换型号混线柔性生产模式，解决了人工劳动强度大、速度慢，高危险作业、混线生产柔性生产困难等难题，提高生产效率，降低安全隐患</w:t>
            </w:r>
          </w:p>
        </w:tc>
        <w:tc>
          <w:tcPr>
            <w:tcW w:w="2098" w:type="pct"/>
            <w:tcBorders>
              <w:top w:val="single" w:sz="4" w:space="0" w:color="auto"/>
              <w:left w:val="single" w:sz="4" w:space="0" w:color="auto"/>
              <w:bottom w:val="single" w:sz="12" w:space="0" w:color="auto"/>
              <w:right w:val="nil"/>
            </w:tcBorders>
            <w:vAlign w:val="center"/>
          </w:tcPr>
          <w:p w14:paraId="6C93F7F1" w14:textId="77777777" w:rsidR="000A0ACD" w:rsidRDefault="00362A99">
            <w:pPr>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7254B6AF" wp14:editId="36F14366">
                  <wp:extent cx="2051050" cy="2133600"/>
                  <wp:effectExtent l="0" t="0" r="6350" b="0"/>
                  <wp:docPr id="15" name="图片 15" descr="IMG_20190713_10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90713_1013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51050" cy="2133600"/>
                          </a:xfrm>
                          <a:prstGeom prst="rect">
                            <a:avLst/>
                          </a:prstGeom>
                          <a:noFill/>
                          <a:ln>
                            <a:noFill/>
                          </a:ln>
                        </pic:spPr>
                      </pic:pic>
                    </a:graphicData>
                  </a:graphic>
                </wp:inline>
              </w:drawing>
            </w:r>
          </w:p>
        </w:tc>
      </w:tr>
    </w:tbl>
    <w:p w14:paraId="0876284D"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（二）智能制造装备</w:t>
      </w:r>
    </w:p>
    <w:p w14:paraId="37F4C7E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生产的智能制造装备属于非标自动化设备。北洋天青根据客户提出的设备技术要求，深入了解客户相关产品的生产工艺，制定生产设备详细规划方案，配合电气控制系统，设计制造出满足客户需求的自动化设备及生产线。该生产线可以替代人工重复单调的动作、降低工人劳动强度、降低安全隐患、结合软件信息化实现数字化的智能制造生产设备和多料号混线柔性生产模式，大大提高产品生产质量和生产效率，保证产品的稳定性。</w:t>
      </w:r>
    </w:p>
    <w:p w14:paraId="44A67A2E"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智能制造是一个系统工程，需要整体的规划设计，并非单纯地增加数字化和自动化的设备。智能工厂智能制造装备和生产线是一个整体的系统，针对目前工厂对智能制造的需求，结合客户生产工艺的实际需求，给客户提供完整的智能生产线解决方案。</w:t>
      </w:r>
    </w:p>
    <w:p w14:paraId="41AA218F" w14:textId="77777777" w:rsidR="000A0ACD" w:rsidRDefault="00362A99">
      <w:pPr>
        <w:spacing w:afterLines="50" w:after="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代表性项目如下：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64"/>
        <w:gridCol w:w="3463"/>
        <w:gridCol w:w="3895"/>
      </w:tblGrid>
      <w:tr w:rsidR="000A0ACD" w14:paraId="19938593" w14:textId="77777777">
        <w:trPr>
          <w:trHeight w:val="397"/>
          <w:tblHeader/>
          <w:jc w:val="center"/>
        </w:trPr>
        <w:tc>
          <w:tcPr>
            <w:tcW w:w="683" w:type="pct"/>
            <w:tcBorders>
              <w:top w:val="single" w:sz="12" w:space="0" w:color="auto"/>
              <w:left w:val="nil"/>
              <w:bottom w:val="single" w:sz="4" w:space="0" w:color="auto"/>
              <w:right w:val="single" w:sz="4" w:space="0" w:color="auto"/>
            </w:tcBorders>
            <w:vAlign w:val="center"/>
          </w:tcPr>
          <w:p w14:paraId="36D6458A" w14:textId="77777777" w:rsidR="000A0ACD" w:rsidRDefault="00362A99">
            <w:pPr>
              <w:adjustRightInd w:val="0"/>
              <w:snapToGrid w:val="0"/>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项目名称</w:t>
            </w:r>
          </w:p>
        </w:tc>
        <w:tc>
          <w:tcPr>
            <w:tcW w:w="2032" w:type="pct"/>
            <w:tcBorders>
              <w:top w:val="single" w:sz="12" w:space="0" w:color="auto"/>
              <w:left w:val="single" w:sz="4" w:space="0" w:color="auto"/>
              <w:bottom w:val="single" w:sz="4" w:space="0" w:color="auto"/>
              <w:right w:val="single" w:sz="4" w:space="0" w:color="auto"/>
            </w:tcBorders>
            <w:vAlign w:val="center"/>
          </w:tcPr>
          <w:p w14:paraId="553689C3" w14:textId="77777777" w:rsidR="000A0ACD" w:rsidRDefault="00362A99">
            <w:pPr>
              <w:autoSpaceDE w:val="0"/>
              <w:autoSpaceDN w:val="0"/>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产品功能和用途</w:t>
            </w:r>
          </w:p>
        </w:tc>
        <w:tc>
          <w:tcPr>
            <w:tcW w:w="2285" w:type="pct"/>
            <w:tcBorders>
              <w:top w:val="single" w:sz="12" w:space="0" w:color="auto"/>
              <w:left w:val="single" w:sz="4" w:space="0" w:color="auto"/>
              <w:bottom w:val="single" w:sz="4" w:space="0" w:color="auto"/>
              <w:right w:val="nil"/>
            </w:tcBorders>
            <w:vAlign w:val="center"/>
          </w:tcPr>
          <w:p w14:paraId="284FD462" w14:textId="77777777" w:rsidR="000A0ACD" w:rsidRDefault="00362A99">
            <w:pPr>
              <w:autoSpaceDE w:val="0"/>
              <w:autoSpaceDN w:val="0"/>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产品示例图</w:t>
            </w:r>
          </w:p>
        </w:tc>
      </w:tr>
      <w:tr w:rsidR="000A0ACD" w14:paraId="265AE936" w14:textId="77777777">
        <w:trPr>
          <w:trHeight w:val="397"/>
          <w:jc w:val="center"/>
        </w:trPr>
        <w:tc>
          <w:tcPr>
            <w:tcW w:w="683" w:type="pct"/>
            <w:tcBorders>
              <w:top w:val="single" w:sz="4" w:space="0" w:color="auto"/>
              <w:left w:val="nil"/>
              <w:bottom w:val="single" w:sz="4" w:space="0" w:color="auto"/>
              <w:right w:val="single" w:sz="4" w:space="0" w:color="auto"/>
            </w:tcBorders>
            <w:vAlign w:val="center"/>
          </w:tcPr>
          <w:p w14:paraId="4B78274D" w14:textId="77777777" w:rsidR="000A0ACD" w:rsidRDefault="00362A99">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机器人及物流信息管理系统项目</w:t>
            </w:r>
          </w:p>
        </w:tc>
        <w:tc>
          <w:tcPr>
            <w:tcW w:w="2032" w:type="pct"/>
            <w:tcBorders>
              <w:top w:val="single" w:sz="4" w:space="0" w:color="auto"/>
              <w:left w:val="single" w:sz="4" w:space="0" w:color="auto"/>
              <w:bottom w:val="single" w:sz="4" w:space="0" w:color="auto"/>
              <w:right w:val="single" w:sz="4" w:space="0" w:color="auto"/>
            </w:tcBorders>
            <w:vAlign w:val="center"/>
          </w:tcPr>
          <w:p w14:paraId="5B889913" w14:textId="77777777" w:rsidR="000A0ACD" w:rsidRDefault="00362A99">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整厂生产线，可以实现</w:t>
            </w:r>
            <w:r>
              <w:rPr>
                <w:rFonts w:ascii="Times New Roman" w:hAnsi="Times New Roman" w:cs="Times New Roman" w:hint="eastAsia"/>
                <w:color w:val="000000"/>
                <w:sz w:val="21"/>
                <w:szCs w:val="21"/>
              </w:rPr>
              <w:t>8</w:t>
            </w:r>
            <w:r>
              <w:rPr>
                <w:rFonts w:ascii="Times New Roman" w:hAnsi="Times New Roman" w:cs="Times New Roman" w:hint="eastAsia"/>
                <w:color w:val="000000"/>
                <w:sz w:val="21"/>
                <w:szCs w:val="21"/>
              </w:rPr>
              <w:t>种型号产品同时混线生产，整厂信息化管理，关键工位机器人替代人力，根据信息化参数可控制实现自动调节参数快速换型，自动适应产品外形尺寸，实现整个工厂的信息化管理与生产，提高了生产效率</w:t>
            </w:r>
          </w:p>
        </w:tc>
        <w:tc>
          <w:tcPr>
            <w:tcW w:w="2285" w:type="pct"/>
            <w:tcBorders>
              <w:top w:val="single" w:sz="4" w:space="0" w:color="auto"/>
              <w:left w:val="single" w:sz="4" w:space="0" w:color="auto"/>
              <w:bottom w:val="single" w:sz="4" w:space="0" w:color="auto"/>
              <w:right w:val="nil"/>
            </w:tcBorders>
            <w:vAlign w:val="center"/>
          </w:tcPr>
          <w:p w14:paraId="22656185" w14:textId="77777777" w:rsidR="000A0ACD" w:rsidRDefault="00362A99">
            <w:pPr>
              <w:adjustRightInd w:val="0"/>
              <w:snapToGrid w:val="0"/>
              <w:jc w:val="center"/>
              <w:rPr>
                <w:rFonts w:ascii="Times New Roman" w:hAnsi="Times New Roman" w:cs="Times New Roman"/>
                <w:color w:val="000000"/>
                <w:sz w:val="21"/>
                <w:szCs w:val="21"/>
                <w:lang w:val="en-GB"/>
              </w:rPr>
            </w:pPr>
            <w:r>
              <w:rPr>
                <w:rFonts w:ascii="Times New Roman" w:hAnsi="Times New Roman" w:cs="Times New Roman"/>
                <w:noProof/>
                <w:sz w:val="21"/>
                <w:szCs w:val="21"/>
              </w:rPr>
              <w:drawing>
                <wp:inline distT="0" distB="0" distL="0" distR="0" wp14:anchorId="60B36237" wp14:editId="5CCBC0BB">
                  <wp:extent cx="2273300" cy="1447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73300" cy="1447800"/>
                          </a:xfrm>
                          <a:prstGeom prst="rect">
                            <a:avLst/>
                          </a:prstGeom>
                          <a:noFill/>
                          <a:ln>
                            <a:noFill/>
                          </a:ln>
                        </pic:spPr>
                      </pic:pic>
                    </a:graphicData>
                  </a:graphic>
                </wp:inline>
              </w:drawing>
            </w:r>
          </w:p>
        </w:tc>
      </w:tr>
      <w:tr w:rsidR="000A0ACD" w14:paraId="605CCFB8" w14:textId="77777777">
        <w:trPr>
          <w:trHeight w:val="397"/>
          <w:jc w:val="center"/>
        </w:trPr>
        <w:tc>
          <w:tcPr>
            <w:tcW w:w="683" w:type="pct"/>
            <w:tcBorders>
              <w:top w:val="single" w:sz="4" w:space="0" w:color="auto"/>
              <w:left w:val="nil"/>
              <w:bottom w:val="single" w:sz="4" w:space="0" w:color="auto"/>
              <w:right w:val="single" w:sz="4" w:space="0" w:color="auto"/>
            </w:tcBorders>
            <w:vAlign w:val="center"/>
          </w:tcPr>
          <w:p w14:paraId="08B17172" w14:textId="77777777" w:rsidR="000A0ACD" w:rsidRDefault="00362A99">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顺德工厂冷柜总一总三线项目</w:t>
            </w:r>
          </w:p>
        </w:tc>
        <w:tc>
          <w:tcPr>
            <w:tcW w:w="2032" w:type="pct"/>
            <w:tcBorders>
              <w:top w:val="single" w:sz="4" w:space="0" w:color="auto"/>
              <w:left w:val="single" w:sz="4" w:space="0" w:color="auto"/>
              <w:bottom w:val="single" w:sz="4" w:space="0" w:color="auto"/>
              <w:right w:val="single" w:sz="4" w:space="0" w:color="auto"/>
            </w:tcBorders>
            <w:vAlign w:val="center"/>
          </w:tcPr>
          <w:p w14:paraId="1A59D811" w14:textId="77777777" w:rsidR="000A0ACD" w:rsidRDefault="00362A99">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冰箱、冷柜混合总装生产线，含寄存库、提升机、总装生产线以及机器人集成应用，</w:t>
            </w:r>
            <w:r>
              <w:rPr>
                <w:rFonts w:ascii="Times New Roman" w:hAnsi="Times New Roman" w:cs="Times New Roman" w:hint="eastAsia"/>
                <w:color w:val="000000"/>
                <w:sz w:val="21"/>
                <w:szCs w:val="21"/>
              </w:rPr>
              <w:t>可以实现冷柜和冰箱混合生产</w:t>
            </w:r>
          </w:p>
        </w:tc>
        <w:tc>
          <w:tcPr>
            <w:tcW w:w="2285" w:type="pct"/>
            <w:tcBorders>
              <w:top w:val="single" w:sz="4" w:space="0" w:color="auto"/>
              <w:left w:val="single" w:sz="4" w:space="0" w:color="auto"/>
              <w:bottom w:val="single" w:sz="4" w:space="0" w:color="auto"/>
              <w:right w:val="nil"/>
            </w:tcBorders>
            <w:vAlign w:val="center"/>
          </w:tcPr>
          <w:p w14:paraId="03C2B9C1" w14:textId="77777777" w:rsidR="000A0ACD" w:rsidRDefault="00362A99">
            <w:pPr>
              <w:adjustRightInd w:val="0"/>
              <w:snapToGrid w:val="0"/>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0FAD9D3A" wp14:editId="12758500">
                  <wp:extent cx="2127250" cy="16383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27250" cy="1638300"/>
                          </a:xfrm>
                          <a:prstGeom prst="rect">
                            <a:avLst/>
                          </a:prstGeom>
                          <a:noFill/>
                          <a:ln>
                            <a:noFill/>
                          </a:ln>
                        </pic:spPr>
                      </pic:pic>
                    </a:graphicData>
                  </a:graphic>
                </wp:inline>
              </w:drawing>
            </w:r>
          </w:p>
        </w:tc>
      </w:tr>
      <w:tr w:rsidR="000A0ACD" w14:paraId="7D2FEFFD" w14:textId="77777777">
        <w:trPr>
          <w:trHeight w:val="397"/>
          <w:jc w:val="center"/>
        </w:trPr>
        <w:tc>
          <w:tcPr>
            <w:tcW w:w="683" w:type="pct"/>
            <w:tcBorders>
              <w:top w:val="single" w:sz="4" w:space="0" w:color="auto"/>
              <w:left w:val="nil"/>
              <w:bottom w:val="single" w:sz="4" w:space="0" w:color="auto"/>
              <w:right w:val="single" w:sz="4" w:space="0" w:color="auto"/>
            </w:tcBorders>
            <w:vAlign w:val="center"/>
          </w:tcPr>
          <w:p w14:paraId="63999EEF" w14:textId="77777777" w:rsidR="000A0ACD" w:rsidRDefault="00362A99">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导光板自动上下料项目</w:t>
            </w:r>
          </w:p>
        </w:tc>
        <w:tc>
          <w:tcPr>
            <w:tcW w:w="2032" w:type="pct"/>
            <w:tcBorders>
              <w:top w:val="single" w:sz="4" w:space="0" w:color="auto"/>
              <w:left w:val="single" w:sz="4" w:space="0" w:color="auto"/>
              <w:bottom w:val="single" w:sz="4" w:space="0" w:color="auto"/>
              <w:right w:val="single" w:sz="4" w:space="0" w:color="auto"/>
            </w:tcBorders>
            <w:vAlign w:val="center"/>
          </w:tcPr>
          <w:p w14:paraId="17730F8B" w14:textId="77777777" w:rsidR="000A0ACD" w:rsidRDefault="00362A99">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可以实现电视机导光板物料的自动上下料、自动输送、搬运及扫码</w:t>
            </w:r>
          </w:p>
        </w:tc>
        <w:tc>
          <w:tcPr>
            <w:tcW w:w="2285" w:type="pct"/>
            <w:tcBorders>
              <w:top w:val="single" w:sz="4" w:space="0" w:color="auto"/>
              <w:left w:val="single" w:sz="4" w:space="0" w:color="auto"/>
              <w:bottom w:val="single" w:sz="4" w:space="0" w:color="auto"/>
              <w:right w:val="nil"/>
            </w:tcBorders>
            <w:vAlign w:val="center"/>
          </w:tcPr>
          <w:p w14:paraId="3427FD5F" w14:textId="77777777" w:rsidR="000A0ACD" w:rsidRDefault="00362A99">
            <w:pPr>
              <w:adjustRightInd w:val="0"/>
              <w:snapToGrid w:val="0"/>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417C1D0D" wp14:editId="51736393">
                  <wp:extent cx="2114550" cy="1504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14550" cy="1504950"/>
                          </a:xfrm>
                          <a:prstGeom prst="rect">
                            <a:avLst/>
                          </a:prstGeom>
                          <a:noFill/>
                          <a:ln>
                            <a:noFill/>
                          </a:ln>
                        </pic:spPr>
                      </pic:pic>
                    </a:graphicData>
                  </a:graphic>
                </wp:inline>
              </w:drawing>
            </w:r>
          </w:p>
        </w:tc>
      </w:tr>
      <w:tr w:rsidR="000A0ACD" w14:paraId="4BFAF06C" w14:textId="77777777">
        <w:trPr>
          <w:trHeight w:val="397"/>
          <w:jc w:val="center"/>
        </w:trPr>
        <w:tc>
          <w:tcPr>
            <w:tcW w:w="683" w:type="pct"/>
            <w:tcBorders>
              <w:top w:val="single" w:sz="4" w:space="0" w:color="auto"/>
              <w:left w:val="nil"/>
              <w:bottom w:val="single" w:sz="4" w:space="0" w:color="auto"/>
              <w:right w:val="single" w:sz="4" w:space="0" w:color="auto"/>
            </w:tcBorders>
            <w:vAlign w:val="center"/>
          </w:tcPr>
          <w:p w14:paraId="3316ABE1" w14:textId="77777777" w:rsidR="000A0ACD" w:rsidRDefault="00362A99">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抽屉洗碗机总装生产线项目</w:t>
            </w:r>
          </w:p>
        </w:tc>
        <w:tc>
          <w:tcPr>
            <w:tcW w:w="2032" w:type="pct"/>
            <w:tcBorders>
              <w:top w:val="single" w:sz="4" w:space="0" w:color="auto"/>
              <w:left w:val="single" w:sz="4" w:space="0" w:color="auto"/>
              <w:bottom w:val="single" w:sz="4" w:space="0" w:color="auto"/>
              <w:right w:val="single" w:sz="4" w:space="0" w:color="auto"/>
            </w:tcBorders>
            <w:vAlign w:val="center"/>
          </w:tcPr>
          <w:p w14:paraId="07CCB108" w14:textId="77777777" w:rsidR="000A0ACD" w:rsidRDefault="00362A99">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可以实现抽屉式洗碗机的混线生产，多工位性能自动检测，自动包换，自动封箱打包，码垛下线等</w:t>
            </w:r>
          </w:p>
        </w:tc>
        <w:tc>
          <w:tcPr>
            <w:tcW w:w="2285" w:type="pct"/>
            <w:tcBorders>
              <w:top w:val="single" w:sz="4" w:space="0" w:color="auto"/>
              <w:left w:val="single" w:sz="4" w:space="0" w:color="auto"/>
              <w:bottom w:val="single" w:sz="4" w:space="0" w:color="auto"/>
              <w:right w:val="nil"/>
            </w:tcBorders>
            <w:vAlign w:val="center"/>
          </w:tcPr>
          <w:p w14:paraId="52B02EA9" w14:textId="77777777" w:rsidR="000A0ACD" w:rsidRDefault="00362A99">
            <w:pPr>
              <w:adjustRightInd w:val="0"/>
              <w:snapToGrid w:val="0"/>
              <w:jc w:val="center"/>
              <w:rPr>
                <w:rFonts w:ascii="Times New Roman" w:hAnsi="Times New Roman" w:cs="Times New Roman"/>
                <w:color w:val="000000"/>
                <w:sz w:val="21"/>
                <w:szCs w:val="21"/>
                <w:lang w:val="en-GB"/>
              </w:rPr>
            </w:pPr>
            <w:r>
              <w:rPr>
                <w:rFonts w:ascii="Times New Roman" w:hAnsi="Times New Roman" w:cs="Times New Roman"/>
                <w:noProof/>
                <w:sz w:val="21"/>
                <w:szCs w:val="21"/>
              </w:rPr>
              <w:drawing>
                <wp:inline distT="0" distB="0" distL="0" distR="0" wp14:anchorId="52BFCECD" wp14:editId="236D647E">
                  <wp:extent cx="2190750" cy="1644650"/>
                  <wp:effectExtent l="0" t="0" r="0" b="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90750" cy="1644650"/>
                          </a:xfrm>
                          <a:prstGeom prst="rect">
                            <a:avLst/>
                          </a:prstGeom>
                          <a:noFill/>
                          <a:ln>
                            <a:noFill/>
                          </a:ln>
                        </pic:spPr>
                      </pic:pic>
                    </a:graphicData>
                  </a:graphic>
                </wp:inline>
              </w:drawing>
            </w:r>
          </w:p>
        </w:tc>
      </w:tr>
      <w:tr w:rsidR="000A0ACD" w14:paraId="4DABE77F" w14:textId="77777777">
        <w:trPr>
          <w:trHeight w:val="397"/>
          <w:jc w:val="center"/>
        </w:trPr>
        <w:tc>
          <w:tcPr>
            <w:tcW w:w="683" w:type="pct"/>
            <w:tcBorders>
              <w:top w:val="single" w:sz="4" w:space="0" w:color="auto"/>
              <w:left w:val="nil"/>
              <w:bottom w:val="single" w:sz="12" w:space="0" w:color="auto"/>
              <w:right w:val="single" w:sz="4" w:space="0" w:color="auto"/>
            </w:tcBorders>
            <w:vAlign w:val="center"/>
          </w:tcPr>
          <w:p w14:paraId="74E62FB4" w14:textId="77777777" w:rsidR="000A0ACD" w:rsidRDefault="00362A99">
            <w:pPr>
              <w:autoSpaceDE w:val="0"/>
              <w:autoSpaceDN w:val="0"/>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装箱码垛线项目</w:t>
            </w:r>
          </w:p>
        </w:tc>
        <w:tc>
          <w:tcPr>
            <w:tcW w:w="2032" w:type="pct"/>
            <w:tcBorders>
              <w:top w:val="single" w:sz="4" w:space="0" w:color="auto"/>
              <w:left w:val="single" w:sz="4" w:space="0" w:color="auto"/>
              <w:bottom w:val="single" w:sz="12" w:space="0" w:color="auto"/>
              <w:right w:val="single" w:sz="4" w:space="0" w:color="auto"/>
            </w:tcBorders>
            <w:vAlign w:val="center"/>
          </w:tcPr>
          <w:p w14:paraId="3DC10FBE" w14:textId="77777777" w:rsidR="000A0ACD" w:rsidRDefault="00362A99">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包含机器人集成装箱，机器人码垛，封箱打包，信息化扫码识别防差错，以及物流输送等设备。实现产品生产后段包装全自动化信息化生产与管理</w:t>
            </w:r>
          </w:p>
        </w:tc>
        <w:tc>
          <w:tcPr>
            <w:tcW w:w="2285" w:type="pct"/>
            <w:tcBorders>
              <w:top w:val="single" w:sz="4" w:space="0" w:color="auto"/>
              <w:left w:val="single" w:sz="4" w:space="0" w:color="auto"/>
              <w:bottom w:val="single" w:sz="12" w:space="0" w:color="auto"/>
              <w:right w:val="nil"/>
            </w:tcBorders>
            <w:vAlign w:val="center"/>
          </w:tcPr>
          <w:p w14:paraId="3285AF89" w14:textId="77777777" w:rsidR="000A0ACD" w:rsidRDefault="00362A99">
            <w:pPr>
              <w:adjustRightInd w:val="0"/>
              <w:snapToGrid w:val="0"/>
              <w:jc w:val="center"/>
              <w:rPr>
                <w:rFonts w:ascii="Times New Roman" w:hAnsi="Times New Roman" w:cs="Times New Roman"/>
                <w:color w:val="000000"/>
                <w:sz w:val="21"/>
                <w:szCs w:val="21"/>
                <w:lang w:val="en-GB"/>
              </w:rPr>
            </w:pPr>
            <w:r>
              <w:rPr>
                <w:rFonts w:ascii="Times New Roman" w:hAnsi="Times New Roman" w:cs="Times New Roman"/>
                <w:noProof/>
                <w:sz w:val="21"/>
                <w:szCs w:val="21"/>
              </w:rPr>
              <w:drawing>
                <wp:inline distT="0" distB="0" distL="0" distR="0" wp14:anchorId="36B4FD55" wp14:editId="58676B43">
                  <wp:extent cx="2235200" cy="1428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35200" cy="1428750"/>
                          </a:xfrm>
                          <a:prstGeom prst="rect">
                            <a:avLst/>
                          </a:prstGeom>
                          <a:noFill/>
                          <a:ln>
                            <a:noFill/>
                          </a:ln>
                        </pic:spPr>
                      </pic:pic>
                    </a:graphicData>
                  </a:graphic>
                </wp:inline>
              </w:drawing>
            </w:r>
          </w:p>
        </w:tc>
      </w:tr>
    </w:tbl>
    <w:p w14:paraId="56DCCCFA"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（三）测试系统集成</w:t>
      </w:r>
    </w:p>
    <w:p w14:paraId="6FB0647D" w14:textId="77777777" w:rsidR="000A0ACD" w:rsidRDefault="00362A99">
      <w:pPr>
        <w:spacing w:beforeLines="50" w:before="156" w:line="360" w:lineRule="auto"/>
        <w:jc w:val="center"/>
        <w:rPr>
          <w:rFonts w:ascii="Times New Roman" w:hAnsi="Times New Roman" w:cs="Times New Roman"/>
        </w:rPr>
      </w:pPr>
      <w:r>
        <w:rPr>
          <w:rFonts w:ascii="Times New Roman" w:hAnsi="Times New Roman" w:cs="Times New Roman"/>
          <w:noProof/>
          <w:color w:val="000000"/>
        </w:rPr>
        <w:drawing>
          <wp:inline distT="0" distB="0" distL="0" distR="0" wp14:anchorId="128ACAD3" wp14:editId="7193C030">
            <wp:extent cx="2381250" cy="1790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1790700"/>
                    </a:xfrm>
                    <a:prstGeom prst="rect">
                      <a:avLst/>
                    </a:prstGeom>
                    <a:noFill/>
                    <a:ln>
                      <a:noFill/>
                    </a:ln>
                  </pic:spPr>
                </pic:pic>
              </a:graphicData>
            </a:graphic>
          </wp:inline>
        </w:drawing>
      </w:r>
      <w:r>
        <w:rPr>
          <w:rFonts w:ascii="Times New Roman" w:hAnsi="Times New Roman" w:cs="Times New Roman"/>
          <w:color w:val="000000"/>
          <w:lang w:val="en-GB"/>
        </w:rPr>
        <w:t xml:space="preserve"> </w:t>
      </w:r>
      <w:r>
        <w:rPr>
          <w:rFonts w:ascii="Times New Roman" w:hAnsi="Times New Roman" w:cs="Times New Roman"/>
          <w:noProof/>
        </w:rPr>
        <w:drawing>
          <wp:inline distT="0" distB="0" distL="0" distR="0" wp14:anchorId="4C40F2D7" wp14:editId="72B0F041">
            <wp:extent cx="2520950" cy="1790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20950" cy="1790700"/>
                    </a:xfrm>
                    <a:prstGeom prst="rect">
                      <a:avLst/>
                    </a:prstGeom>
                    <a:noFill/>
                    <a:ln>
                      <a:noFill/>
                    </a:ln>
                  </pic:spPr>
                </pic:pic>
              </a:graphicData>
            </a:graphic>
          </wp:inline>
        </w:drawing>
      </w:r>
    </w:p>
    <w:p w14:paraId="5D0C0F29"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在测试系统集成领域，</w:t>
      </w: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致力于</w:t>
      </w:r>
      <w:r>
        <w:rPr>
          <w:rFonts w:ascii="Times New Roman" w:hAnsi="Times New Roman" w:cs="Times New Roman" w:hint="eastAsia"/>
          <w:bCs/>
          <w:color w:val="000000"/>
          <w:szCs w:val="21"/>
          <w:lang w:val="en-GB"/>
        </w:rPr>
        <w:t>PCBA</w:t>
      </w:r>
      <w:r>
        <w:rPr>
          <w:rFonts w:ascii="Times New Roman" w:hAnsi="Times New Roman" w:cs="Times New Roman" w:hint="eastAsia"/>
          <w:bCs/>
          <w:color w:val="000000"/>
          <w:szCs w:val="21"/>
          <w:lang w:val="en-GB"/>
        </w:rPr>
        <w:t>自动测试设备的研发，报告期内主要产品为电控板</w:t>
      </w:r>
      <w:r>
        <w:rPr>
          <w:rFonts w:ascii="Times New Roman" w:hAnsi="Times New Roman" w:cs="Times New Roman" w:hint="eastAsia"/>
          <w:bCs/>
          <w:color w:val="000000"/>
          <w:szCs w:val="21"/>
          <w:lang w:val="en-GB"/>
        </w:rPr>
        <w:t>ICT+FCT</w:t>
      </w:r>
      <w:r>
        <w:rPr>
          <w:rFonts w:ascii="Times New Roman" w:hAnsi="Times New Roman" w:cs="Times New Roman" w:hint="eastAsia"/>
          <w:bCs/>
          <w:color w:val="000000"/>
          <w:szCs w:val="21"/>
          <w:lang w:val="en-GB"/>
        </w:rPr>
        <w:t>自动测试线。该产品综合了机器人自动上下料技术、机器人视觉校正技术，高速数字信号采集、模拟信号采集、计算机图像分析技术和数据库技术等，可以替代传统的人眼检测，实现对电控板功能和性能的全自动测试，消除人为因素，保证产品质量的稳定性。</w:t>
      </w:r>
    </w:p>
    <w:p w14:paraId="32AE8C8F"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（四）机器视觉系统</w:t>
      </w:r>
    </w:p>
    <w:p w14:paraId="6D531CAB" w14:textId="77777777" w:rsidR="000A0ACD" w:rsidRDefault="00362A99">
      <w:pPr>
        <w:autoSpaceDE w:val="0"/>
        <w:autoSpaceDN w:val="0"/>
        <w:adjustRightInd w:val="0"/>
        <w:snapToGrid w:val="0"/>
        <w:spacing w:beforeLines="50" w:before="156" w:line="360" w:lineRule="auto"/>
        <w:jc w:val="center"/>
        <w:rPr>
          <w:rFonts w:ascii="Times New Roman" w:hAnsi="Times New Roman" w:cs="Times New Roman"/>
          <w:b/>
          <w:bCs/>
          <w:color w:val="000000"/>
        </w:rPr>
      </w:pPr>
      <w:r>
        <w:rPr>
          <w:rFonts w:ascii="Times New Roman" w:hAnsi="Times New Roman" w:cs="Times New Roman"/>
          <w:noProof/>
        </w:rPr>
        <w:drawing>
          <wp:inline distT="0" distB="0" distL="0" distR="0" wp14:anchorId="08FDD8C4" wp14:editId="0D718117">
            <wp:extent cx="4057650" cy="2419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57650" cy="2419350"/>
                    </a:xfrm>
                    <a:prstGeom prst="rect">
                      <a:avLst/>
                    </a:prstGeom>
                    <a:noFill/>
                    <a:ln>
                      <a:noFill/>
                    </a:ln>
                  </pic:spPr>
                </pic:pic>
              </a:graphicData>
            </a:graphic>
          </wp:inline>
        </w:drawing>
      </w:r>
    </w:p>
    <w:p w14:paraId="287FBA58"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机器视觉即利用机器替代人眼进行测量和判断，机器视觉技术是一门涉及人工智能、计算机科学、图像处理、模式识别等诸多领域的交叉学科，主要用计算机软件来模拟人的视觉功能，从客观事物的图像中提取信息，进行梳理并最终用于实际检测、测量和控制。机器视觉系统主要由图像的获取、图像的处理和分析、输出或显示三部分组成。北洋天青的机器视觉系统目前主要与测试系统相结合，可以实现高精度的机器视觉定位、高速精准条码读取以及针对产品外观尺寸、产品质量等方面的智能化视觉检测，提高生产的柔性和自动化程度。</w:t>
      </w:r>
    </w:p>
    <w:p w14:paraId="471C7CF0"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机器视觉自动化设备可以持续性地进行重复性工作，在一些不适合人工作业的危险工作环境或人工视觉难以满足要求的场合下，都可以用机器视觉替代人工视觉。</w:t>
      </w:r>
    </w:p>
    <w:p w14:paraId="2AF1DB28"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（五）模具立体库自动换模系统</w:t>
      </w:r>
    </w:p>
    <w:p w14:paraId="1B714A73" w14:textId="77777777" w:rsidR="000A0ACD" w:rsidRDefault="00362A99">
      <w:pPr>
        <w:autoSpaceDE w:val="0"/>
        <w:autoSpaceDN w:val="0"/>
        <w:adjustRightInd w:val="0"/>
        <w:snapToGrid w:val="0"/>
        <w:spacing w:beforeLines="50" w:before="156" w:line="360" w:lineRule="auto"/>
        <w:jc w:val="center"/>
        <w:rPr>
          <w:rFonts w:ascii="Times New Roman" w:hAnsi="Times New Roman" w:cs="Times New Roman"/>
          <w:b/>
          <w:bCs/>
          <w:color w:val="000000"/>
        </w:rPr>
      </w:pPr>
      <w:r>
        <w:rPr>
          <w:rFonts w:ascii="Times New Roman" w:hAnsi="Times New Roman" w:cs="Times New Roman"/>
          <w:noProof/>
        </w:rPr>
        <w:drawing>
          <wp:inline distT="0" distB="0" distL="0" distR="0" wp14:anchorId="5672176F" wp14:editId="71F9F37C">
            <wp:extent cx="4191000" cy="2190750"/>
            <wp:effectExtent l="0" t="0" r="0" b="0"/>
            <wp:docPr id="6" name="图片 6" descr="IMG_20180111_09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80111_0903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91000" cy="2190750"/>
                    </a:xfrm>
                    <a:prstGeom prst="rect">
                      <a:avLst/>
                    </a:prstGeom>
                    <a:noFill/>
                    <a:ln>
                      <a:noFill/>
                    </a:ln>
                  </pic:spPr>
                </pic:pic>
              </a:graphicData>
            </a:graphic>
          </wp:inline>
        </w:drawing>
      </w:r>
    </w:p>
    <w:p w14:paraId="6441EB1A"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模具立体库自动换模系统结合了自动换模技术、立体库技术和信息化技术，该系统主要集成设备有换模车、模具转运台车、旋转台车、推拉机构、过渡台、压机过渡架组件、锁夹模系统、模具立体库及重型堆垛机等。该系统可以完成行业注塑模及冲压模等模具的存放、调度和自动更换，可以根据产品定义相关模具更换配方从而实现一键快速换模功能，解决模具存放与更换难、耗时长、换模困难、效率低等问题，减轻工人劳动强度，提高生产效率。</w:t>
      </w:r>
    </w:p>
    <w:p w14:paraId="4FE52FAB"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（六）物流悬挂输送系统</w:t>
      </w:r>
    </w:p>
    <w:p w14:paraId="26628A31" w14:textId="77777777" w:rsidR="000A0ACD" w:rsidRDefault="00362A99">
      <w:pPr>
        <w:autoSpaceDE w:val="0"/>
        <w:autoSpaceDN w:val="0"/>
        <w:adjustRightInd w:val="0"/>
        <w:snapToGrid w:val="0"/>
        <w:spacing w:beforeLines="50" w:before="156" w:line="360" w:lineRule="auto"/>
        <w:jc w:val="center"/>
        <w:rPr>
          <w:rFonts w:ascii="Times New Roman" w:hAnsi="Times New Roman" w:cs="Times New Roman"/>
          <w:b/>
          <w:bCs/>
          <w:color w:val="000000"/>
        </w:rPr>
      </w:pPr>
      <w:r>
        <w:rPr>
          <w:rFonts w:ascii="Times New Roman" w:hAnsi="Times New Roman" w:cs="Times New Roman"/>
          <w:noProof/>
        </w:rPr>
        <w:drawing>
          <wp:inline distT="0" distB="0" distL="0" distR="0" wp14:anchorId="1CFEC70C" wp14:editId="7526D985">
            <wp:extent cx="2476500" cy="2063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76500" cy="206375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6E73AC10" wp14:editId="669CDF9D">
            <wp:extent cx="2247900" cy="2063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47900" cy="2063750"/>
                    </a:xfrm>
                    <a:prstGeom prst="rect">
                      <a:avLst/>
                    </a:prstGeom>
                    <a:noFill/>
                    <a:ln>
                      <a:noFill/>
                    </a:ln>
                  </pic:spPr>
                </pic:pic>
              </a:graphicData>
            </a:graphic>
          </wp:inline>
        </w:drawing>
      </w:r>
    </w:p>
    <w:p w14:paraId="2D5C2FD3"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物流悬挂输送系统是高速悬挂输送线与信息化结合的智能配送系统，目前北洋天青主要推动的是一种新型的摩擦杆驱动悬挂输送设备，适合家电业的高速悬挂输送集成应用系统能够解决家电业组装零部件物流搬运困难问题。该系统结合信息化技术，做到物料的分类寄存；自动匹配主线产品调度对应物料，做到智能化调度匹配生产。该系统的应用能够实现智能化互联工厂并解决传统货架或工装车寄存物料导致寄存调度困难、搬运及线边存放混乱、组装寻找匹配困难等问题，从而提高现场生产效率、改善企业生产环境。</w:t>
      </w:r>
    </w:p>
    <w:p w14:paraId="44A38A1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北洋天青致力于物流悬挂输送系统中摩擦板自动配送设备的研发及推广应用。目前主要产品为摩擦杆悬挂链，该产品综合了</w:t>
      </w:r>
      <w:r>
        <w:rPr>
          <w:rFonts w:ascii="Times New Roman" w:hAnsi="Times New Roman" w:cs="Times New Roman" w:hint="eastAsia"/>
          <w:bCs/>
          <w:color w:val="000000"/>
          <w:szCs w:val="21"/>
          <w:lang w:val="en-GB"/>
        </w:rPr>
        <w:t>RFID</w:t>
      </w:r>
      <w:r>
        <w:rPr>
          <w:rFonts w:ascii="Times New Roman" w:hAnsi="Times New Roman" w:cs="Times New Roman" w:hint="eastAsia"/>
          <w:bCs/>
          <w:color w:val="000000"/>
          <w:szCs w:val="21"/>
          <w:lang w:val="en-GB"/>
        </w:rPr>
        <w:t>无线射频技术、高洁净度输送技术、高速数字信号采集、物流仓储、高速分拣、计算机</w:t>
      </w:r>
      <w:r>
        <w:rPr>
          <w:rFonts w:ascii="Times New Roman" w:hAnsi="Times New Roman" w:cs="Times New Roman" w:hint="eastAsia"/>
          <w:bCs/>
          <w:color w:val="000000"/>
          <w:szCs w:val="21"/>
          <w:lang w:val="en-GB"/>
        </w:rPr>
        <w:t>WMS</w:t>
      </w:r>
      <w:r>
        <w:rPr>
          <w:rFonts w:ascii="Times New Roman" w:hAnsi="Times New Roman" w:cs="Times New Roman" w:hint="eastAsia"/>
          <w:bCs/>
          <w:color w:val="000000"/>
          <w:szCs w:val="21"/>
          <w:lang w:val="en-GB"/>
        </w:rPr>
        <w:t>和</w:t>
      </w:r>
      <w:r>
        <w:rPr>
          <w:rFonts w:ascii="Times New Roman" w:hAnsi="Times New Roman" w:cs="Times New Roman" w:hint="eastAsia"/>
          <w:bCs/>
          <w:color w:val="000000"/>
          <w:szCs w:val="21"/>
          <w:lang w:val="en-GB"/>
        </w:rPr>
        <w:t>WCS</w:t>
      </w:r>
      <w:r>
        <w:rPr>
          <w:rFonts w:ascii="Times New Roman" w:hAnsi="Times New Roman" w:cs="Times New Roman" w:hint="eastAsia"/>
          <w:bCs/>
          <w:color w:val="000000"/>
          <w:szCs w:val="21"/>
          <w:lang w:val="en-GB"/>
        </w:rPr>
        <w:t>系统等信息化技术，可替代传统的人工搬运、工装车存储、手工分拣等功能，能实现对物料的智能化存储、分拣、输送，能匹配物料信息、实现智能化生产。该产品的应用可消除人为因素，保证产品质量的稳定性，大批量解放劳动力，释放出地面空间。</w:t>
      </w:r>
    </w:p>
    <w:p w14:paraId="50F494E7"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（七）企业信息化系统</w:t>
      </w:r>
    </w:p>
    <w:p w14:paraId="52013CE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报告期内，北洋天青自主研发、销售的企业信息化系统主要为</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系统，即制造执行系统。该系统是一套面向制造企业车间执行层的生产信息化管理系统，可以起到计划层和控制层的中间桥梁作用。</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系统以物联网、计划调度技术为核心，通过为客户提供计划排程管理、生产调度管理、生产过程控制、工具设备管理、质量管理、底层数据集成分析、上层数据集成分解等管理模块，实现生产车间制造的智能化和信息化管控，如：生产任务自动生成下达、设备监控、品质信息采集分析等。</w:t>
      </w:r>
    </w:p>
    <w:p w14:paraId="14897136"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北洋天青根据国际</w:t>
      </w:r>
      <w:r>
        <w:rPr>
          <w:rFonts w:ascii="Times New Roman" w:hAnsi="Times New Roman" w:cs="Times New Roman" w:hint="eastAsia"/>
          <w:bCs/>
          <w:color w:val="000000"/>
          <w:szCs w:val="21"/>
          <w:lang w:val="en-GB"/>
        </w:rPr>
        <w:t>MESA</w:t>
      </w:r>
      <w:r>
        <w:rPr>
          <w:rFonts w:ascii="Times New Roman" w:hAnsi="Times New Roman" w:cs="Times New Roman" w:hint="eastAsia"/>
          <w:bCs/>
          <w:color w:val="000000"/>
          <w:szCs w:val="21"/>
          <w:lang w:val="en-GB"/>
        </w:rPr>
        <w:t>标准组织化的对于</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的功能定义，参考</w:t>
      </w:r>
      <w:r>
        <w:rPr>
          <w:rFonts w:ascii="Times New Roman" w:hAnsi="Times New Roman" w:cs="Times New Roman" w:hint="eastAsia"/>
          <w:bCs/>
          <w:color w:val="000000"/>
          <w:szCs w:val="21"/>
          <w:lang w:val="en-GB"/>
        </w:rPr>
        <w:t>S95</w:t>
      </w:r>
      <w:r>
        <w:rPr>
          <w:rFonts w:ascii="Times New Roman" w:hAnsi="Times New Roman" w:cs="Times New Roman" w:hint="eastAsia"/>
          <w:bCs/>
          <w:color w:val="000000"/>
          <w:szCs w:val="21"/>
          <w:lang w:val="en-GB"/>
        </w:rPr>
        <w:t>和</w:t>
      </w:r>
      <w:r>
        <w:rPr>
          <w:rFonts w:ascii="Times New Roman" w:hAnsi="Times New Roman" w:cs="Times New Roman" w:hint="eastAsia"/>
          <w:bCs/>
          <w:color w:val="000000"/>
          <w:szCs w:val="21"/>
          <w:lang w:val="en-GB"/>
        </w:rPr>
        <w:t>S88</w:t>
      </w:r>
      <w:r>
        <w:rPr>
          <w:rFonts w:ascii="Times New Roman" w:hAnsi="Times New Roman" w:cs="Times New Roman" w:hint="eastAsia"/>
          <w:bCs/>
          <w:color w:val="000000"/>
          <w:szCs w:val="21"/>
          <w:lang w:val="en-GB"/>
        </w:rPr>
        <w:t>标准自主开发流程行业、离散行业的制造执行系统，积累了丰富的</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客制化经验和现场部署实施经验，目前该系统已成功应用在多个行业。</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在产品从工单到制成品的过程中，扮演一个促进生产活动最佳化的资讯传送者。当生产事件发生时，</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借着所收集的即时资讯，做出快速的反应，以减少无附加价值的生产活动，进而提升工厂的生产效率。</w:t>
      </w:r>
    </w:p>
    <w:p w14:paraId="77C8E68D" w14:textId="77777777" w:rsidR="000A0ACD" w:rsidRDefault="00362A99">
      <w:pPr>
        <w:autoSpaceDE w:val="0"/>
        <w:autoSpaceDN w:val="0"/>
        <w:adjustRightInd w:val="0"/>
        <w:snapToGrid w:val="0"/>
        <w:spacing w:beforeLines="50" w:before="156" w:line="360" w:lineRule="auto"/>
        <w:jc w:val="center"/>
        <w:rPr>
          <w:rFonts w:ascii="Times New Roman" w:hAnsi="Times New Roman" w:cs="Times New Roman"/>
          <w:color w:val="000000"/>
        </w:rPr>
      </w:pPr>
      <w:r>
        <w:rPr>
          <w:rFonts w:ascii="Times New Roman" w:hAnsi="Times New Roman" w:cs="Times New Roman"/>
          <w:noProof/>
        </w:rPr>
        <w:drawing>
          <wp:inline distT="0" distB="0" distL="0" distR="0" wp14:anchorId="2B3B8957" wp14:editId="26109963">
            <wp:extent cx="5105400" cy="1422400"/>
            <wp:effectExtent l="0" t="0" r="0" b="6350"/>
            <wp:docPr id="3" name="图片 3" descr="510519aff40044ff4e29955701ea7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0519aff40044ff4e29955701ea70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05400" cy="1422400"/>
                    </a:xfrm>
                    <a:prstGeom prst="rect">
                      <a:avLst/>
                    </a:prstGeom>
                    <a:noFill/>
                    <a:ln>
                      <a:noFill/>
                    </a:ln>
                  </pic:spPr>
                </pic:pic>
              </a:graphicData>
            </a:graphic>
          </wp:inline>
        </w:drawing>
      </w:r>
    </w:p>
    <w:p w14:paraId="7141A96E"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（八）主营业务流程图</w:t>
      </w:r>
    </w:p>
    <w:p w14:paraId="7F0DC4B0"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的主营产品属于非标自动化设备，定制化要求较高，需要按照客户不同的工艺要求及合同要求分别进行研发、设计、制造和系统集成，因此主要采用“以销定产”的订单生产模式，依据与客户签署合同的具体要求，制定计划并组织生产。</w:t>
      </w: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的业务部门对项目进行筛选及投标，规划部门负责项目技术方案及成本核价，项目管理部负责接入的订单在各设计、采购、生产和安装以及售后等主要环节的管控。北洋天青主营业务流程图如下：</w:t>
      </w:r>
    </w:p>
    <w:p w14:paraId="4E3F8B26" w14:textId="77777777" w:rsidR="000A0ACD" w:rsidRDefault="00362A99">
      <w:pPr>
        <w:spacing w:beforeLines="50" w:before="156" w:line="360" w:lineRule="auto"/>
        <w:jc w:val="center"/>
        <w:rPr>
          <w:rFonts w:ascii="Times New Roman" w:hAnsi="Times New Roman" w:cs="Times New Roman"/>
        </w:rPr>
      </w:pPr>
      <w:r>
        <w:rPr>
          <w:rFonts w:ascii="Times New Roman" w:hAnsi="Times New Roman" w:cs="Times New Roman"/>
          <w:noProof/>
        </w:rPr>
        <w:drawing>
          <wp:inline distT="0" distB="0" distL="0" distR="0" wp14:anchorId="65D92914" wp14:editId="5709D45B">
            <wp:extent cx="3073400" cy="8813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073400" cy="8813800"/>
                    </a:xfrm>
                    <a:prstGeom prst="rect">
                      <a:avLst/>
                    </a:prstGeom>
                    <a:noFill/>
                    <a:ln>
                      <a:noFill/>
                    </a:ln>
                  </pic:spPr>
                </pic:pic>
              </a:graphicData>
            </a:graphic>
          </wp:inline>
        </w:drawing>
      </w:r>
    </w:p>
    <w:p w14:paraId="76CA0A57"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三、业务模式</w:t>
      </w:r>
    </w:p>
    <w:p w14:paraId="3FFBAE22"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bookmarkStart w:id="15" w:name="_Hlk49790671"/>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业务属于工业自动化行业，符合《中国制造</w:t>
      </w:r>
      <w:r>
        <w:rPr>
          <w:rFonts w:ascii="Times New Roman" w:hAnsi="Times New Roman" w:cs="Times New Roman" w:hint="eastAsia"/>
          <w:bCs/>
          <w:color w:val="000000"/>
          <w:szCs w:val="21"/>
          <w:lang w:val="en-GB"/>
        </w:rPr>
        <w:t>2025</w:t>
      </w:r>
      <w:r>
        <w:rPr>
          <w:rFonts w:ascii="Times New Roman" w:hAnsi="Times New Roman" w:cs="Times New Roman" w:hint="eastAsia"/>
          <w:bCs/>
          <w:color w:val="000000"/>
          <w:szCs w:val="21"/>
          <w:lang w:val="en-GB"/>
        </w:rPr>
        <w:t>》的政策导向，报告期内主要通过为客户提供工业智能化、信息化的产品及生产线智能化建设、升级和改造与数字化生产线的整体解决方案，并配套完善的售后服务和技术支持，来获取相应的收益和利润。</w:t>
      </w:r>
    </w:p>
    <w:p w14:paraId="35541203"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一直以来</w:t>
      </w: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都注重自身研发能力的提升，拥有独立的研发机构和专业的研发团队，已获得专利</w:t>
      </w:r>
      <w:r>
        <w:rPr>
          <w:rFonts w:ascii="Times New Roman" w:hAnsi="Times New Roman" w:cs="Times New Roman" w:hint="eastAsia"/>
          <w:bCs/>
          <w:color w:val="000000"/>
          <w:szCs w:val="21"/>
          <w:lang w:val="en-GB"/>
        </w:rPr>
        <w:t>3</w:t>
      </w:r>
      <w:r>
        <w:rPr>
          <w:rFonts w:ascii="Times New Roman" w:hAnsi="Times New Roman" w:cs="Times New Roman" w:hint="eastAsia"/>
          <w:bCs/>
          <w:color w:val="000000"/>
          <w:szCs w:val="21"/>
          <w:lang w:val="en-GB"/>
        </w:rPr>
        <w:t>项以及软件著作权</w:t>
      </w:r>
      <w:r>
        <w:rPr>
          <w:rFonts w:ascii="Times New Roman" w:hAnsi="Times New Roman" w:cs="Times New Roman" w:hint="eastAsia"/>
          <w:bCs/>
          <w:color w:val="000000"/>
          <w:szCs w:val="21"/>
          <w:lang w:val="en-GB"/>
        </w:rPr>
        <w:t>8</w:t>
      </w:r>
      <w:r>
        <w:rPr>
          <w:rFonts w:ascii="Times New Roman" w:hAnsi="Times New Roman" w:cs="Times New Roman" w:hint="eastAsia"/>
          <w:bCs/>
          <w:color w:val="000000"/>
          <w:szCs w:val="21"/>
          <w:lang w:val="en-GB"/>
        </w:rPr>
        <w:t>项。</w:t>
      </w: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主要面向澳柯玛、海信、海尔等集团公司，以及瑞智（青岛）精密机电有限公司等有自动化、智能化、信息化需求的生产制造型企业，采取直销的销售模式开拓市场，主要通过参与下游客户招标的方式获取业务订单。</w:t>
      </w:r>
    </w:p>
    <w:p w14:paraId="7543D7C0"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（一）采购模式</w:t>
      </w:r>
    </w:p>
    <w:p w14:paraId="46B8D8B6"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采购部依据订单、生产计划以及仓库储存量确定采购进程，编制物料请购单，明确所需采购的物料名称、数量、材质、品牌、规格型号等方面的要求，报总经理审批通过后进行采购。北洋天青制定了合格供应商评审制度，依据采购物资类别及技术条件确定合格供应商。对于重大的采购物资，采购部会联合需求部门、技术部、质量部对供应商进行实地考察并筛选。北洋天青会与选定的合格供应商建立战略合作，同时始终保持拥有两家较为稳定的供应商，以确保货源和价格的稳定。</w:t>
      </w:r>
      <w:bookmarkEnd w:id="15"/>
    </w:p>
    <w:p w14:paraId="3C5E909D"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bidi="ar"/>
        </w:rPr>
      </w:pPr>
      <w:bookmarkStart w:id="16" w:name="_Hlk49790710"/>
      <w:r>
        <w:rPr>
          <w:rFonts w:ascii="Times New Roman" w:hAnsi="Times New Roman" w:cs="Times New Roman" w:hint="eastAsia"/>
          <w:b/>
          <w:color w:val="000000"/>
          <w:lang w:bidi="ar"/>
        </w:rPr>
        <w:t>（二）销售模式</w:t>
      </w:r>
    </w:p>
    <w:p w14:paraId="12DEB05A"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采用直销的销售模式开拓市场，由北洋天青营销团队通过网站宣传、参加展会和论坛、自主开发等多种营销渠道寻找并发掘客户，收集客户产品需求信息。北洋天青的产品为按照客户需求进行量身定做的非标自动化设备，因此需要紧密联系下游客户的设备部门和技术改造部门，深度了解客户工艺流程和技术改造诉求后，为客户制定个性化的工业自动化解决方案。北洋天青主要通过参与下游客户的招投标获取订单。</w:t>
      </w:r>
      <w:bookmarkEnd w:id="16"/>
    </w:p>
    <w:p w14:paraId="042033F5"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bidi="ar"/>
        </w:rPr>
      </w:pPr>
      <w:bookmarkStart w:id="17" w:name="_Hlk49790724"/>
      <w:r>
        <w:rPr>
          <w:rFonts w:ascii="Times New Roman" w:hAnsi="Times New Roman" w:cs="Times New Roman" w:hint="eastAsia"/>
          <w:b/>
          <w:color w:val="000000"/>
          <w:lang w:bidi="ar"/>
        </w:rPr>
        <w:t>（三）结算模式</w:t>
      </w:r>
    </w:p>
    <w:p w14:paraId="6275E783" w14:textId="18DDB8C4"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北洋天青主要按电子银承，电汇等方式进行结算，按照合同约定的结算时间和比例进行结算，主要采用</w:t>
      </w:r>
      <w:r>
        <w:rPr>
          <w:rFonts w:ascii="Times New Roman" w:hAnsi="Times New Roman" w:cs="Times New Roman"/>
          <w:color w:val="000000"/>
          <w:szCs w:val="21"/>
          <w:lang w:val="en-GB"/>
        </w:rPr>
        <w:t>3-3-3-1</w:t>
      </w:r>
      <w:r>
        <w:rPr>
          <w:rFonts w:ascii="Times New Roman" w:hAnsi="Times New Roman" w:cs="Times New Roman" w:hint="eastAsia"/>
          <w:color w:val="000000"/>
          <w:szCs w:val="21"/>
          <w:lang w:val="en-GB"/>
        </w:rPr>
        <w:t>进行销售合同结算，即</w:t>
      </w:r>
      <w:r>
        <w:rPr>
          <w:rFonts w:ascii="Times New Roman" w:hAnsi="Times New Roman" w:cs="Times New Roman"/>
          <w:color w:val="000000"/>
          <w:szCs w:val="21"/>
          <w:lang w:val="en-GB"/>
        </w:rPr>
        <w:t>30%</w:t>
      </w:r>
      <w:r>
        <w:rPr>
          <w:rFonts w:ascii="Times New Roman" w:hAnsi="Times New Roman" w:cs="Times New Roman" w:hint="eastAsia"/>
          <w:color w:val="000000"/>
          <w:szCs w:val="21"/>
          <w:lang w:val="en-GB"/>
        </w:rPr>
        <w:t>预付款，</w:t>
      </w:r>
      <w:r>
        <w:rPr>
          <w:rFonts w:ascii="Times New Roman" w:hAnsi="Times New Roman" w:cs="Times New Roman"/>
          <w:color w:val="000000"/>
          <w:szCs w:val="21"/>
          <w:lang w:val="en-GB"/>
        </w:rPr>
        <w:t>30%</w:t>
      </w:r>
      <w:r>
        <w:rPr>
          <w:rFonts w:ascii="Times New Roman" w:hAnsi="Times New Roman" w:cs="Times New Roman" w:hint="eastAsia"/>
          <w:color w:val="000000"/>
          <w:szCs w:val="21"/>
          <w:lang w:val="en-GB"/>
        </w:rPr>
        <w:t>发货款，</w:t>
      </w:r>
      <w:r>
        <w:rPr>
          <w:rFonts w:ascii="Times New Roman" w:hAnsi="Times New Roman" w:cs="Times New Roman"/>
          <w:color w:val="000000"/>
          <w:szCs w:val="21"/>
          <w:lang w:val="en-GB"/>
        </w:rPr>
        <w:t>30%</w:t>
      </w:r>
      <w:r>
        <w:rPr>
          <w:rFonts w:ascii="Times New Roman" w:hAnsi="Times New Roman" w:cs="Times New Roman" w:hint="eastAsia"/>
          <w:color w:val="000000"/>
          <w:szCs w:val="21"/>
          <w:lang w:val="en-GB"/>
        </w:rPr>
        <w:t>验收款及</w:t>
      </w:r>
      <w:r>
        <w:rPr>
          <w:rFonts w:ascii="Times New Roman" w:hAnsi="Times New Roman" w:cs="Times New Roman"/>
          <w:color w:val="000000"/>
          <w:szCs w:val="21"/>
          <w:lang w:val="en-GB"/>
        </w:rPr>
        <w:t>10%</w:t>
      </w:r>
      <w:r>
        <w:rPr>
          <w:rFonts w:ascii="Times New Roman" w:hAnsi="Times New Roman" w:cs="Times New Roman" w:hint="eastAsia"/>
          <w:color w:val="000000"/>
          <w:szCs w:val="21"/>
          <w:lang w:val="en-GB"/>
        </w:rPr>
        <w:t>质保款，与供应商之间主要采用月结或者季度结算模式，一般签订背靠背的付款和质保合同。</w:t>
      </w:r>
      <w:bookmarkEnd w:id="17"/>
    </w:p>
    <w:p w14:paraId="603F7E8E"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bidi="ar"/>
        </w:rPr>
      </w:pPr>
      <w:bookmarkStart w:id="18" w:name="_Hlk49790732"/>
      <w:r>
        <w:rPr>
          <w:rFonts w:ascii="Times New Roman" w:hAnsi="Times New Roman" w:cs="Times New Roman" w:hint="eastAsia"/>
          <w:b/>
          <w:color w:val="000000"/>
          <w:lang w:bidi="ar"/>
        </w:rPr>
        <w:t>（四）生产模式</w:t>
      </w:r>
    </w:p>
    <w:p w14:paraId="7EE6F1FD"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北洋天青的生产部门根据接入的订单情况，及项目经理排定的一级项目计划中的生产相关节点，制定本部门的生产实施二级计划来进行项目的排产、组装和现场安装，质量部负责在各主要环节把控产品质量与检测</w:t>
      </w:r>
      <w:bookmarkEnd w:id="18"/>
      <w:r>
        <w:rPr>
          <w:rFonts w:ascii="Times New Roman" w:hAnsi="Times New Roman" w:cs="Times New Roman" w:hint="eastAsia"/>
          <w:color w:val="000000"/>
          <w:szCs w:val="21"/>
          <w:lang w:val="en-GB"/>
        </w:rPr>
        <w:t>。</w:t>
      </w:r>
    </w:p>
    <w:p w14:paraId="7CDE6008"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（五）研发模式</w:t>
      </w:r>
    </w:p>
    <w:p w14:paraId="7A170D1C"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北洋天青拥有独立的研发机构和研发团队，采取自主研发的模式。北洋天青研发的项目主要基于业务规划部提供的市场调研信息和客户信息。北洋天青已获得专利</w:t>
      </w:r>
      <w:r>
        <w:rPr>
          <w:rFonts w:ascii="Times New Roman" w:hAnsi="Times New Roman" w:cs="Times New Roman"/>
          <w:color w:val="000000"/>
          <w:szCs w:val="21"/>
          <w:lang w:val="en-GB"/>
        </w:rPr>
        <w:t>3</w:t>
      </w:r>
      <w:r>
        <w:rPr>
          <w:rFonts w:ascii="Times New Roman" w:hAnsi="Times New Roman" w:cs="Times New Roman" w:hint="eastAsia"/>
          <w:color w:val="000000"/>
          <w:szCs w:val="21"/>
          <w:lang w:val="en-GB"/>
        </w:rPr>
        <w:t>项以及软件著作权</w:t>
      </w:r>
      <w:r>
        <w:rPr>
          <w:rFonts w:ascii="Times New Roman" w:hAnsi="Times New Roman" w:cs="Times New Roman"/>
          <w:color w:val="000000"/>
          <w:szCs w:val="21"/>
          <w:lang w:val="en-GB"/>
        </w:rPr>
        <w:t>8</w:t>
      </w:r>
      <w:r>
        <w:rPr>
          <w:rFonts w:ascii="Times New Roman" w:hAnsi="Times New Roman" w:cs="Times New Roman" w:hint="eastAsia"/>
          <w:color w:val="000000"/>
          <w:szCs w:val="21"/>
          <w:lang w:val="en-GB"/>
        </w:rPr>
        <w:t>项，同时正在申请的专利有</w:t>
      </w:r>
      <w:r>
        <w:rPr>
          <w:rFonts w:ascii="Times New Roman" w:hAnsi="Times New Roman" w:cs="Times New Roman"/>
          <w:color w:val="000000"/>
          <w:szCs w:val="21"/>
          <w:lang w:val="en-GB"/>
        </w:rPr>
        <w:t>20</w:t>
      </w:r>
      <w:r>
        <w:rPr>
          <w:rFonts w:ascii="Times New Roman" w:hAnsi="Times New Roman" w:cs="Times New Roman" w:hint="eastAsia"/>
          <w:color w:val="000000"/>
          <w:szCs w:val="21"/>
          <w:lang w:val="en-GB"/>
        </w:rPr>
        <w:t>项。</w:t>
      </w:r>
    </w:p>
    <w:p w14:paraId="615EF543"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四、补充披露情况</w:t>
      </w:r>
    </w:p>
    <w:p w14:paraId="12F4028E" w14:textId="77777777" w:rsidR="000A0ACD" w:rsidRDefault="00362A99">
      <w:pPr>
        <w:pStyle w:val="affffd"/>
        <w:spacing w:before="156"/>
        <w:ind w:firstLine="480"/>
        <w:rPr>
          <w:bCs/>
          <w:lang w:val="en-GB"/>
        </w:rPr>
      </w:pPr>
      <w:r>
        <w:rPr>
          <w:rFonts w:hint="eastAsia"/>
        </w:rPr>
        <w:t>上述内容已在“第四节</w:t>
      </w:r>
      <w:r>
        <w:t xml:space="preserve"> </w:t>
      </w:r>
      <w:r>
        <w:rPr>
          <w:rFonts w:hint="eastAsia"/>
        </w:rPr>
        <w:t>交易标的基本情况”之“五、主营业务发展情况”中补充披露。</w:t>
      </w:r>
    </w:p>
    <w:p w14:paraId="3612B4B0" w14:textId="77777777" w:rsidR="000A0ACD" w:rsidRDefault="00362A99">
      <w:pPr>
        <w:spacing w:beforeLines="50" w:before="156" w:line="360" w:lineRule="auto"/>
        <w:ind w:firstLineChars="200" w:firstLine="482"/>
        <w:jc w:val="both"/>
        <w:outlineLvl w:val="1"/>
        <w:rPr>
          <w:rFonts w:ascii="Times New Roman" w:hAnsi="Times New Roman" w:cs="Times New Roman"/>
          <w:b/>
          <w:color w:val="000000"/>
          <w:szCs w:val="21"/>
        </w:rPr>
      </w:pPr>
      <w:r>
        <w:rPr>
          <w:rFonts w:ascii="Times New Roman" w:hAnsi="Times New Roman" w:cs="Times New Roman" w:hint="eastAsia"/>
          <w:b/>
          <w:color w:val="000000"/>
          <w:szCs w:val="21"/>
        </w:rPr>
        <w:t>2</w:t>
      </w:r>
      <w:r>
        <w:rPr>
          <w:rFonts w:ascii="Times New Roman" w:hAnsi="Times New Roman" w:cs="Times New Roman" w:hint="eastAsia"/>
          <w:b/>
          <w:color w:val="000000"/>
          <w:szCs w:val="21"/>
        </w:rPr>
        <w:t>）结合北洋天青与主要客户合作期限、合同主要内容、续期条件，新客户拓展情况及相关约定等，补充披露北洋天青与主要客户合作的稳定性及可持续性，是否存在流失现有客户或无法拓展新客户的风险，对其经营稳定性和持续盈利能力的影响及应对措施。</w:t>
      </w:r>
    </w:p>
    <w:p w14:paraId="06AA9923"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一、北洋天青与主要客户的合作情况</w:t>
      </w:r>
    </w:p>
    <w:p w14:paraId="59C174FB"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（一）报告期内标的公司前五大客户的销售收入情况及占当期营业收入比例如下：</w:t>
      </w:r>
    </w:p>
    <w:p w14:paraId="6DB1B3E5"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4"/>
        <w:gridCol w:w="3545"/>
        <w:gridCol w:w="1844"/>
        <w:gridCol w:w="2459"/>
      </w:tblGrid>
      <w:tr w:rsidR="000A0ACD" w14:paraId="27EC46E8" w14:textId="77777777">
        <w:trPr>
          <w:trHeight w:val="397"/>
          <w:tblHeader/>
        </w:trPr>
        <w:tc>
          <w:tcPr>
            <w:tcW w:w="395" w:type="pct"/>
            <w:shd w:val="clear" w:color="auto" w:fill="auto"/>
            <w:vAlign w:val="center"/>
          </w:tcPr>
          <w:p w14:paraId="554F5BEA" w14:textId="77777777" w:rsidR="000A0ACD" w:rsidRDefault="00362A99">
            <w:pPr>
              <w:keepNext/>
              <w:adjustRightInd w:val="0"/>
              <w:snapToGrid w:val="0"/>
              <w:rPr>
                <w:rFonts w:ascii="Times New Roman" w:hAnsi="Times New Roman" w:cs="Times New Roman"/>
                <w:b/>
                <w:sz w:val="21"/>
                <w:szCs w:val="21"/>
              </w:rPr>
            </w:pPr>
            <w:r>
              <w:rPr>
                <w:rFonts w:ascii="Times New Roman" w:hAnsi="Times New Roman" w:cs="Times New Roman" w:hint="eastAsia"/>
                <w:b/>
                <w:sz w:val="21"/>
                <w:szCs w:val="21"/>
              </w:rPr>
              <w:t>序号</w:t>
            </w:r>
          </w:p>
        </w:tc>
        <w:tc>
          <w:tcPr>
            <w:tcW w:w="2080" w:type="pct"/>
            <w:shd w:val="clear" w:color="auto" w:fill="auto"/>
            <w:vAlign w:val="center"/>
          </w:tcPr>
          <w:p w14:paraId="6086066F" w14:textId="77777777" w:rsidR="000A0ACD" w:rsidRDefault="00362A99">
            <w:pPr>
              <w:keepNext/>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公司名称</w:t>
            </w:r>
          </w:p>
        </w:tc>
        <w:tc>
          <w:tcPr>
            <w:tcW w:w="1082" w:type="pct"/>
            <w:shd w:val="clear" w:color="auto" w:fill="auto"/>
            <w:vAlign w:val="center"/>
          </w:tcPr>
          <w:p w14:paraId="10B1B5C8" w14:textId="77777777" w:rsidR="000A0ACD" w:rsidRDefault="00362A99">
            <w:pPr>
              <w:keepNext/>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营业收入</w:t>
            </w:r>
          </w:p>
        </w:tc>
        <w:tc>
          <w:tcPr>
            <w:tcW w:w="1443" w:type="pct"/>
            <w:shd w:val="clear" w:color="auto" w:fill="auto"/>
            <w:vAlign w:val="center"/>
          </w:tcPr>
          <w:p w14:paraId="0C976AE3" w14:textId="77777777" w:rsidR="000A0ACD" w:rsidRDefault="00362A99">
            <w:pPr>
              <w:keepNext/>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占当期营业收入的比重</w:t>
            </w:r>
          </w:p>
        </w:tc>
      </w:tr>
      <w:tr w:rsidR="000A0ACD" w14:paraId="0A79872F" w14:textId="77777777">
        <w:trPr>
          <w:trHeight w:val="397"/>
        </w:trPr>
        <w:tc>
          <w:tcPr>
            <w:tcW w:w="5000" w:type="pct"/>
            <w:gridSpan w:val="4"/>
            <w:shd w:val="clear" w:color="auto" w:fill="auto"/>
            <w:vAlign w:val="center"/>
          </w:tcPr>
          <w:p w14:paraId="2E68EDDA" w14:textId="77777777" w:rsidR="000A0ACD" w:rsidRDefault="00362A99">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2020</w:t>
            </w:r>
            <w:r>
              <w:rPr>
                <w:rFonts w:ascii="Times New Roman" w:hAnsi="Times New Roman" w:cs="Times New Roman" w:hint="eastAsia"/>
                <w:b/>
                <w:sz w:val="21"/>
                <w:szCs w:val="21"/>
              </w:rPr>
              <w:t>年度</w:t>
            </w:r>
          </w:p>
        </w:tc>
      </w:tr>
      <w:tr w:rsidR="000A0ACD" w14:paraId="514A28DF" w14:textId="77777777">
        <w:trPr>
          <w:trHeight w:val="397"/>
        </w:trPr>
        <w:tc>
          <w:tcPr>
            <w:tcW w:w="395" w:type="pct"/>
            <w:shd w:val="clear" w:color="auto" w:fill="auto"/>
            <w:vAlign w:val="center"/>
          </w:tcPr>
          <w:p w14:paraId="7343D86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color w:val="000000"/>
                <w:sz w:val="21"/>
                <w:szCs w:val="21"/>
              </w:rPr>
              <w:t>1</w:t>
            </w:r>
          </w:p>
        </w:tc>
        <w:tc>
          <w:tcPr>
            <w:tcW w:w="2080" w:type="pct"/>
            <w:shd w:val="clear" w:color="auto" w:fill="auto"/>
            <w:vAlign w:val="center"/>
          </w:tcPr>
          <w:p w14:paraId="0CD11E4B"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海尔集团公司</w:t>
            </w:r>
          </w:p>
        </w:tc>
        <w:tc>
          <w:tcPr>
            <w:tcW w:w="1082" w:type="pct"/>
            <w:shd w:val="clear" w:color="auto" w:fill="auto"/>
            <w:vAlign w:val="center"/>
          </w:tcPr>
          <w:p w14:paraId="4D83CBEF"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10,005.29</w:t>
            </w:r>
          </w:p>
        </w:tc>
        <w:tc>
          <w:tcPr>
            <w:tcW w:w="1443" w:type="pct"/>
            <w:shd w:val="clear" w:color="auto" w:fill="auto"/>
            <w:vAlign w:val="center"/>
          </w:tcPr>
          <w:p w14:paraId="54335B80"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66.45%</w:t>
            </w:r>
          </w:p>
        </w:tc>
      </w:tr>
      <w:tr w:rsidR="000A0ACD" w14:paraId="29B29CA8" w14:textId="77777777">
        <w:trPr>
          <w:trHeight w:val="397"/>
        </w:trPr>
        <w:tc>
          <w:tcPr>
            <w:tcW w:w="395" w:type="pct"/>
            <w:shd w:val="clear" w:color="auto" w:fill="auto"/>
            <w:vAlign w:val="center"/>
          </w:tcPr>
          <w:p w14:paraId="250ED804"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color w:val="000000"/>
                <w:sz w:val="21"/>
                <w:szCs w:val="21"/>
              </w:rPr>
              <w:t>2</w:t>
            </w:r>
          </w:p>
        </w:tc>
        <w:tc>
          <w:tcPr>
            <w:tcW w:w="2080" w:type="pct"/>
            <w:shd w:val="clear" w:color="auto" w:fill="auto"/>
            <w:vAlign w:val="center"/>
          </w:tcPr>
          <w:p w14:paraId="4581E599"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澳柯玛股份有限公司</w:t>
            </w:r>
          </w:p>
        </w:tc>
        <w:tc>
          <w:tcPr>
            <w:tcW w:w="1082" w:type="pct"/>
            <w:shd w:val="clear" w:color="auto" w:fill="auto"/>
            <w:vAlign w:val="center"/>
          </w:tcPr>
          <w:p w14:paraId="2351F7C0"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4,717.70</w:t>
            </w:r>
          </w:p>
        </w:tc>
        <w:tc>
          <w:tcPr>
            <w:tcW w:w="1443" w:type="pct"/>
            <w:shd w:val="clear" w:color="auto" w:fill="auto"/>
            <w:vAlign w:val="center"/>
          </w:tcPr>
          <w:p w14:paraId="1A9A3A13"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31.33%</w:t>
            </w:r>
          </w:p>
        </w:tc>
      </w:tr>
      <w:tr w:rsidR="000A0ACD" w14:paraId="69C5CDF4" w14:textId="77777777">
        <w:trPr>
          <w:trHeight w:val="397"/>
        </w:trPr>
        <w:tc>
          <w:tcPr>
            <w:tcW w:w="395" w:type="pct"/>
            <w:shd w:val="clear" w:color="auto" w:fill="auto"/>
            <w:vAlign w:val="center"/>
          </w:tcPr>
          <w:p w14:paraId="4430A3E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color w:val="000000"/>
                <w:sz w:val="21"/>
                <w:szCs w:val="21"/>
              </w:rPr>
              <w:t>3</w:t>
            </w:r>
          </w:p>
        </w:tc>
        <w:tc>
          <w:tcPr>
            <w:tcW w:w="2080" w:type="pct"/>
            <w:shd w:val="clear" w:color="auto" w:fill="auto"/>
            <w:vAlign w:val="center"/>
          </w:tcPr>
          <w:p w14:paraId="190C008D"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海信集团有限公司</w:t>
            </w:r>
          </w:p>
        </w:tc>
        <w:tc>
          <w:tcPr>
            <w:tcW w:w="1082" w:type="pct"/>
            <w:shd w:val="clear" w:color="auto" w:fill="auto"/>
            <w:vAlign w:val="center"/>
          </w:tcPr>
          <w:p w14:paraId="7C7DE6D4"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312.39</w:t>
            </w:r>
          </w:p>
        </w:tc>
        <w:tc>
          <w:tcPr>
            <w:tcW w:w="1443" w:type="pct"/>
            <w:shd w:val="clear" w:color="auto" w:fill="auto"/>
            <w:vAlign w:val="center"/>
          </w:tcPr>
          <w:p w14:paraId="050D496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2.07%</w:t>
            </w:r>
          </w:p>
        </w:tc>
      </w:tr>
      <w:tr w:rsidR="000A0ACD" w14:paraId="5E37548E" w14:textId="77777777">
        <w:trPr>
          <w:trHeight w:val="397"/>
        </w:trPr>
        <w:tc>
          <w:tcPr>
            <w:tcW w:w="395" w:type="pct"/>
            <w:shd w:val="clear" w:color="auto" w:fill="auto"/>
            <w:vAlign w:val="center"/>
          </w:tcPr>
          <w:p w14:paraId="647B0C2A"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color w:val="000000"/>
                <w:sz w:val="21"/>
                <w:szCs w:val="21"/>
              </w:rPr>
              <w:t>4</w:t>
            </w:r>
          </w:p>
        </w:tc>
        <w:tc>
          <w:tcPr>
            <w:tcW w:w="2080" w:type="pct"/>
            <w:shd w:val="clear" w:color="auto" w:fill="auto"/>
            <w:vAlign w:val="center"/>
          </w:tcPr>
          <w:p w14:paraId="5F8E9121"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青岛饮料集团有限公司</w:t>
            </w:r>
          </w:p>
        </w:tc>
        <w:tc>
          <w:tcPr>
            <w:tcW w:w="1082" w:type="pct"/>
            <w:shd w:val="clear" w:color="auto" w:fill="auto"/>
            <w:vAlign w:val="center"/>
          </w:tcPr>
          <w:p w14:paraId="7B629213"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13.00</w:t>
            </w:r>
          </w:p>
        </w:tc>
        <w:tc>
          <w:tcPr>
            <w:tcW w:w="1443" w:type="pct"/>
            <w:shd w:val="clear" w:color="auto" w:fill="auto"/>
            <w:vAlign w:val="center"/>
          </w:tcPr>
          <w:p w14:paraId="0F8AE31C"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0.09%</w:t>
            </w:r>
          </w:p>
        </w:tc>
      </w:tr>
      <w:tr w:rsidR="000A0ACD" w14:paraId="525668CA" w14:textId="77777777">
        <w:trPr>
          <w:trHeight w:val="397"/>
        </w:trPr>
        <w:tc>
          <w:tcPr>
            <w:tcW w:w="395" w:type="pct"/>
            <w:shd w:val="clear" w:color="auto" w:fill="auto"/>
            <w:vAlign w:val="center"/>
          </w:tcPr>
          <w:p w14:paraId="0BB3ABF2"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2080" w:type="pct"/>
            <w:shd w:val="clear" w:color="auto" w:fill="auto"/>
            <w:vAlign w:val="center"/>
          </w:tcPr>
          <w:p w14:paraId="06D82D06"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上海安丽锘云计算技术有限公司</w:t>
            </w:r>
          </w:p>
        </w:tc>
        <w:tc>
          <w:tcPr>
            <w:tcW w:w="1082" w:type="pct"/>
            <w:shd w:val="clear" w:color="auto" w:fill="auto"/>
            <w:vAlign w:val="center"/>
          </w:tcPr>
          <w:p w14:paraId="2E43E4F2"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7.78</w:t>
            </w:r>
          </w:p>
        </w:tc>
        <w:tc>
          <w:tcPr>
            <w:tcW w:w="1443" w:type="pct"/>
            <w:shd w:val="clear" w:color="auto" w:fill="auto"/>
            <w:vAlign w:val="center"/>
          </w:tcPr>
          <w:p w14:paraId="7DB2E05E"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0.05%</w:t>
            </w:r>
          </w:p>
        </w:tc>
      </w:tr>
      <w:tr w:rsidR="000A0ACD" w14:paraId="61A97ECA" w14:textId="77777777">
        <w:trPr>
          <w:trHeight w:val="397"/>
        </w:trPr>
        <w:tc>
          <w:tcPr>
            <w:tcW w:w="2475" w:type="pct"/>
            <w:gridSpan w:val="2"/>
            <w:shd w:val="clear" w:color="auto" w:fill="auto"/>
            <w:vAlign w:val="center"/>
          </w:tcPr>
          <w:p w14:paraId="57FEE3ED" w14:textId="77777777" w:rsidR="000A0ACD" w:rsidRDefault="00362A99">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合计</w:t>
            </w:r>
          </w:p>
        </w:tc>
        <w:tc>
          <w:tcPr>
            <w:tcW w:w="1082" w:type="pct"/>
            <w:shd w:val="clear" w:color="auto" w:fill="auto"/>
            <w:vAlign w:val="center"/>
          </w:tcPr>
          <w:p w14:paraId="687ACD11"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15,056.17</w:t>
            </w:r>
          </w:p>
        </w:tc>
        <w:tc>
          <w:tcPr>
            <w:tcW w:w="1443" w:type="pct"/>
            <w:shd w:val="clear" w:color="auto" w:fill="auto"/>
            <w:vAlign w:val="center"/>
          </w:tcPr>
          <w:p w14:paraId="4A19FA70"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rsidR="000A0ACD" w14:paraId="365060E4" w14:textId="77777777">
        <w:trPr>
          <w:trHeight w:val="397"/>
        </w:trPr>
        <w:tc>
          <w:tcPr>
            <w:tcW w:w="5000" w:type="pct"/>
            <w:gridSpan w:val="4"/>
            <w:shd w:val="clear" w:color="auto" w:fill="auto"/>
            <w:vAlign w:val="center"/>
          </w:tcPr>
          <w:p w14:paraId="3E71FEFF" w14:textId="77777777" w:rsidR="000A0ACD" w:rsidRDefault="00362A99">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2019</w:t>
            </w:r>
            <w:r>
              <w:rPr>
                <w:rFonts w:ascii="Times New Roman" w:hAnsi="Times New Roman" w:cs="Times New Roman" w:hint="eastAsia"/>
                <w:b/>
                <w:sz w:val="21"/>
                <w:szCs w:val="21"/>
              </w:rPr>
              <w:t>年度</w:t>
            </w:r>
          </w:p>
        </w:tc>
      </w:tr>
      <w:tr w:rsidR="000A0ACD" w14:paraId="35AFF019" w14:textId="77777777">
        <w:trPr>
          <w:trHeight w:val="397"/>
        </w:trPr>
        <w:tc>
          <w:tcPr>
            <w:tcW w:w="395" w:type="pct"/>
            <w:shd w:val="clear" w:color="auto" w:fill="auto"/>
            <w:vAlign w:val="center"/>
          </w:tcPr>
          <w:p w14:paraId="44A1E604"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2080" w:type="pct"/>
            <w:shd w:val="clear" w:color="auto" w:fill="auto"/>
            <w:vAlign w:val="center"/>
          </w:tcPr>
          <w:p w14:paraId="12020378"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海尔集团公司</w:t>
            </w:r>
          </w:p>
        </w:tc>
        <w:tc>
          <w:tcPr>
            <w:tcW w:w="1082" w:type="pct"/>
            <w:shd w:val="clear" w:color="auto" w:fill="auto"/>
            <w:vAlign w:val="center"/>
          </w:tcPr>
          <w:p w14:paraId="724BC82A"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8,931.94</w:t>
            </w:r>
          </w:p>
        </w:tc>
        <w:tc>
          <w:tcPr>
            <w:tcW w:w="1443" w:type="pct"/>
            <w:shd w:val="clear" w:color="auto" w:fill="auto"/>
            <w:vAlign w:val="center"/>
          </w:tcPr>
          <w:p w14:paraId="604AEE97"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86.50%</w:t>
            </w:r>
          </w:p>
        </w:tc>
      </w:tr>
      <w:tr w:rsidR="000A0ACD" w14:paraId="4DCA6A9E" w14:textId="77777777">
        <w:trPr>
          <w:trHeight w:val="397"/>
        </w:trPr>
        <w:tc>
          <w:tcPr>
            <w:tcW w:w="395" w:type="pct"/>
            <w:shd w:val="clear" w:color="auto" w:fill="auto"/>
            <w:vAlign w:val="center"/>
          </w:tcPr>
          <w:p w14:paraId="399AAF5F"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2080" w:type="pct"/>
            <w:shd w:val="clear" w:color="auto" w:fill="auto"/>
            <w:vAlign w:val="center"/>
          </w:tcPr>
          <w:p w14:paraId="7E46A381"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澳柯玛股份有限公司</w:t>
            </w:r>
          </w:p>
        </w:tc>
        <w:tc>
          <w:tcPr>
            <w:tcW w:w="1082" w:type="pct"/>
            <w:shd w:val="clear" w:color="auto" w:fill="auto"/>
            <w:vAlign w:val="center"/>
          </w:tcPr>
          <w:p w14:paraId="76FB7D74"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1,260.91</w:t>
            </w:r>
          </w:p>
        </w:tc>
        <w:tc>
          <w:tcPr>
            <w:tcW w:w="1443" w:type="pct"/>
            <w:shd w:val="clear" w:color="auto" w:fill="auto"/>
            <w:vAlign w:val="center"/>
          </w:tcPr>
          <w:p w14:paraId="2908B311"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12.21%</w:t>
            </w:r>
          </w:p>
        </w:tc>
      </w:tr>
      <w:tr w:rsidR="000A0ACD" w14:paraId="19C174B4" w14:textId="77777777">
        <w:trPr>
          <w:trHeight w:val="397"/>
        </w:trPr>
        <w:tc>
          <w:tcPr>
            <w:tcW w:w="395" w:type="pct"/>
            <w:shd w:val="clear" w:color="auto" w:fill="auto"/>
            <w:vAlign w:val="center"/>
          </w:tcPr>
          <w:p w14:paraId="69690843"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2080" w:type="pct"/>
            <w:shd w:val="clear" w:color="auto" w:fill="auto"/>
            <w:vAlign w:val="center"/>
          </w:tcPr>
          <w:p w14:paraId="7D6EDC83"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海信集团有限公司</w:t>
            </w:r>
          </w:p>
        </w:tc>
        <w:tc>
          <w:tcPr>
            <w:tcW w:w="1082" w:type="pct"/>
            <w:shd w:val="clear" w:color="auto" w:fill="auto"/>
            <w:vAlign w:val="center"/>
          </w:tcPr>
          <w:p w14:paraId="210E7631"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56.47</w:t>
            </w:r>
          </w:p>
        </w:tc>
        <w:tc>
          <w:tcPr>
            <w:tcW w:w="1443" w:type="pct"/>
            <w:shd w:val="clear" w:color="auto" w:fill="auto"/>
            <w:vAlign w:val="center"/>
          </w:tcPr>
          <w:p w14:paraId="42D8FF28"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0.55%</w:t>
            </w:r>
          </w:p>
        </w:tc>
      </w:tr>
      <w:tr w:rsidR="000A0ACD" w14:paraId="1A1C8D3B" w14:textId="77777777">
        <w:trPr>
          <w:trHeight w:val="397"/>
        </w:trPr>
        <w:tc>
          <w:tcPr>
            <w:tcW w:w="395" w:type="pct"/>
            <w:shd w:val="clear" w:color="auto" w:fill="auto"/>
            <w:vAlign w:val="center"/>
          </w:tcPr>
          <w:p w14:paraId="2DA6E8B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2080" w:type="pct"/>
            <w:shd w:val="clear" w:color="auto" w:fill="auto"/>
            <w:vAlign w:val="center"/>
          </w:tcPr>
          <w:p w14:paraId="7739BD31"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瑞智（青岛）精密机电有限公司</w:t>
            </w:r>
          </w:p>
        </w:tc>
        <w:tc>
          <w:tcPr>
            <w:tcW w:w="1082" w:type="pct"/>
            <w:shd w:val="clear" w:color="auto" w:fill="auto"/>
            <w:vAlign w:val="center"/>
          </w:tcPr>
          <w:p w14:paraId="7D1BFA68"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41.30</w:t>
            </w:r>
          </w:p>
        </w:tc>
        <w:tc>
          <w:tcPr>
            <w:tcW w:w="1443" w:type="pct"/>
            <w:shd w:val="clear" w:color="auto" w:fill="auto"/>
            <w:vAlign w:val="center"/>
          </w:tcPr>
          <w:p w14:paraId="3562607E"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0.40%</w:t>
            </w:r>
          </w:p>
        </w:tc>
      </w:tr>
      <w:tr w:rsidR="000A0ACD" w14:paraId="61232350" w14:textId="77777777">
        <w:trPr>
          <w:trHeight w:val="397"/>
        </w:trPr>
        <w:tc>
          <w:tcPr>
            <w:tcW w:w="395" w:type="pct"/>
            <w:shd w:val="clear" w:color="auto" w:fill="auto"/>
            <w:vAlign w:val="center"/>
          </w:tcPr>
          <w:p w14:paraId="5462C089"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2080" w:type="pct"/>
            <w:shd w:val="clear" w:color="auto" w:fill="auto"/>
            <w:vAlign w:val="center"/>
          </w:tcPr>
          <w:p w14:paraId="6B81392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青岛饮料集团有限公司</w:t>
            </w:r>
          </w:p>
        </w:tc>
        <w:tc>
          <w:tcPr>
            <w:tcW w:w="1082" w:type="pct"/>
            <w:shd w:val="clear" w:color="auto" w:fill="auto"/>
            <w:vAlign w:val="center"/>
          </w:tcPr>
          <w:p w14:paraId="5779C6BC"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28.89</w:t>
            </w:r>
          </w:p>
        </w:tc>
        <w:tc>
          <w:tcPr>
            <w:tcW w:w="1443" w:type="pct"/>
            <w:shd w:val="clear" w:color="auto" w:fill="auto"/>
            <w:vAlign w:val="center"/>
          </w:tcPr>
          <w:p w14:paraId="75C9FE06" w14:textId="77777777" w:rsidR="000A0ACD" w:rsidRDefault="00362A99">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0.28%</w:t>
            </w:r>
          </w:p>
        </w:tc>
      </w:tr>
      <w:tr w:rsidR="000A0ACD" w14:paraId="66B9CD89" w14:textId="77777777">
        <w:trPr>
          <w:trHeight w:val="397"/>
        </w:trPr>
        <w:tc>
          <w:tcPr>
            <w:tcW w:w="2475" w:type="pct"/>
            <w:gridSpan w:val="2"/>
            <w:shd w:val="clear" w:color="auto" w:fill="auto"/>
            <w:vAlign w:val="center"/>
          </w:tcPr>
          <w:p w14:paraId="1C0EAD13" w14:textId="77777777" w:rsidR="000A0ACD" w:rsidRDefault="00362A99">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合计</w:t>
            </w:r>
          </w:p>
        </w:tc>
        <w:tc>
          <w:tcPr>
            <w:tcW w:w="1082" w:type="pct"/>
            <w:shd w:val="clear" w:color="auto" w:fill="auto"/>
            <w:vAlign w:val="center"/>
          </w:tcPr>
          <w:p w14:paraId="7A1272C9" w14:textId="77777777" w:rsidR="000A0ACD" w:rsidRDefault="00362A99">
            <w:pPr>
              <w:adjustRightInd w:val="0"/>
              <w:snapToGrid w:val="0"/>
              <w:jc w:val="right"/>
              <w:textAlignment w:val="bottom"/>
              <w:rPr>
                <w:rFonts w:ascii="Times New Roman" w:hAnsi="Times New Roman" w:cs="Times New Roman"/>
                <w:b/>
                <w:bCs/>
                <w:color w:val="000000"/>
                <w:sz w:val="21"/>
                <w:szCs w:val="21"/>
              </w:rPr>
            </w:pPr>
            <w:r>
              <w:rPr>
                <w:rFonts w:ascii="Times New Roman" w:hAnsi="Times New Roman" w:cs="Times New Roman"/>
                <w:b/>
                <w:bCs/>
                <w:color w:val="000000"/>
                <w:sz w:val="21"/>
                <w:szCs w:val="21"/>
              </w:rPr>
              <w:t>10,319.51</w:t>
            </w:r>
          </w:p>
        </w:tc>
        <w:tc>
          <w:tcPr>
            <w:tcW w:w="1443" w:type="pct"/>
            <w:shd w:val="clear" w:color="auto" w:fill="auto"/>
            <w:vAlign w:val="center"/>
          </w:tcPr>
          <w:p w14:paraId="30CA94C3" w14:textId="77777777" w:rsidR="000A0ACD" w:rsidRDefault="00362A99">
            <w:pPr>
              <w:adjustRightInd w:val="0"/>
              <w:snapToGrid w:val="0"/>
              <w:jc w:val="right"/>
              <w:textAlignment w:val="bottom"/>
              <w:rPr>
                <w:rFonts w:ascii="Times New Roman" w:hAnsi="Times New Roman" w:cs="Times New Roman"/>
                <w:b/>
                <w:bCs/>
                <w:color w:val="000000"/>
                <w:sz w:val="21"/>
                <w:szCs w:val="21"/>
              </w:rPr>
            </w:pPr>
            <w:r>
              <w:rPr>
                <w:rFonts w:ascii="Times New Roman" w:hAnsi="Times New Roman" w:cs="Times New Roman"/>
                <w:b/>
                <w:bCs/>
                <w:color w:val="000000"/>
                <w:sz w:val="21"/>
                <w:szCs w:val="21"/>
              </w:rPr>
              <w:t>99.94%</w:t>
            </w:r>
          </w:p>
        </w:tc>
      </w:tr>
      <w:tr w:rsidR="000A0ACD" w14:paraId="35801AD5" w14:textId="77777777">
        <w:trPr>
          <w:trHeight w:val="397"/>
        </w:trPr>
        <w:tc>
          <w:tcPr>
            <w:tcW w:w="5000" w:type="pct"/>
            <w:gridSpan w:val="4"/>
            <w:shd w:val="clear" w:color="auto" w:fill="auto"/>
            <w:vAlign w:val="center"/>
          </w:tcPr>
          <w:p w14:paraId="010EF2AA" w14:textId="77777777" w:rsidR="000A0ACD" w:rsidRDefault="00362A99">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2018</w:t>
            </w:r>
            <w:r>
              <w:rPr>
                <w:rFonts w:ascii="Times New Roman" w:hAnsi="Times New Roman" w:cs="Times New Roman" w:hint="eastAsia"/>
                <w:b/>
                <w:sz w:val="21"/>
                <w:szCs w:val="21"/>
              </w:rPr>
              <w:t>年度</w:t>
            </w:r>
          </w:p>
        </w:tc>
      </w:tr>
      <w:tr w:rsidR="000A0ACD" w14:paraId="08920216" w14:textId="77777777">
        <w:trPr>
          <w:trHeight w:val="397"/>
        </w:trPr>
        <w:tc>
          <w:tcPr>
            <w:tcW w:w="395" w:type="pct"/>
            <w:shd w:val="clear" w:color="auto" w:fill="auto"/>
            <w:vAlign w:val="center"/>
          </w:tcPr>
          <w:p w14:paraId="0E922444"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2080" w:type="pct"/>
            <w:shd w:val="clear" w:color="auto" w:fill="auto"/>
            <w:vAlign w:val="center"/>
          </w:tcPr>
          <w:p w14:paraId="1785FD34"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海尔集团公司</w:t>
            </w:r>
          </w:p>
        </w:tc>
        <w:tc>
          <w:tcPr>
            <w:tcW w:w="1082" w:type="pct"/>
            <w:shd w:val="clear" w:color="auto" w:fill="auto"/>
            <w:vAlign w:val="center"/>
          </w:tcPr>
          <w:p w14:paraId="0A4F65B9"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4,092.54</w:t>
            </w:r>
          </w:p>
        </w:tc>
        <w:tc>
          <w:tcPr>
            <w:tcW w:w="1443" w:type="pct"/>
            <w:shd w:val="clear" w:color="auto" w:fill="auto"/>
            <w:vAlign w:val="center"/>
          </w:tcPr>
          <w:p w14:paraId="22FE15AB"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67.02%</w:t>
            </w:r>
          </w:p>
        </w:tc>
      </w:tr>
      <w:tr w:rsidR="000A0ACD" w14:paraId="7D00CDCE" w14:textId="77777777">
        <w:trPr>
          <w:trHeight w:val="397"/>
        </w:trPr>
        <w:tc>
          <w:tcPr>
            <w:tcW w:w="395" w:type="pct"/>
            <w:shd w:val="clear" w:color="auto" w:fill="auto"/>
            <w:vAlign w:val="center"/>
          </w:tcPr>
          <w:p w14:paraId="6466CBF9"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2080" w:type="pct"/>
            <w:shd w:val="clear" w:color="auto" w:fill="auto"/>
            <w:vAlign w:val="center"/>
          </w:tcPr>
          <w:p w14:paraId="56AC025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澳柯玛股份有限公司</w:t>
            </w:r>
          </w:p>
        </w:tc>
        <w:tc>
          <w:tcPr>
            <w:tcW w:w="1082" w:type="pct"/>
            <w:shd w:val="clear" w:color="auto" w:fill="auto"/>
            <w:vAlign w:val="center"/>
          </w:tcPr>
          <w:p w14:paraId="1FE1EF17"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1,395.72</w:t>
            </w:r>
          </w:p>
        </w:tc>
        <w:tc>
          <w:tcPr>
            <w:tcW w:w="1443" w:type="pct"/>
            <w:shd w:val="clear" w:color="auto" w:fill="auto"/>
            <w:vAlign w:val="center"/>
          </w:tcPr>
          <w:p w14:paraId="399DFD0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22.86%</w:t>
            </w:r>
          </w:p>
        </w:tc>
      </w:tr>
      <w:tr w:rsidR="000A0ACD" w14:paraId="18ECBDE7" w14:textId="77777777">
        <w:trPr>
          <w:trHeight w:val="397"/>
        </w:trPr>
        <w:tc>
          <w:tcPr>
            <w:tcW w:w="395" w:type="pct"/>
            <w:shd w:val="clear" w:color="auto" w:fill="auto"/>
            <w:vAlign w:val="center"/>
          </w:tcPr>
          <w:p w14:paraId="22E456FE"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2080" w:type="pct"/>
            <w:shd w:val="clear" w:color="auto" w:fill="auto"/>
            <w:vAlign w:val="center"/>
          </w:tcPr>
          <w:p w14:paraId="2CEA0B31"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海信集团有限公司</w:t>
            </w:r>
          </w:p>
        </w:tc>
        <w:tc>
          <w:tcPr>
            <w:tcW w:w="1082" w:type="pct"/>
            <w:shd w:val="clear" w:color="auto" w:fill="auto"/>
            <w:vAlign w:val="center"/>
          </w:tcPr>
          <w:p w14:paraId="29BC242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424.48</w:t>
            </w:r>
          </w:p>
        </w:tc>
        <w:tc>
          <w:tcPr>
            <w:tcW w:w="1443" w:type="pct"/>
            <w:shd w:val="clear" w:color="auto" w:fill="auto"/>
            <w:vAlign w:val="center"/>
          </w:tcPr>
          <w:p w14:paraId="31C2CAD9"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6.95%</w:t>
            </w:r>
          </w:p>
        </w:tc>
      </w:tr>
      <w:tr w:rsidR="000A0ACD" w14:paraId="7828F8B3" w14:textId="77777777">
        <w:trPr>
          <w:trHeight w:val="397"/>
        </w:trPr>
        <w:tc>
          <w:tcPr>
            <w:tcW w:w="395" w:type="pct"/>
            <w:shd w:val="clear" w:color="auto" w:fill="auto"/>
            <w:vAlign w:val="center"/>
          </w:tcPr>
          <w:p w14:paraId="4D3DFCF1"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2080" w:type="pct"/>
            <w:shd w:val="clear" w:color="auto" w:fill="auto"/>
            <w:vAlign w:val="center"/>
          </w:tcPr>
          <w:p w14:paraId="5E1D81F7"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青岛饮料集团有限公司</w:t>
            </w:r>
          </w:p>
        </w:tc>
        <w:tc>
          <w:tcPr>
            <w:tcW w:w="1082" w:type="pct"/>
            <w:shd w:val="clear" w:color="auto" w:fill="auto"/>
            <w:vAlign w:val="center"/>
          </w:tcPr>
          <w:p w14:paraId="2D0FC775"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153.22</w:t>
            </w:r>
          </w:p>
        </w:tc>
        <w:tc>
          <w:tcPr>
            <w:tcW w:w="1443" w:type="pct"/>
            <w:shd w:val="clear" w:color="auto" w:fill="auto"/>
            <w:vAlign w:val="center"/>
          </w:tcPr>
          <w:p w14:paraId="5163AE7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2.51%</w:t>
            </w:r>
          </w:p>
        </w:tc>
      </w:tr>
      <w:tr w:rsidR="000A0ACD" w14:paraId="005B77E7" w14:textId="77777777">
        <w:trPr>
          <w:trHeight w:val="397"/>
        </w:trPr>
        <w:tc>
          <w:tcPr>
            <w:tcW w:w="395" w:type="pct"/>
            <w:shd w:val="clear" w:color="auto" w:fill="auto"/>
            <w:vAlign w:val="center"/>
          </w:tcPr>
          <w:p w14:paraId="56D9D354"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2080" w:type="pct"/>
            <w:shd w:val="clear" w:color="auto" w:fill="auto"/>
            <w:vAlign w:val="center"/>
          </w:tcPr>
          <w:p w14:paraId="7D8D115B"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软控股份有限公司</w:t>
            </w:r>
          </w:p>
        </w:tc>
        <w:tc>
          <w:tcPr>
            <w:tcW w:w="1082" w:type="pct"/>
            <w:shd w:val="clear" w:color="auto" w:fill="auto"/>
            <w:vAlign w:val="center"/>
          </w:tcPr>
          <w:p w14:paraId="27DFDA14"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18.87</w:t>
            </w:r>
          </w:p>
        </w:tc>
        <w:tc>
          <w:tcPr>
            <w:tcW w:w="1443" w:type="pct"/>
            <w:shd w:val="clear" w:color="auto" w:fill="auto"/>
            <w:vAlign w:val="center"/>
          </w:tcPr>
          <w:p w14:paraId="51BDFB38"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0.31%</w:t>
            </w:r>
          </w:p>
        </w:tc>
      </w:tr>
      <w:tr w:rsidR="000A0ACD" w14:paraId="0F469002" w14:textId="77777777">
        <w:trPr>
          <w:trHeight w:val="397"/>
        </w:trPr>
        <w:tc>
          <w:tcPr>
            <w:tcW w:w="2475" w:type="pct"/>
            <w:gridSpan w:val="2"/>
            <w:shd w:val="clear" w:color="auto" w:fill="auto"/>
            <w:vAlign w:val="center"/>
          </w:tcPr>
          <w:p w14:paraId="50138340" w14:textId="77777777" w:rsidR="000A0ACD" w:rsidRDefault="00362A99">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合计</w:t>
            </w:r>
          </w:p>
        </w:tc>
        <w:tc>
          <w:tcPr>
            <w:tcW w:w="1082" w:type="pct"/>
            <w:shd w:val="clear" w:color="auto" w:fill="auto"/>
            <w:vAlign w:val="center"/>
          </w:tcPr>
          <w:p w14:paraId="179F2025" w14:textId="77777777" w:rsidR="000A0ACD" w:rsidRDefault="00362A99">
            <w:pPr>
              <w:adjustRightInd w:val="0"/>
              <w:snapToGrid w:val="0"/>
              <w:jc w:val="right"/>
              <w:textAlignment w:val="bottom"/>
              <w:rPr>
                <w:rFonts w:ascii="Times New Roman" w:hAnsi="Times New Roman" w:cs="Times New Roman"/>
                <w:b/>
                <w:bCs/>
                <w:color w:val="000000"/>
                <w:sz w:val="21"/>
                <w:szCs w:val="21"/>
              </w:rPr>
            </w:pPr>
            <w:r>
              <w:rPr>
                <w:rFonts w:ascii="Times New Roman" w:hAnsi="Times New Roman" w:cs="Times New Roman"/>
                <w:b/>
                <w:bCs/>
                <w:color w:val="000000"/>
                <w:sz w:val="21"/>
                <w:szCs w:val="21"/>
              </w:rPr>
              <w:t>6,084.83</w:t>
            </w:r>
          </w:p>
        </w:tc>
        <w:tc>
          <w:tcPr>
            <w:tcW w:w="1443" w:type="pct"/>
            <w:shd w:val="clear" w:color="auto" w:fill="auto"/>
            <w:vAlign w:val="center"/>
          </w:tcPr>
          <w:p w14:paraId="4EA0F0E6"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sz w:val="21"/>
                <w:szCs w:val="21"/>
              </w:rPr>
              <w:t>99.65%</w:t>
            </w:r>
          </w:p>
        </w:tc>
      </w:tr>
    </w:tbl>
    <w:p w14:paraId="210F5826" w14:textId="77777777" w:rsidR="000A0ACD" w:rsidRDefault="00362A99">
      <w:pPr>
        <w:pStyle w:val="affffd"/>
        <w:adjustRightInd w:val="0"/>
        <w:snapToGrid w:val="0"/>
        <w:spacing w:beforeLines="0" w:line="240" w:lineRule="auto"/>
        <w:ind w:firstLineChars="0" w:firstLine="0"/>
        <w:rPr>
          <w:sz w:val="21"/>
          <w:szCs w:val="18"/>
        </w:rPr>
      </w:pPr>
      <w:r>
        <w:rPr>
          <w:rFonts w:hint="eastAsia"/>
          <w:sz w:val="21"/>
          <w:szCs w:val="18"/>
        </w:rPr>
        <w:t>注：上表中对于受同一实际控制人控制的销售客户，合并计算销售额。</w:t>
      </w:r>
    </w:p>
    <w:p w14:paraId="64B55EDA"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报告期内，北洋天青前五大客户主要集中于家电行业，其中包括洗衣机、冰箱、冷柜、洗碗机，机器人等，客户群体与北洋天青的主营业务相符。</w:t>
      </w:r>
      <w:r>
        <w:rPr>
          <w:rFonts w:ascii="Times New Roman" w:hAnsi="Times New Roman" w:cs="Times New Roman" w:hint="eastAsia"/>
        </w:rPr>
        <w:t>2018</w:t>
      </w:r>
      <w:r>
        <w:rPr>
          <w:rFonts w:ascii="Times New Roman" w:hAnsi="Times New Roman" w:cs="Times New Roman" w:hint="eastAsia"/>
        </w:rPr>
        <w:t>年、</w:t>
      </w:r>
      <w:r>
        <w:rPr>
          <w:rFonts w:ascii="Times New Roman" w:hAnsi="Times New Roman" w:cs="Times New Roman" w:hint="eastAsia"/>
        </w:rPr>
        <w:t>2019</w:t>
      </w:r>
      <w:r>
        <w:rPr>
          <w:rFonts w:ascii="Times New Roman" w:hAnsi="Times New Roman" w:cs="Times New Roman" w:hint="eastAsia"/>
        </w:rPr>
        <w:t>年和</w:t>
      </w:r>
      <w:r>
        <w:rPr>
          <w:rFonts w:ascii="Times New Roman" w:hAnsi="Times New Roman" w:cs="Times New Roman" w:hint="eastAsia"/>
        </w:rPr>
        <w:t>2020</w:t>
      </w:r>
      <w:r>
        <w:rPr>
          <w:rFonts w:ascii="Times New Roman" w:hAnsi="Times New Roman" w:cs="Times New Roman" w:hint="eastAsia"/>
        </w:rPr>
        <w:t>年，北洋天青前五大客户的营业收入占当期营业收入的比重分别为</w:t>
      </w:r>
      <w:r>
        <w:rPr>
          <w:rFonts w:ascii="Times New Roman" w:hAnsi="Times New Roman" w:cs="Times New Roman" w:hint="eastAsia"/>
        </w:rPr>
        <w:t>99.65%</w:t>
      </w:r>
      <w:r>
        <w:rPr>
          <w:rFonts w:ascii="Times New Roman" w:hAnsi="Times New Roman" w:cs="Times New Roman" w:hint="eastAsia"/>
        </w:rPr>
        <w:t>、</w:t>
      </w:r>
      <w:r>
        <w:rPr>
          <w:rFonts w:ascii="Times New Roman" w:hAnsi="Times New Roman" w:cs="Times New Roman" w:hint="eastAsia"/>
        </w:rPr>
        <w:t>99.94%</w:t>
      </w:r>
      <w:r>
        <w:rPr>
          <w:rFonts w:ascii="Times New Roman" w:hAnsi="Times New Roman" w:cs="Times New Roman" w:hint="eastAsia"/>
        </w:rPr>
        <w:t>、</w:t>
      </w:r>
      <w:r>
        <w:rPr>
          <w:rFonts w:ascii="Times New Roman" w:hAnsi="Times New Roman" w:cs="Times New Roman" w:hint="eastAsia"/>
        </w:rPr>
        <w:t>100%</w:t>
      </w:r>
      <w:r>
        <w:rPr>
          <w:rFonts w:ascii="Times New Roman" w:hAnsi="Times New Roman" w:cs="Times New Roman" w:hint="eastAsia"/>
        </w:rPr>
        <w:t>，客户相对集中，主要是</w:t>
      </w:r>
      <w:bookmarkStart w:id="19" w:name="_Hlk69654424"/>
      <w:r>
        <w:rPr>
          <w:rFonts w:ascii="Times New Roman" w:hAnsi="Times New Roman" w:cs="Times New Roman" w:hint="eastAsia"/>
        </w:rPr>
        <w:t>受</w:t>
      </w:r>
      <w:bookmarkEnd w:id="19"/>
      <w:r>
        <w:rPr>
          <w:rFonts w:ascii="Times New Roman" w:hAnsi="Times New Roman" w:cs="Times New Roman" w:hint="eastAsia"/>
        </w:rPr>
        <w:t>我国家电行业品牌集中度高、家电生产厂商所在区域比较集中等因素影响。</w:t>
      </w:r>
    </w:p>
    <w:p w14:paraId="1D04C21D"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（二）主要合同内容</w:t>
      </w:r>
    </w:p>
    <w:p w14:paraId="5A97A21C"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2020</w:t>
      </w:r>
      <w:r>
        <w:rPr>
          <w:rFonts w:ascii="Times New Roman" w:hAnsi="Times New Roman" w:cs="Times New Roman" w:hint="eastAsia"/>
          <w:bCs/>
        </w:rPr>
        <w:t>年</w:t>
      </w:r>
      <w:r>
        <w:rPr>
          <w:rFonts w:ascii="Times New Roman" w:hAnsi="Times New Roman" w:cs="Times New Roman" w:hint="eastAsia"/>
          <w:bCs/>
        </w:rPr>
        <w:t>8</w:t>
      </w:r>
      <w:r>
        <w:rPr>
          <w:rFonts w:ascii="Times New Roman" w:hAnsi="Times New Roman" w:cs="Times New Roman" w:hint="eastAsia"/>
          <w:bCs/>
        </w:rPr>
        <w:t>月，北洋天青与澳柯玛股份有限公司制造分公司签署了《澳柯玛智慧冷链制造项目合作协议》，负责澳柯玛“智慧冷链智能制造项目”，满足《</w:t>
      </w:r>
      <w:r>
        <w:rPr>
          <w:rFonts w:ascii="Times New Roman" w:hAnsi="Times New Roman" w:cs="Times New Roman" w:hint="eastAsia"/>
          <w:bCs/>
        </w:rPr>
        <w:t>2019</w:t>
      </w:r>
      <w:r>
        <w:rPr>
          <w:rFonts w:ascii="Times New Roman" w:hAnsi="Times New Roman" w:cs="Times New Roman" w:hint="eastAsia"/>
          <w:bCs/>
        </w:rPr>
        <w:t>年技术改造专项中央预算内投资项目》中“智能化改造及质量提升工程—智能化工厂”的要求，保证澳柯玛申报的上述项目顺利验收。</w:t>
      </w:r>
    </w:p>
    <w:p w14:paraId="0632E245"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bCs/>
        </w:rPr>
        <w:t>截至本回复出具日，标的公司已与澳柯玛股份有限公司制造分公司签订“智慧冷链智能制造项目”总装一期《工业互联网平台、信息化系统及自动化物流线等设备采购合同》及其补充协议。同时澳柯玛“智慧冷链智能制造项目”总装二期</w:t>
      </w:r>
      <w:r>
        <w:rPr>
          <w:rFonts w:ascii="Times New Roman" w:hAnsi="Times New Roman" w:cs="Times New Roman"/>
          <w:bCs/>
        </w:rPr>
        <w:t>2021</w:t>
      </w:r>
      <w:r>
        <w:rPr>
          <w:rFonts w:ascii="Times New Roman" w:hAnsi="Times New Roman" w:cs="Times New Roman" w:hint="eastAsia"/>
          <w:bCs/>
        </w:rPr>
        <w:t>年和</w:t>
      </w:r>
      <w:r>
        <w:rPr>
          <w:rFonts w:ascii="Times New Roman" w:hAnsi="Times New Roman" w:cs="Times New Roman" w:hint="eastAsia"/>
          <w:bCs/>
        </w:rPr>
        <w:t>2</w:t>
      </w:r>
      <w:r>
        <w:rPr>
          <w:rFonts w:ascii="Times New Roman" w:hAnsi="Times New Roman" w:cs="Times New Roman"/>
          <w:bCs/>
        </w:rPr>
        <w:t>022</w:t>
      </w:r>
      <w:r>
        <w:rPr>
          <w:rFonts w:ascii="Times New Roman" w:hAnsi="Times New Roman" w:cs="Times New Roman" w:hint="eastAsia"/>
          <w:bCs/>
        </w:rPr>
        <w:t>年预计还将签署合计金额为</w:t>
      </w:r>
      <w:r>
        <w:rPr>
          <w:rFonts w:ascii="Times New Roman" w:hAnsi="Times New Roman" w:cs="Times New Roman" w:hint="eastAsia"/>
          <w:bCs/>
        </w:rPr>
        <w:t>2.3</w:t>
      </w:r>
      <w:r>
        <w:rPr>
          <w:rFonts w:ascii="Times New Roman" w:hAnsi="Times New Roman" w:cs="Times New Roman" w:hint="eastAsia"/>
          <w:bCs/>
        </w:rPr>
        <w:t>亿元的合同。上述项目预计于</w:t>
      </w:r>
      <w:r>
        <w:rPr>
          <w:rFonts w:ascii="Times New Roman" w:hAnsi="Times New Roman" w:cs="Times New Roman" w:hint="eastAsia"/>
          <w:bCs/>
        </w:rPr>
        <w:t>2021</w:t>
      </w:r>
      <w:r>
        <w:rPr>
          <w:rFonts w:ascii="Times New Roman" w:hAnsi="Times New Roman" w:cs="Times New Roman" w:hint="eastAsia"/>
          <w:bCs/>
        </w:rPr>
        <w:t>年及</w:t>
      </w:r>
      <w:r>
        <w:rPr>
          <w:rFonts w:ascii="Times New Roman" w:hAnsi="Times New Roman" w:cs="Times New Roman" w:hint="eastAsia"/>
          <w:bCs/>
        </w:rPr>
        <w:t>2022</w:t>
      </w:r>
      <w:r>
        <w:rPr>
          <w:rFonts w:ascii="Times New Roman" w:hAnsi="Times New Roman" w:cs="Times New Roman" w:hint="eastAsia"/>
          <w:bCs/>
        </w:rPr>
        <w:t>年完工验收形成收入。</w:t>
      </w:r>
    </w:p>
    <w:p w14:paraId="691F193A"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（三）与主要客户的合作方式及稳定性</w:t>
      </w:r>
    </w:p>
    <w:p w14:paraId="6917ADB2"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标的公司采取“订单式生产”的业务模式，按照客户需求量身定做的非标自动化设备和信息化项目，为客户制定个性化的工业自动化解决方案。标的公司的产品与技术获得了行业内外的广泛认可。标的公司凭借过硬的产品质量和健全的售后服务体系，已成功与海尔、澳柯玛、海信等集团公司中的众多子公司，以及瑞智（青岛）精密机电有限公司等家电行业配套公司等优质下游客户建立了合作关系，实现了产品的销售。</w:t>
      </w:r>
    </w:p>
    <w:p w14:paraId="4C6F6785"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已经与海尔、海信、澳柯玛集团合作五年左右，业务覆盖冰箱、洗衣机、洗碗机、电热水器等各类家电，为上述客户提供上百单服务。近年来，北洋天青来自于上述三家主要客户的收入逐年快速上升。标的公司凭借过硬的产品质量和健全的售后服务体系，与主要客户形成良好的合作关系，订单获取较为稳定。</w:t>
      </w:r>
    </w:p>
    <w:p w14:paraId="68E33BB2"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标的公司提供的产品主要为非标自动化设备，客户对供应商的选定有着严格的标准和程序，企业需要深度掌握客户的技术改造需求，研究客户产品加工工艺，一旦合作关系确立，将不会轻易变更。</w:t>
      </w:r>
    </w:p>
    <w:p w14:paraId="70760875"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二、新客户的拓展情况</w:t>
      </w:r>
    </w:p>
    <w:p w14:paraId="7B2F66D0"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rPr>
        <w:t>北洋天青在维护现有家电行业龙头客户的同时，也与其他行业内企业建立了联系，推广各类自动化、信息化技术，努力开发行业内其他客户。</w:t>
      </w:r>
      <w:r>
        <w:rPr>
          <w:rFonts w:ascii="Times New Roman" w:hAnsi="Times New Roman" w:cs="Times New Roman" w:hint="eastAsia"/>
          <w:bCs/>
          <w:color w:val="000000"/>
          <w:szCs w:val="21"/>
        </w:rPr>
        <w:t>北洋天青</w:t>
      </w:r>
      <w:r>
        <w:rPr>
          <w:rFonts w:ascii="Times New Roman" w:hAnsi="Times New Roman" w:cs="Times New Roman" w:hint="eastAsia"/>
          <w:bCs/>
        </w:rPr>
        <w:t>在深耕家电行业的同时，也在积极拓展其他行业。</w:t>
      </w:r>
    </w:p>
    <w:p w14:paraId="64883292" w14:textId="6E6E222F"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bCs/>
        </w:rPr>
        <w:t>在食品饮料领域，标的公司以现有技术及软件为基础，已经为崂山矿泉水集团提供了相应的自动化、企业信息化服务；与</w:t>
      </w:r>
      <w:r>
        <w:rPr>
          <w:rFonts w:ascii="Times New Roman" w:hAnsi="Times New Roman" w:cs="Times New Roman" w:hint="eastAsia"/>
        </w:rPr>
        <w:t>青岛万福集团就</w:t>
      </w:r>
      <w:r>
        <w:rPr>
          <w:rFonts w:ascii="Times New Roman" w:hAnsi="Times New Roman" w:cs="Times New Roman" w:hint="eastAsia"/>
          <w:bCs/>
        </w:rPr>
        <w:t>仓储物流技术等业务进行初步探讨。</w:t>
      </w:r>
    </w:p>
    <w:p w14:paraId="5808F25D"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在</w:t>
      </w:r>
      <w:r>
        <w:rPr>
          <w:rFonts w:ascii="Times New Roman" w:hAnsi="Times New Roman" w:cs="Times New Roman" w:hint="eastAsia"/>
          <w:bCs/>
        </w:rPr>
        <w:t>3C</w:t>
      </w:r>
      <w:r>
        <w:rPr>
          <w:rFonts w:ascii="Times New Roman" w:hAnsi="Times New Roman" w:cs="Times New Roman" w:hint="eastAsia"/>
          <w:bCs/>
        </w:rPr>
        <w:t>领域，北洋天青主要以现有的物流悬挂输送系统为切入的技术基础，以液晶显示器模组生产为主推市场，拟开发机器人视觉追踪应用技术，柔性部件组装技术、以及任意曲面屏组装技术，并引入行业内有资深自动化行业经验的高水平技术及管理人才，积极拓展</w:t>
      </w:r>
      <w:r>
        <w:rPr>
          <w:rFonts w:ascii="Times New Roman" w:hAnsi="Times New Roman" w:cs="Times New Roman" w:hint="eastAsia"/>
          <w:bCs/>
        </w:rPr>
        <w:t>3C</w:t>
      </w:r>
      <w:r>
        <w:rPr>
          <w:rFonts w:ascii="Times New Roman" w:hAnsi="Times New Roman" w:cs="Times New Roman" w:hint="eastAsia"/>
          <w:bCs/>
        </w:rPr>
        <w:t>领域自动化市场。</w:t>
      </w:r>
    </w:p>
    <w:p w14:paraId="6A46C621"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在其他行业，北洋天青积极拓展现有技术及产品可以支持的其他行业智能化、自动化应用。目前标的公司已与</w:t>
      </w:r>
      <w:r>
        <w:rPr>
          <w:rFonts w:ascii="Times New Roman" w:hAnsi="Times New Roman" w:cs="Times New Roman" w:hint="eastAsia"/>
        </w:rPr>
        <w:t>青岛海湾化学集团就智能工厂整体规划、</w:t>
      </w:r>
      <w:r>
        <w:rPr>
          <w:rFonts w:ascii="Times New Roman" w:hAnsi="Times New Roman" w:cs="Times New Roman" w:hint="eastAsia"/>
          <w:bCs/>
        </w:rPr>
        <w:t>企业信息化等业务展开初步接触。</w:t>
      </w:r>
    </w:p>
    <w:p w14:paraId="382BD2DB"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三、北洋天青经营稳定，具有持续盈利能力。</w:t>
      </w:r>
    </w:p>
    <w:p w14:paraId="0444E07F" w14:textId="77777777" w:rsidR="000A0ACD" w:rsidRDefault="00362A99">
      <w:pPr>
        <w:spacing w:beforeLines="50" w:before="156" w:line="360" w:lineRule="auto"/>
        <w:ind w:firstLineChars="200" w:firstLine="480"/>
        <w:jc w:val="both"/>
        <w:rPr>
          <w:rFonts w:ascii="Times New Roman" w:hAnsi="Times New Roman" w:cs="Times New Roman"/>
          <w:b/>
          <w:bCs/>
          <w:color w:val="000000"/>
        </w:rPr>
      </w:pPr>
      <w:r>
        <w:rPr>
          <w:rFonts w:ascii="Times New Roman" w:hAnsi="Times New Roman" w:cs="Times New Roman" w:hint="eastAsia"/>
        </w:rPr>
        <w:t>北洋天青已经与海尔、海信、澳柯玛集团合作五年左右，业务覆盖冰箱、洗衣机、洗碗机、电热水器等各类家电，为上述客户提供上百单服务，与主要客户形成良好的合作关系，订单获取较为稳定。北洋天青在维护现有家电行业龙头客户的同时，</w:t>
      </w:r>
      <w:r>
        <w:rPr>
          <w:rFonts w:ascii="Times New Roman" w:hAnsi="Times New Roman" w:cs="Times New Roman" w:hint="eastAsia"/>
          <w:bCs/>
        </w:rPr>
        <w:t>也在积极拓展家电行业其他客户和</w:t>
      </w:r>
      <w:r>
        <w:rPr>
          <w:rFonts w:ascii="Times New Roman" w:hAnsi="Times New Roman" w:cs="Times New Roman" w:hint="eastAsia"/>
          <w:bCs/>
        </w:rPr>
        <w:t>3C</w:t>
      </w:r>
      <w:r>
        <w:rPr>
          <w:rFonts w:ascii="Times New Roman" w:hAnsi="Times New Roman" w:cs="Times New Roman" w:hint="eastAsia"/>
          <w:bCs/>
        </w:rPr>
        <w:t>、食品饮料及化工等其他行业客户，不存在流失现有客户或无法拓展新客户的风险。北洋天青通过维护现有客户及努力开发新客户，保障了其经营稳定，具有持续盈利能力。</w:t>
      </w:r>
    </w:p>
    <w:p w14:paraId="61651FCF"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四、补充披露情况</w:t>
      </w:r>
    </w:p>
    <w:p w14:paraId="7F822076" w14:textId="77777777" w:rsidR="000A0ACD" w:rsidRDefault="00362A99">
      <w:pPr>
        <w:pStyle w:val="affffd"/>
        <w:spacing w:before="156"/>
        <w:ind w:firstLine="480"/>
      </w:pPr>
      <w:r>
        <w:rPr>
          <w:rFonts w:hint="eastAsia"/>
        </w:rPr>
        <w:t>上述内容已在“第四节</w:t>
      </w:r>
      <w:r>
        <w:t xml:space="preserve"> </w:t>
      </w:r>
      <w:r>
        <w:rPr>
          <w:rFonts w:hint="eastAsia"/>
        </w:rPr>
        <w:t>交易标的基本情况”之“五、主营业务发展情况”之“（三）业务模式”、“第九节</w:t>
      </w:r>
      <w:r>
        <w:t xml:space="preserve"> </w:t>
      </w:r>
      <w:r>
        <w:rPr>
          <w:rFonts w:hint="eastAsia"/>
        </w:rPr>
        <w:t>管理层讨论与分析”之“二、标的公司行业特点和行业定位”之“（七）标的公司的竞争优势”和“第九节</w:t>
      </w:r>
      <w:r>
        <w:t xml:space="preserve"> </w:t>
      </w:r>
      <w:r>
        <w:rPr>
          <w:rFonts w:hint="eastAsia"/>
        </w:rPr>
        <w:t>管理层讨论与分析”之“三、标的公司报告期财务状况和经营成果的讨论分析”之“（二）盈利能力分析”中补充披露。</w:t>
      </w:r>
    </w:p>
    <w:p w14:paraId="3E244E05"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五、独立财务顾问核查意见</w:t>
      </w:r>
    </w:p>
    <w:p w14:paraId="11D1F919" w14:textId="77777777" w:rsidR="000A0ACD" w:rsidRDefault="00362A99">
      <w:pPr>
        <w:pStyle w:val="affffd"/>
        <w:spacing w:before="156"/>
        <w:ind w:firstLine="480"/>
      </w:pPr>
      <w:r>
        <w:rPr>
          <w:rFonts w:hint="eastAsia"/>
          <w:lang w:val="zh-CN"/>
        </w:rPr>
        <w:t>经核查，独立财务顾问结合北洋天青与主要客户合作情况、主要合同内容、新客户拓展情况分析，北洋天青与主要客户合作具有稳定性及可持续性，不存在流失现有客户或无法拓展新客户的风险，标的公司经营具有稳定性和持续盈利能力。</w:t>
      </w:r>
    </w:p>
    <w:p w14:paraId="3F4E0169" w14:textId="77777777" w:rsidR="000A0ACD" w:rsidRDefault="00362A99">
      <w:pPr>
        <w:spacing w:beforeLines="50" w:before="156" w:line="360" w:lineRule="auto"/>
        <w:ind w:firstLineChars="200" w:firstLine="482"/>
        <w:jc w:val="both"/>
        <w:outlineLvl w:val="1"/>
        <w:rPr>
          <w:rFonts w:ascii="Times New Roman" w:hAnsi="Times New Roman" w:cs="Times New Roman"/>
          <w:b/>
          <w:color w:val="000000"/>
          <w:szCs w:val="21"/>
        </w:rPr>
      </w:pPr>
      <w:r>
        <w:rPr>
          <w:rFonts w:ascii="Times New Roman" w:hAnsi="Times New Roman" w:cs="Times New Roman" w:hint="eastAsia"/>
          <w:b/>
          <w:color w:val="000000"/>
          <w:szCs w:val="21"/>
        </w:rPr>
        <w:t>3</w:t>
      </w:r>
      <w:r>
        <w:rPr>
          <w:rFonts w:ascii="Times New Roman" w:hAnsi="Times New Roman" w:cs="Times New Roman" w:hint="eastAsia"/>
          <w:b/>
          <w:color w:val="000000"/>
          <w:szCs w:val="21"/>
        </w:rPr>
        <w:t>）结合北洋天青和主要竞争对手在业务规模、市场占有率、核心技术上的差异及行业内竞争态势，补充披露北洋天青核心竞争力，有无被替代风险及应对措施。请独立财务顾问核查并发表明确意见。</w:t>
      </w:r>
    </w:p>
    <w:p w14:paraId="2E98DE01" w14:textId="77777777" w:rsidR="000A0ACD" w:rsidRDefault="00362A99">
      <w:pPr>
        <w:pStyle w:val="affffd"/>
        <w:spacing w:before="156"/>
        <w:ind w:firstLine="480"/>
        <w:rPr>
          <w:bCs/>
          <w:lang w:val="en-GB"/>
        </w:rPr>
      </w:pPr>
      <w:r>
        <w:rPr>
          <w:rFonts w:hint="eastAsia"/>
          <w:bCs/>
          <w:lang w:val="en-GB"/>
        </w:rPr>
        <w:t>由于我国工业自动化发展起步较晚，核心技术创新能力薄弱。跨国工业自动化企业凭借其质量、资金及技术优势，牢牢占据着高端市场。随着我国自动化行业近年的发展，一批具有较强自主创新能力的优秀企业已经出现，并且凭借产品创新、响应速度及个性化服务，正逐步形成较强的市场竞争力。</w:t>
      </w:r>
    </w:p>
    <w:p w14:paraId="3989A36E" w14:textId="77777777" w:rsidR="000A0ACD" w:rsidRDefault="00362A99">
      <w:pPr>
        <w:pStyle w:val="affffd"/>
        <w:spacing w:before="156"/>
        <w:ind w:firstLine="480"/>
        <w:rPr>
          <w:bCs/>
          <w:lang w:val="en-GB"/>
        </w:rPr>
      </w:pPr>
      <w:r>
        <w:rPr>
          <w:rFonts w:hint="eastAsia"/>
          <w:bCs/>
          <w:lang w:val="en-GB"/>
        </w:rPr>
        <w:t>与国内企业相比，国外企业在技术、品牌及资金方面具有较大优势，但在成本、服务及响应速度方面存在一定劣势，因此国外企业加快了本土化进程，通过建立独资或合资企业，逐步缩小了成本、响应速度、服务等方面与国内企业的差距。</w:t>
      </w:r>
    </w:p>
    <w:p w14:paraId="704F8F58" w14:textId="77777777" w:rsidR="000A0ACD" w:rsidRDefault="00362A99">
      <w:pPr>
        <w:spacing w:beforeLines="50" w:before="156" w:line="360" w:lineRule="auto"/>
        <w:ind w:firstLineChars="200" w:firstLine="480"/>
        <w:jc w:val="both"/>
        <w:rPr>
          <w:rFonts w:ascii="Times New Roman" w:hAnsi="Times New Roman" w:cs="Times New Roman"/>
          <w:b/>
          <w:color w:val="000000"/>
          <w:szCs w:val="21"/>
        </w:rPr>
      </w:pPr>
      <w:r>
        <w:rPr>
          <w:rFonts w:ascii="Times New Roman" w:hAnsi="Times New Roman" w:cs="Times New Roman" w:hint="eastAsia"/>
          <w:bCs/>
        </w:rPr>
        <w:t>在非标自动化领域，研发设计需考虑客户的生产线、生产工艺、生产环境等因素，并根据客户定制要求进行零部件、模块的选配和组合，因此对行业内厂商的配套设计能力、项目执行经验、客户服务能力的要求较高</w:t>
      </w:r>
      <w:r>
        <w:rPr>
          <w:rFonts w:ascii="Times New Roman" w:hAnsi="Times New Roman" w:cs="Times New Roman" w:hint="eastAsia"/>
          <w:bCs/>
          <w:color w:val="000000"/>
          <w:lang w:val="en-GB"/>
        </w:rPr>
        <w:t>。</w:t>
      </w:r>
    </w:p>
    <w:p w14:paraId="373B21C0"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一、主要竞争对手</w:t>
      </w:r>
    </w:p>
    <w:p w14:paraId="728A831C"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公司所处行业内有多家竞争公司，国内行业内主要企业有广东拓斯达科技股份有限公司、杭州永创智能设备股份有限公司、快克智能装备股份有限公司、</w:t>
      </w:r>
      <w:r>
        <w:rPr>
          <w:rFonts w:ascii="Times New Roman" w:hAnsi="Times New Roman" w:cs="Times New Roman" w:hint="eastAsia"/>
          <w:color w:val="000000"/>
        </w:rPr>
        <w:t>沈阳新松机器人自动化股份有限公司、南京埃斯顿自动化股份有限公司</w:t>
      </w:r>
      <w:r>
        <w:rPr>
          <w:rFonts w:ascii="Times New Roman" w:hAnsi="Times New Roman" w:cs="Times New Roman" w:hint="eastAsia"/>
          <w:bCs/>
          <w:color w:val="000000"/>
          <w:lang w:val="en-GB"/>
        </w:rPr>
        <w:t>等。</w:t>
      </w:r>
    </w:p>
    <w:p w14:paraId="46D4CA7F"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w:t>
      </w:r>
      <w:r>
        <w:rPr>
          <w:rFonts w:ascii="Times New Roman" w:hAnsi="Times New Roman" w:cs="Times New Roman" w:hint="eastAsia"/>
          <w:b/>
          <w:color w:val="000000"/>
        </w:rPr>
        <w:t>一</w:t>
      </w:r>
      <w:r>
        <w:rPr>
          <w:rFonts w:ascii="Times New Roman" w:hAnsi="Times New Roman" w:cs="Times New Roman" w:hint="eastAsia"/>
          <w:b/>
          <w:color w:val="000000"/>
          <w:lang w:val="en-GB"/>
        </w:rPr>
        <w:t>）广东拓斯达科技股份有限公司（证券代码：</w:t>
      </w:r>
      <w:r>
        <w:rPr>
          <w:rFonts w:ascii="Times New Roman" w:hAnsi="Times New Roman" w:cs="Times New Roman"/>
          <w:b/>
          <w:color w:val="000000"/>
          <w:lang w:val="en-GB"/>
        </w:rPr>
        <w:t>300607</w:t>
      </w:r>
      <w:r>
        <w:rPr>
          <w:rFonts w:ascii="Times New Roman" w:hAnsi="Times New Roman" w:cs="Times New Roman" w:hint="eastAsia"/>
          <w:b/>
          <w:color w:val="000000"/>
          <w:lang w:val="en-GB"/>
        </w:rPr>
        <w:t>）</w:t>
      </w:r>
    </w:p>
    <w:p w14:paraId="6C6957C1"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拓斯达成立于</w:t>
      </w:r>
      <w:r>
        <w:rPr>
          <w:rFonts w:ascii="Times New Roman" w:hAnsi="Times New Roman" w:cs="Times New Roman" w:hint="eastAsia"/>
          <w:bCs/>
          <w:color w:val="000000"/>
          <w:lang w:val="en-GB"/>
        </w:rPr>
        <w:t>2007</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6</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1</w:t>
      </w:r>
      <w:r>
        <w:rPr>
          <w:rFonts w:ascii="Times New Roman" w:hAnsi="Times New Roman" w:cs="Times New Roman" w:hint="eastAsia"/>
          <w:bCs/>
          <w:color w:val="000000"/>
          <w:lang w:val="en-GB"/>
        </w:rPr>
        <w:t>日，</w:t>
      </w:r>
      <w:r>
        <w:rPr>
          <w:rFonts w:ascii="Times New Roman" w:hAnsi="Times New Roman" w:cs="Times New Roman" w:hint="eastAsia"/>
          <w:bCs/>
          <w:color w:val="000000"/>
          <w:lang w:val="en-GB"/>
        </w:rPr>
        <w:t>2017</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2</w:t>
      </w:r>
      <w:r>
        <w:rPr>
          <w:rFonts w:ascii="Times New Roman" w:hAnsi="Times New Roman" w:cs="Times New Roman" w:hint="eastAsia"/>
          <w:bCs/>
          <w:color w:val="000000"/>
          <w:lang w:val="en-GB"/>
        </w:rPr>
        <w:t>月在深交所创业板上市，是一家专业为下游制造业客户提供工业自动化整体解决方案及相关设备的高新技术企业。拓斯达的主要产品及服务包括机械手及配套方案、多关节机器人应用方案、注塑机辅机设备、注塑自动化供料及水电气系统等四大系列，广泛应用于</w:t>
      </w:r>
      <w:r>
        <w:rPr>
          <w:rFonts w:ascii="Times New Roman" w:hAnsi="Times New Roman" w:cs="Times New Roman" w:hint="eastAsia"/>
          <w:bCs/>
          <w:color w:val="000000"/>
          <w:lang w:val="en-GB"/>
        </w:rPr>
        <w:t>3C</w:t>
      </w:r>
      <w:r>
        <w:rPr>
          <w:rFonts w:ascii="Times New Roman" w:hAnsi="Times New Roman" w:cs="Times New Roman" w:hint="eastAsia"/>
          <w:bCs/>
          <w:color w:val="000000"/>
          <w:lang w:val="en-GB"/>
        </w:rPr>
        <w:t>（计算机、通讯和消费电子）、家用电器、汽车零部件、医疗器械等众多领域。经过多年发展，拓斯达凭借自身先进的技术研发能力、快速的客户响应能力及丰富的行业个性化应用经验，正逐渐成为国内工业自动化相关领域的领跑者。</w:t>
      </w:r>
    </w:p>
    <w:p w14:paraId="20587D5A"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w:t>
      </w:r>
      <w:r>
        <w:rPr>
          <w:rFonts w:ascii="Times New Roman" w:hAnsi="Times New Roman" w:cs="Times New Roman" w:hint="eastAsia"/>
          <w:b/>
          <w:color w:val="000000"/>
        </w:rPr>
        <w:t>二</w:t>
      </w:r>
      <w:r>
        <w:rPr>
          <w:rFonts w:ascii="Times New Roman" w:hAnsi="Times New Roman" w:cs="Times New Roman" w:hint="eastAsia"/>
          <w:b/>
          <w:color w:val="000000"/>
          <w:lang w:val="en-GB"/>
        </w:rPr>
        <w:t>）杭州永创智能设备股份有限公司（股票代码：</w:t>
      </w:r>
      <w:r>
        <w:rPr>
          <w:rFonts w:ascii="Times New Roman" w:hAnsi="Times New Roman" w:cs="Times New Roman"/>
          <w:b/>
          <w:color w:val="000000"/>
          <w:lang w:val="en-GB"/>
        </w:rPr>
        <w:t>603901</w:t>
      </w:r>
      <w:r>
        <w:rPr>
          <w:rFonts w:ascii="Times New Roman" w:hAnsi="Times New Roman" w:cs="Times New Roman" w:hint="eastAsia"/>
          <w:b/>
          <w:color w:val="000000"/>
          <w:lang w:val="en-GB"/>
        </w:rPr>
        <w:t>）</w:t>
      </w:r>
    </w:p>
    <w:p w14:paraId="7DCDB172"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永创智能成立于</w:t>
      </w:r>
      <w:r>
        <w:rPr>
          <w:rFonts w:ascii="Times New Roman" w:hAnsi="Times New Roman" w:cs="Times New Roman" w:hint="eastAsia"/>
          <w:bCs/>
          <w:color w:val="000000"/>
          <w:lang w:val="en-GB"/>
        </w:rPr>
        <w:t>2002</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11</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7</w:t>
      </w:r>
      <w:r>
        <w:rPr>
          <w:rFonts w:ascii="Times New Roman" w:hAnsi="Times New Roman" w:cs="Times New Roman" w:hint="eastAsia"/>
          <w:bCs/>
          <w:color w:val="000000"/>
          <w:lang w:val="en-GB"/>
        </w:rPr>
        <w:t>日，</w:t>
      </w:r>
      <w:r>
        <w:rPr>
          <w:rFonts w:ascii="Times New Roman" w:hAnsi="Times New Roman" w:cs="Times New Roman" w:hint="eastAsia"/>
          <w:bCs/>
          <w:color w:val="000000"/>
          <w:lang w:val="en-GB"/>
        </w:rPr>
        <w:t>2015</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5</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29</w:t>
      </w:r>
      <w:r>
        <w:rPr>
          <w:rFonts w:ascii="Times New Roman" w:hAnsi="Times New Roman" w:cs="Times New Roman" w:hint="eastAsia"/>
          <w:bCs/>
          <w:color w:val="000000"/>
          <w:lang w:val="en-GB"/>
        </w:rPr>
        <w:t>日于上交所主板上市，永创智能是全国智能包装装备系统领域的行业知名企业，国内大型整套包装生产线解决方案提供商，为客户提供离散</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混合型智能包装系统。</w:t>
      </w:r>
    </w:p>
    <w:p w14:paraId="571D54C1"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w:t>
      </w:r>
      <w:r>
        <w:rPr>
          <w:rFonts w:ascii="Times New Roman" w:hAnsi="Times New Roman" w:cs="Times New Roman" w:hint="eastAsia"/>
          <w:b/>
          <w:color w:val="000000"/>
        </w:rPr>
        <w:t>三</w:t>
      </w:r>
      <w:r>
        <w:rPr>
          <w:rFonts w:ascii="Times New Roman" w:hAnsi="Times New Roman" w:cs="Times New Roman" w:hint="eastAsia"/>
          <w:b/>
          <w:color w:val="000000"/>
          <w:lang w:val="en-GB"/>
        </w:rPr>
        <w:t>）快克智能装备股份有限公司（股票代码：</w:t>
      </w:r>
      <w:r>
        <w:rPr>
          <w:rFonts w:ascii="Times New Roman" w:hAnsi="Times New Roman" w:cs="Times New Roman"/>
          <w:b/>
          <w:color w:val="000000"/>
          <w:lang w:val="en-GB"/>
        </w:rPr>
        <w:t>603203</w:t>
      </w:r>
      <w:r>
        <w:rPr>
          <w:rFonts w:ascii="Times New Roman" w:hAnsi="Times New Roman" w:cs="Times New Roman" w:hint="eastAsia"/>
          <w:b/>
          <w:color w:val="000000"/>
          <w:lang w:val="en-GB"/>
        </w:rPr>
        <w:t>）</w:t>
      </w:r>
    </w:p>
    <w:p w14:paraId="1B495126"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快克股份成立于</w:t>
      </w:r>
      <w:r>
        <w:rPr>
          <w:rFonts w:ascii="Times New Roman" w:hAnsi="Times New Roman" w:cs="Times New Roman" w:hint="eastAsia"/>
          <w:bCs/>
          <w:color w:val="000000"/>
          <w:lang w:val="en-GB"/>
        </w:rPr>
        <w:t>2006</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6</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28</w:t>
      </w:r>
      <w:r>
        <w:rPr>
          <w:rFonts w:ascii="Times New Roman" w:hAnsi="Times New Roman" w:cs="Times New Roman" w:hint="eastAsia"/>
          <w:bCs/>
          <w:color w:val="000000"/>
          <w:lang w:val="en-GB"/>
        </w:rPr>
        <w:t>日，</w:t>
      </w:r>
      <w:r>
        <w:rPr>
          <w:rFonts w:ascii="Times New Roman" w:hAnsi="Times New Roman" w:cs="Times New Roman" w:hint="eastAsia"/>
          <w:bCs/>
          <w:color w:val="000000"/>
          <w:lang w:val="en-GB"/>
        </w:rPr>
        <w:t>2016</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11</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8</w:t>
      </w:r>
      <w:r>
        <w:rPr>
          <w:rFonts w:ascii="Times New Roman" w:hAnsi="Times New Roman" w:cs="Times New Roman" w:hint="eastAsia"/>
          <w:bCs/>
          <w:color w:val="000000"/>
          <w:lang w:val="en-GB"/>
        </w:rPr>
        <w:t>日于上交所主板上市。主营业务为以锡焊技术为核心的电子装联专用设备的研发、生产和销售，提供的产品和服务包括锡焊工具和机器人、装联作业的关联性设备以及柔性自动化生产线。</w:t>
      </w:r>
    </w:p>
    <w:p w14:paraId="66BADAE5"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（四）沈阳新松机器人自动化股份有限公司（股票代码：</w:t>
      </w:r>
      <w:r>
        <w:rPr>
          <w:rFonts w:ascii="Times New Roman" w:hAnsi="Times New Roman" w:cs="Times New Roman"/>
          <w:b/>
        </w:rPr>
        <w:t>300024</w:t>
      </w:r>
      <w:r>
        <w:rPr>
          <w:rFonts w:ascii="Times New Roman" w:hAnsi="Times New Roman" w:cs="Times New Roman" w:hint="eastAsia"/>
          <w:b/>
        </w:rPr>
        <w:t>）</w:t>
      </w:r>
    </w:p>
    <w:p w14:paraId="296C76F5"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沈阳新松机器人自动化股份有限公司成立于</w:t>
      </w:r>
      <w:r>
        <w:rPr>
          <w:rFonts w:ascii="Times New Roman" w:hAnsi="Times New Roman" w:cs="Times New Roman"/>
          <w:bCs/>
          <w:color w:val="000000"/>
          <w:lang w:val="en-GB"/>
        </w:rPr>
        <w:t>2000</w:t>
      </w:r>
      <w:r>
        <w:rPr>
          <w:rFonts w:ascii="Times New Roman" w:hAnsi="Times New Roman" w:cs="Times New Roman" w:hint="eastAsia"/>
          <w:bCs/>
          <w:color w:val="000000"/>
          <w:lang w:val="en-GB"/>
        </w:rPr>
        <w:t>年</w:t>
      </w:r>
      <w:r>
        <w:rPr>
          <w:rFonts w:ascii="Times New Roman" w:hAnsi="Times New Roman" w:cs="Times New Roman"/>
          <w:bCs/>
          <w:color w:val="000000"/>
          <w:lang w:val="en-GB"/>
        </w:rPr>
        <w:t>4</w:t>
      </w:r>
      <w:r>
        <w:rPr>
          <w:rFonts w:ascii="Times New Roman" w:hAnsi="Times New Roman" w:cs="Times New Roman" w:hint="eastAsia"/>
          <w:bCs/>
          <w:color w:val="000000"/>
          <w:lang w:val="en-GB"/>
        </w:rPr>
        <w:t>月</w:t>
      </w:r>
      <w:r>
        <w:rPr>
          <w:rFonts w:ascii="Times New Roman" w:hAnsi="Times New Roman" w:cs="Times New Roman"/>
          <w:bCs/>
          <w:color w:val="000000"/>
          <w:lang w:val="en-GB"/>
        </w:rPr>
        <w:t>30</w:t>
      </w:r>
      <w:r>
        <w:rPr>
          <w:rFonts w:ascii="Times New Roman" w:hAnsi="Times New Roman" w:cs="Times New Roman" w:hint="eastAsia"/>
          <w:bCs/>
          <w:color w:val="000000"/>
          <w:lang w:val="en-GB"/>
        </w:rPr>
        <w:t>日，</w:t>
      </w:r>
      <w:r>
        <w:rPr>
          <w:rFonts w:ascii="Times New Roman" w:hAnsi="Times New Roman" w:cs="Times New Roman"/>
          <w:bCs/>
          <w:color w:val="000000"/>
          <w:lang w:val="en-GB"/>
        </w:rPr>
        <w:t>2009</w:t>
      </w:r>
      <w:r>
        <w:rPr>
          <w:rFonts w:ascii="Times New Roman" w:hAnsi="Times New Roman" w:cs="Times New Roman" w:hint="eastAsia"/>
          <w:bCs/>
          <w:color w:val="000000"/>
          <w:lang w:val="en-GB"/>
        </w:rPr>
        <w:t>年</w:t>
      </w:r>
      <w:r>
        <w:rPr>
          <w:rFonts w:ascii="Times New Roman" w:hAnsi="Times New Roman" w:cs="Times New Roman"/>
          <w:bCs/>
          <w:color w:val="000000"/>
          <w:lang w:val="en-GB"/>
        </w:rPr>
        <w:t>10</w:t>
      </w:r>
      <w:r>
        <w:rPr>
          <w:rFonts w:ascii="Times New Roman" w:hAnsi="Times New Roman" w:cs="Times New Roman" w:hint="eastAsia"/>
          <w:bCs/>
          <w:color w:val="000000"/>
          <w:lang w:val="en-GB"/>
        </w:rPr>
        <w:t>月</w:t>
      </w:r>
      <w:r>
        <w:rPr>
          <w:rFonts w:ascii="Times New Roman" w:hAnsi="Times New Roman" w:cs="Times New Roman"/>
          <w:bCs/>
          <w:color w:val="000000"/>
          <w:lang w:val="en-GB"/>
        </w:rPr>
        <w:t>30</w:t>
      </w:r>
      <w:r>
        <w:rPr>
          <w:rFonts w:ascii="Times New Roman" w:hAnsi="Times New Roman" w:cs="Times New Roman" w:hint="eastAsia"/>
          <w:bCs/>
          <w:color w:val="000000"/>
          <w:lang w:val="en-GB"/>
        </w:rPr>
        <w:t>日于深交所创业板上市。公司的机器人产品线涵盖工业机器人、洁净</w:t>
      </w:r>
      <w:r>
        <w:rPr>
          <w:rFonts w:ascii="Times New Roman" w:hAnsi="Times New Roman" w:cs="Times New Roman"/>
          <w:bCs/>
          <w:color w:val="000000"/>
          <w:lang w:val="en-GB"/>
        </w:rPr>
        <w:t>(</w:t>
      </w:r>
      <w:r>
        <w:rPr>
          <w:rFonts w:ascii="Times New Roman" w:hAnsi="Times New Roman" w:cs="Times New Roman" w:hint="eastAsia"/>
          <w:bCs/>
          <w:color w:val="000000"/>
          <w:lang w:val="en-GB"/>
        </w:rPr>
        <w:t>真空</w:t>
      </w:r>
      <w:r>
        <w:rPr>
          <w:rFonts w:ascii="Times New Roman" w:hAnsi="Times New Roman" w:cs="Times New Roman"/>
          <w:bCs/>
          <w:color w:val="000000"/>
          <w:lang w:val="en-GB"/>
        </w:rPr>
        <w:t>)</w:t>
      </w:r>
      <w:r>
        <w:rPr>
          <w:rFonts w:ascii="Times New Roman" w:hAnsi="Times New Roman" w:cs="Times New Roman" w:hint="eastAsia"/>
          <w:bCs/>
          <w:color w:val="000000"/>
          <w:lang w:val="en-GB"/>
        </w:rPr>
        <w:t>机器人、移动机器人、特种机器人及智能服务机器人五大系列。在高端智能装备方面涉及智能物流、自动化成套装备、洁净装备、激光技术装备、轨道交通、节能环保装备、能源装备、特种装备等产业。</w:t>
      </w:r>
    </w:p>
    <w:p w14:paraId="411C60D5"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（五）南京埃斯顿自动化股份有限公司（股票代码：</w:t>
      </w:r>
      <w:r>
        <w:rPr>
          <w:rFonts w:ascii="Times New Roman" w:hAnsi="Times New Roman" w:cs="Times New Roman"/>
          <w:b/>
        </w:rPr>
        <w:t>002747</w:t>
      </w:r>
      <w:r>
        <w:rPr>
          <w:rFonts w:ascii="Times New Roman" w:hAnsi="Times New Roman" w:cs="Times New Roman" w:hint="eastAsia"/>
          <w:b/>
        </w:rPr>
        <w:t>）</w:t>
      </w:r>
    </w:p>
    <w:p w14:paraId="78BB9E52"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南京埃斯顿自动化股份有限公司成立于</w:t>
      </w:r>
      <w:r>
        <w:rPr>
          <w:rFonts w:ascii="Times New Roman" w:hAnsi="Times New Roman" w:cs="Times New Roman"/>
          <w:bCs/>
          <w:color w:val="000000"/>
          <w:lang w:val="en-GB"/>
        </w:rPr>
        <w:t>2002</w:t>
      </w:r>
      <w:r>
        <w:rPr>
          <w:rFonts w:ascii="Times New Roman" w:hAnsi="Times New Roman" w:cs="Times New Roman" w:hint="eastAsia"/>
          <w:bCs/>
          <w:color w:val="000000"/>
          <w:lang w:val="en-GB"/>
        </w:rPr>
        <w:t>年</w:t>
      </w:r>
      <w:r>
        <w:rPr>
          <w:rFonts w:ascii="Times New Roman" w:hAnsi="Times New Roman" w:cs="Times New Roman"/>
          <w:bCs/>
          <w:color w:val="000000"/>
          <w:lang w:val="en-GB"/>
        </w:rPr>
        <w:t>2</w:t>
      </w:r>
      <w:r>
        <w:rPr>
          <w:rFonts w:ascii="Times New Roman" w:hAnsi="Times New Roman" w:cs="Times New Roman" w:hint="eastAsia"/>
          <w:bCs/>
          <w:color w:val="000000"/>
          <w:lang w:val="en-GB"/>
        </w:rPr>
        <w:t>月</w:t>
      </w:r>
      <w:r>
        <w:rPr>
          <w:rFonts w:ascii="Times New Roman" w:hAnsi="Times New Roman" w:cs="Times New Roman"/>
          <w:bCs/>
          <w:color w:val="000000"/>
          <w:lang w:val="en-GB"/>
        </w:rPr>
        <w:t>26</w:t>
      </w:r>
      <w:r>
        <w:rPr>
          <w:rFonts w:ascii="Times New Roman" w:hAnsi="Times New Roman" w:cs="Times New Roman" w:hint="eastAsia"/>
          <w:bCs/>
          <w:color w:val="000000"/>
          <w:lang w:val="en-GB"/>
        </w:rPr>
        <w:t>日，</w:t>
      </w:r>
      <w:r>
        <w:rPr>
          <w:rFonts w:ascii="Times New Roman" w:hAnsi="Times New Roman" w:cs="Times New Roman"/>
          <w:bCs/>
          <w:color w:val="000000"/>
          <w:lang w:val="en-GB"/>
        </w:rPr>
        <w:t>2015</w:t>
      </w:r>
      <w:r>
        <w:rPr>
          <w:rFonts w:ascii="Times New Roman" w:hAnsi="Times New Roman" w:cs="Times New Roman" w:hint="eastAsia"/>
          <w:bCs/>
          <w:color w:val="000000"/>
          <w:lang w:val="en-GB"/>
        </w:rPr>
        <w:t>年</w:t>
      </w:r>
      <w:r>
        <w:rPr>
          <w:rFonts w:ascii="Times New Roman" w:hAnsi="Times New Roman" w:cs="Times New Roman"/>
          <w:bCs/>
          <w:color w:val="000000"/>
          <w:lang w:val="en-GB"/>
        </w:rPr>
        <w:t>3</w:t>
      </w:r>
      <w:r>
        <w:rPr>
          <w:rFonts w:ascii="Times New Roman" w:hAnsi="Times New Roman" w:cs="Times New Roman" w:hint="eastAsia"/>
          <w:bCs/>
          <w:color w:val="000000"/>
          <w:lang w:val="en-GB"/>
        </w:rPr>
        <w:t>月</w:t>
      </w:r>
      <w:r>
        <w:rPr>
          <w:rFonts w:ascii="Times New Roman" w:hAnsi="Times New Roman" w:cs="Times New Roman"/>
          <w:bCs/>
          <w:color w:val="000000"/>
          <w:lang w:val="en-GB"/>
        </w:rPr>
        <w:t>20</w:t>
      </w:r>
      <w:r>
        <w:rPr>
          <w:rFonts w:ascii="Times New Roman" w:hAnsi="Times New Roman" w:cs="Times New Roman" w:hint="eastAsia"/>
          <w:bCs/>
          <w:color w:val="000000"/>
          <w:lang w:val="en-GB"/>
        </w:rPr>
        <w:t>日于深交所中小板上市，埃斯顿业务主要分为两个核心业务模块：一是自动化核心部件及运动控制系统，二是工业机器人及智能制造系统。</w:t>
      </w:r>
    </w:p>
    <w:p w14:paraId="50B5B2EA"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上述企业在</w:t>
      </w:r>
      <w:r>
        <w:rPr>
          <w:rFonts w:ascii="Times New Roman" w:hAnsi="Times New Roman" w:cs="Times New Roman"/>
          <w:bCs/>
          <w:color w:val="000000"/>
          <w:lang w:val="en-GB"/>
        </w:rPr>
        <w:t>3C</w:t>
      </w:r>
      <w:r>
        <w:rPr>
          <w:rFonts w:ascii="Times New Roman" w:hAnsi="Times New Roman" w:cs="Times New Roman" w:hint="eastAsia"/>
          <w:bCs/>
          <w:color w:val="000000"/>
          <w:lang w:val="en-GB"/>
        </w:rPr>
        <w:t>、液晶显示器、汽车和工程机械、工业机器人及其集成应用、电力电机等领域具有较强的技术实力和很高的市场占有率，但与标的公司目前家电行业业务市场竞争交集较少。</w:t>
      </w:r>
    </w:p>
    <w:p w14:paraId="659D900D"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二、北洋天青核心竞争力</w:t>
      </w:r>
    </w:p>
    <w:p w14:paraId="68AC22C7" w14:textId="77777777" w:rsidR="000A0ACD" w:rsidRDefault="00362A99">
      <w:pPr>
        <w:spacing w:beforeLines="50" w:before="156" w:line="360" w:lineRule="auto"/>
        <w:ind w:firstLineChars="200" w:firstLine="480"/>
        <w:jc w:val="both"/>
        <w:rPr>
          <w:rFonts w:ascii="Times New Roman" w:hAnsi="Times New Roman" w:cs="Times New Roman"/>
          <w:bCs/>
        </w:rPr>
      </w:pPr>
      <w:bookmarkStart w:id="20" w:name="_Hlk59719982"/>
      <w:r>
        <w:rPr>
          <w:rFonts w:ascii="Times New Roman" w:hAnsi="Times New Roman" w:cs="Times New Roman" w:hint="eastAsia"/>
          <w:bCs/>
        </w:rPr>
        <w:t>北洋天青深耕家电行业，主要从事生产线智能化、信息化建设、升级和改造业务。标的公司专注于智能工厂的整体方案设计，是家电行业自动化服务商中少有的具有整厂整线设计开发能力的信息化、智能化的生产线柔性解决方案服务商。形成了包括工业机器人本体及系统集成、智能制造装备、机器视觉、测试系统集成、模具立体库自动换模系统、物流悬挂输送系统和企业信息化七大业务板块的产品线。</w:t>
      </w:r>
    </w:p>
    <w:p w14:paraId="2EBF2740"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标的公司每个业务板块可独立运作，为下游制造业客户提供工业智能化和信息化的产品，也可以相互配合、智能集成，为客户提供生产线智能化建设、升级和改造以及数字化生产车间的整体解决方案。标的公司依托软件信息化技术和业务板块的深度融合，让各板块设备具备数字化和智能化的功能，以满足客户生产的定制化智能化需求。</w:t>
      </w:r>
    </w:p>
    <w:p w14:paraId="76519EDC"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北洋天青的核心竞争力在于依托产品线的综合集成能力，其可以通过机器人系统集成、智能装备、自动测试系统等为客户建立家电行业整体生产线的自动化、智能化加工、装配、检测等系统，且拥有开发</w:t>
      </w:r>
      <w:r>
        <w:rPr>
          <w:rFonts w:ascii="Times New Roman" w:hAnsi="Times New Roman" w:cs="Times New Roman" w:hint="eastAsia"/>
          <w:bCs/>
        </w:rPr>
        <w:t>MES</w:t>
      </w:r>
      <w:r>
        <w:rPr>
          <w:rFonts w:ascii="Times New Roman" w:hAnsi="Times New Roman" w:cs="Times New Roman" w:hint="eastAsia"/>
          <w:bCs/>
        </w:rPr>
        <w:t>、</w:t>
      </w:r>
      <w:r>
        <w:rPr>
          <w:rFonts w:ascii="Times New Roman" w:hAnsi="Times New Roman" w:cs="Times New Roman" w:hint="eastAsia"/>
          <w:bCs/>
        </w:rPr>
        <w:t>SCADA</w:t>
      </w:r>
      <w:r>
        <w:rPr>
          <w:rFonts w:ascii="Times New Roman" w:hAnsi="Times New Roman" w:cs="Times New Roman" w:hint="eastAsia"/>
          <w:bCs/>
        </w:rPr>
        <w:t>、</w:t>
      </w:r>
      <w:r>
        <w:rPr>
          <w:rFonts w:ascii="Times New Roman" w:hAnsi="Times New Roman" w:cs="Times New Roman" w:hint="eastAsia"/>
          <w:bCs/>
        </w:rPr>
        <w:t>WMS</w:t>
      </w:r>
      <w:r>
        <w:rPr>
          <w:rFonts w:ascii="Times New Roman" w:hAnsi="Times New Roman" w:cs="Times New Roman" w:hint="eastAsia"/>
          <w:bCs/>
        </w:rPr>
        <w:t>、</w:t>
      </w:r>
      <w:r>
        <w:rPr>
          <w:rFonts w:ascii="Times New Roman" w:hAnsi="Times New Roman" w:cs="Times New Roman" w:hint="eastAsia"/>
          <w:bCs/>
        </w:rPr>
        <w:t>WMC</w:t>
      </w:r>
      <w:r>
        <w:rPr>
          <w:rFonts w:ascii="Times New Roman" w:hAnsi="Times New Roman" w:cs="Times New Roman" w:hint="eastAsia"/>
          <w:bCs/>
        </w:rPr>
        <w:t>系统等工业信息化软件的能力，帮助客户实现在生产制造环节中数据信息的实时采集、整合和集成以及自动化设备之间的互联，为客户提供自动化、智能化生产线的整体解决方案。</w:t>
      </w:r>
    </w:p>
    <w:p w14:paraId="34484B3E"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（一）技术优势</w:t>
      </w:r>
    </w:p>
    <w:p w14:paraId="547B63F6"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作为技术密集型和人才密集型的工业自动化行业内的企业，凭借强大的自主研发能力，成为了工业自动化领域的优秀企业。标的公司与天津大学、华中科技大学等高等院校合作，一直以来都注重自身研发能力的提升和研发团队的建立。为保证研发创新能力的可持续性，标的公司组建了拥有丰富专业理论知识和技术研发经验的研发团队。</w:t>
      </w:r>
    </w:p>
    <w:p w14:paraId="1CB6B76D"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截至本回复出具日，标的公司已获得专利</w:t>
      </w:r>
      <w:r>
        <w:rPr>
          <w:rFonts w:ascii="Times New Roman" w:hAnsi="Times New Roman" w:cs="Times New Roman"/>
          <w:bCs/>
          <w:color w:val="000000"/>
        </w:rPr>
        <w:t>3</w:t>
      </w:r>
      <w:r>
        <w:rPr>
          <w:rFonts w:ascii="Times New Roman" w:hAnsi="Times New Roman" w:cs="Times New Roman" w:hint="eastAsia"/>
          <w:bCs/>
          <w:color w:val="000000"/>
          <w:lang w:val="en-GB"/>
        </w:rPr>
        <w:t>项以及软件著作权</w:t>
      </w:r>
      <w:r>
        <w:rPr>
          <w:rFonts w:ascii="Times New Roman" w:hAnsi="Times New Roman" w:cs="Times New Roman" w:hint="eastAsia"/>
          <w:bCs/>
          <w:color w:val="000000"/>
          <w:lang w:val="en-GB"/>
        </w:rPr>
        <w:t>8</w:t>
      </w:r>
      <w:r>
        <w:rPr>
          <w:rFonts w:ascii="Times New Roman" w:hAnsi="Times New Roman" w:cs="Times New Roman" w:hint="eastAsia"/>
          <w:bCs/>
          <w:color w:val="000000"/>
          <w:lang w:val="en-GB"/>
        </w:rPr>
        <w:t>项，同时有</w:t>
      </w:r>
      <w:r>
        <w:rPr>
          <w:rFonts w:ascii="Times New Roman" w:hAnsi="Times New Roman" w:cs="Times New Roman"/>
          <w:bCs/>
          <w:color w:val="000000"/>
        </w:rPr>
        <w:t>20</w:t>
      </w:r>
      <w:r>
        <w:rPr>
          <w:rFonts w:ascii="Times New Roman" w:hAnsi="Times New Roman" w:cs="Times New Roman" w:hint="eastAsia"/>
          <w:bCs/>
          <w:color w:val="000000"/>
          <w:lang w:val="en-GB"/>
        </w:rPr>
        <w:t>项专利已获得受理通知书。标的公司主导的《工业机器人主体设计与制造》的项目，获得“青岛市科学技术奖”。北洋天青建立了工业机器人本体及系统集成、智能制造装备、机器视觉、测试系统集成、模具立体库自动换模系统、物流悬挂输送系统和企业信息化七大业务板块的产品线，满足不同需求的多元化产品体系，针对不同行业的需求，整合运动控制、影像处理、工业机器人、空中物流等技术，配合软件系统开发为客户提供最具竞争力的产品和服务。</w:t>
      </w:r>
    </w:p>
    <w:p w14:paraId="28A78905"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2018</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11</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30</w:t>
      </w:r>
      <w:r>
        <w:rPr>
          <w:rFonts w:ascii="Times New Roman" w:hAnsi="Times New Roman" w:cs="Times New Roman" w:hint="eastAsia"/>
          <w:bCs/>
          <w:color w:val="000000"/>
          <w:lang w:val="en-GB"/>
        </w:rPr>
        <w:t>日，北洋天青获得高新技术企业复审认定，连续多年成为高新技术企业；标的公司自主研发设计的家电行业机器人智能化总装线被评为“青岛市专精特新产品”。</w:t>
      </w:r>
    </w:p>
    <w:p w14:paraId="3E40560A" w14:textId="77777777" w:rsidR="000A0ACD" w:rsidRDefault="00362A99">
      <w:pPr>
        <w:pStyle w:val="affffd"/>
        <w:spacing w:before="156"/>
        <w:ind w:firstLine="482"/>
        <w:rPr>
          <w:b/>
          <w:bCs/>
        </w:rPr>
      </w:pPr>
      <w:r>
        <w:rPr>
          <w:b/>
          <w:bCs/>
        </w:rPr>
        <w:t>1</w:t>
      </w:r>
      <w:r>
        <w:rPr>
          <w:rFonts w:hint="eastAsia"/>
          <w:b/>
          <w:bCs/>
        </w:rPr>
        <w:t>、截至本回复出具日，标的公司拥有的专利技术情况如下：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7"/>
        <w:gridCol w:w="789"/>
        <w:gridCol w:w="1098"/>
        <w:gridCol w:w="2011"/>
        <w:gridCol w:w="1699"/>
        <w:gridCol w:w="1196"/>
        <w:gridCol w:w="682"/>
        <w:gridCol w:w="620"/>
      </w:tblGrid>
      <w:tr w:rsidR="000A0ACD" w14:paraId="273B7209" w14:textId="77777777">
        <w:trPr>
          <w:tblHeader/>
          <w:jc w:val="center"/>
        </w:trPr>
        <w:tc>
          <w:tcPr>
            <w:tcW w:w="257" w:type="pct"/>
            <w:shd w:val="clear" w:color="auto" w:fill="auto"/>
            <w:vAlign w:val="center"/>
          </w:tcPr>
          <w:p w14:paraId="45319393"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序号</w:t>
            </w:r>
          </w:p>
        </w:tc>
        <w:tc>
          <w:tcPr>
            <w:tcW w:w="511" w:type="pct"/>
            <w:shd w:val="clear" w:color="auto" w:fill="auto"/>
            <w:vAlign w:val="center"/>
          </w:tcPr>
          <w:p w14:paraId="19F7555B"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专利类型</w:t>
            </w:r>
          </w:p>
        </w:tc>
        <w:tc>
          <w:tcPr>
            <w:tcW w:w="671" w:type="pct"/>
            <w:shd w:val="clear" w:color="auto" w:fill="auto"/>
            <w:vAlign w:val="center"/>
          </w:tcPr>
          <w:p w14:paraId="40924D90"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专利名称</w:t>
            </w:r>
          </w:p>
        </w:tc>
        <w:tc>
          <w:tcPr>
            <w:tcW w:w="1207" w:type="pct"/>
            <w:shd w:val="clear" w:color="auto" w:fill="auto"/>
            <w:vAlign w:val="center"/>
          </w:tcPr>
          <w:p w14:paraId="47B66E6B"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专利号</w:t>
            </w:r>
          </w:p>
        </w:tc>
        <w:tc>
          <w:tcPr>
            <w:tcW w:w="1024" w:type="pct"/>
            <w:shd w:val="clear" w:color="auto" w:fill="auto"/>
            <w:vAlign w:val="center"/>
          </w:tcPr>
          <w:p w14:paraId="3CB6E84C"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专利权人</w:t>
            </w:r>
          </w:p>
        </w:tc>
        <w:tc>
          <w:tcPr>
            <w:tcW w:w="512" w:type="pct"/>
            <w:shd w:val="clear" w:color="auto" w:fill="auto"/>
            <w:vAlign w:val="center"/>
          </w:tcPr>
          <w:p w14:paraId="4FFA74E3"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申请日</w:t>
            </w:r>
          </w:p>
        </w:tc>
        <w:tc>
          <w:tcPr>
            <w:tcW w:w="427" w:type="pct"/>
            <w:shd w:val="clear" w:color="auto" w:fill="auto"/>
            <w:vAlign w:val="center"/>
          </w:tcPr>
          <w:p w14:paraId="56631B07"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取得方式</w:t>
            </w:r>
          </w:p>
        </w:tc>
        <w:tc>
          <w:tcPr>
            <w:tcW w:w="391" w:type="pct"/>
            <w:shd w:val="clear" w:color="auto" w:fill="auto"/>
            <w:vAlign w:val="center"/>
          </w:tcPr>
          <w:p w14:paraId="3310D155"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是否存在纠纷</w:t>
            </w:r>
          </w:p>
        </w:tc>
      </w:tr>
      <w:tr w:rsidR="000A0ACD" w14:paraId="08AA6554" w14:textId="77777777">
        <w:trPr>
          <w:trHeight w:val="848"/>
          <w:jc w:val="center"/>
        </w:trPr>
        <w:tc>
          <w:tcPr>
            <w:tcW w:w="257" w:type="pct"/>
            <w:shd w:val="clear" w:color="auto" w:fill="auto"/>
            <w:vAlign w:val="center"/>
          </w:tcPr>
          <w:p w14:paraId="2E929A0A"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511" w:type="pct"/>
            <w:shd w:val="clear" w:color="auto" w:fill="auto"/>
            <w:vAlign w:val="center"/>
          </w:tcPr>
          <w:p w14:paraId="492C3225"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实用新型专利</w:t>
            </w:r>
          </w:p>
        </w:tc>
        <w:tc>
          <w:tcPr>
            <w:tcW w:w="671" w:type="pct"/>
            <w:shd w:val="clear" w:color="auto" w:fill="auto"/>
            <w:vAlign w:val="center"/>
          </w:tcPr>
          <w:p w14:paraId="3F8C9E57" w14:textId="77777777" w:rsidR="000A0ACD" w:rsidRDefault="00362A99">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干衣机内筒涂胶设备及干衣机内筒生产线</w:t>
            </w:r>
          </w:p>
        </w:tc>
        <w:tc>
          <w:tcPr>
            <w:tcW w:w="1207" w:type="pct"/>
            <w:shd w:val="clear" w:color="auto" w:fill="auto"/>
            <w:vAlign w:val="center"/>
          </w:tcPr>
          <w:p w14:paraId="10A354D6"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ZL201820861063.X</w:t>
            </w:r>
          </w:p>
        </w:tc>
        <w:tc>
          <w:tcPr>
            <w:tcW w:w="1024" w:type="pct"/>
            <w:shd w:val="clear" w:color="auto" w:fill="auto"/>
            <w:vAlign w:val="center"/>
          </w:tcPr>
          <w:p w14:paraId="64FA586D"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512" w:type="pct"/>
            <w:shd w:val="clear" w:color="auto" w:fill="auto"/>
            <w:vAlign w:val="center"/>
          </w:tcPr>
          <w:p w14:paraId="731F40C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2018-05-30</w:t>
            </w:r>
          </w:p>
        </w:tc>
        <w:tc>
          <w:tcPr>
            <w:tcW w:w="427" w:type="pct"/>
            <w:shd w:val="clear" w:color="auto" w:fill="auto"/>
            <w:vAlign w:val="center"/>
          </w:tcPr>
          <w:p w14:paraId="110459A6"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391" w:type="pct"/>
            <w:shd w:val="clear" w:color="auto" w:fill="auto"/>
            <w:vAlign w:val="center"/>
          </w:tcPr>
          <w:p w14:paraId="6EF002DA"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0A0ACD" w14:paraId="40467D9B" w14:textId="77777777">
        <w:trPr>
          <w:trHeight w:val="848"/>
          <w:jc w:val="center"/>
        </w:trPr>
        <w:tc>
          <w:tcPr>
            <w:tcW w:w="257" w:type="pct"/>
            <w:shd w:val="clear" w:color="auto" w:fill="auto"/>
            <w:vAlign w:val="center"/>
          </w:tcPr>
          <w:p w14:paraId="0BFDEC0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511" w:type="pct"/>
            <w:shd w:val="clear" w:color="auto" w:fill="auto"/>
            <w:vAlign w:val="center"/>
          </w:tcPr>
          <w:p w14:paraId="2753CDD0"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实用新型专利</w:t>
            </w:r>
          </w:p>
        </w:tc>
        <w:tc>
          <w:tcPr>
            <w:tcW w:w="671" w:type="pct"/>
            <w:shd w:val="clear" w:color="auto" w:fill="auto"/>
            <w:vAlign w:val="center"/>
          </w:tcPr>
          <w:p w14:paraId="550B6A2C" w14:textId="77777777" w:rsidR="000A0ACD" w:rsidRDefault="00362A99">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干衣机门体涂胶设备及其干衣机门体生产线</w:t>
            </w:r>
          </w:p>
        </w:tc>
        <w:tc>
          <w:tcPr>
            <w:tcW w:w="1207" w:type="pct"/>
            <w:shd w:val="clear" w:color="auto" w:fill="auto"/>
            <w:vAlign w:val="center"/>
          </w:tcPr>
          <w:p w14:paraId="31F4EA0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ZL201820822040.8</w:t>
            </w:r>
          </w:p>
        </w:tc>
        <w:tc>
          <w:tcPr>
            <w:tcW w:w="1024" w:type="pct"/>
            <w:shd w:val="clear" w:color="auto" w:fill="auto"/>
            <w:vAlign w:val="center"/>
          </w:tcPr>
          <w:p w14:paraId="1BC22845"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512" w:type="pct"/>
            <w:shd w:val="clear" w:color="auto" w:fill="auto"/>
            <w:vAlign w:val="center"/>
          </w:tcPr>
          <w:p w14:paraId="028F94DE"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2018-05-30</w:t>
            </w:r>
          </w:p>
        </w:tc>
        <w:tc>
          <w:tcPr>
            <w:tcW w:w="427" w:type="pct"/>
            <w:shd w:val="clear" w:color="auto" w:fill="auto"/>
            <w:vAlign w:val="center"/>
          </w:tcPr>
          <w:p w14:paraId="594ECC28"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391" w:type="pct"/>
            <w:shd w:val="clear" w:color="auto" w:fill="auto"/>
            <w:vAlign w:val="center"/>
          </w:tcPr>
          <w:p w14:paraId="3EFB0DA0"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0A0ACD" w14:paraId="076A6407" w14:textId="77777777">
        <w:trPr>
          <w:trHeight w:val="848"/>
          <w:jc w:val="center"/>
        </w:trPr>
        <w:tc>
          <w:tcPr>
            <w:tcW w:w="257" w:type="pct"/>
            <w:shd w:val="clear" w:color="auto" w:fill="auto"/>
            <w:vAlign w:val="center"/>
          </w:tcPr>
          <w:p w14:paraId="6B4D6BE9"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511" w:type="pct"/>
            <w:shd w:val="clear" w:color="auto" w:fill="auto"/>
            <w:vAlign w:val="center"/>
          </w:tcPr>
          <w:p w14:paraId="1431CA39"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发明专利</w:t>
            </w:r>
          </w:p>
        </w:tc>
        <w:tc>
          <w:tcPr>
            <w:tcW w:w="671" w:type="pct"/>
            <w:shd w:val="clear" w:color="auto" w:fill="auto"/>
            <w:vAlign w:val="center"/>
          </w:tcPr>
          <w:p w14:paraId="5527BADB" w14:textId="77777777" w:rsidR="000A0ACD" w:rsidRDefault="00362A99">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一种进出水管打胶装置及其打胶方法</w:t>
            </w:r>
          </w:p>
        </w:tc>
        <w:tc>
          <w:tcPr>
            <w:tcW w:w="1207" w:type="pct"/>
            <w:shd w:val="clear" w:color="auto" w:fill="auto"/>
            <w:vAlign w:val="center"/>
          </w:tcPr>
          <w:p w14:paraId="70384EB4" w14:textId="6996D294" w:rsidR="000A0ACD" w:rsidRDefault="00E123D5">
            <w:pPr>
              <w:adjustRightInd w:val="0"/>
              <w:snapToGrid w:val="0"/>
              <w:jc w:val="center"/>
              <w:rPr>
                <w:rFonts w:ascii="Times New Roman" w:hAnsi="Times New Roman" w:cs="Times New Roman"/>
                <w:sz w:val="21"/>
                <w:szCs w:val="21"/>
              </w:rPr>
            </w:pPr>
            <w:r w:rsidRPr="00E123D5">
              <w:rPr>
                <w:rFonts w:ascii="Times New Roman" w:hAnsi="Times New Roman" w:cs="Times New Roman"/>
                <w:sz w:val="21"/>
                <w:szCs w:val="21"/>
              </w:rPr>
              <w:t>ZL201910459969.8</w:t>
            </w:r>
          </w:p>
        </w:tc>
        <w:tc>
          <w:tcPr>
            <w:tcW w:w="1024" w:type="pct"/>
            <w:shd w:val="clear" w:color="auto" w:fill="auto"/>
            <w:vAlign w:val="center"/>
          </w:tcPr>
          <w:p w14:paraId="3B3045DA" w14:textId="77777777" w:rsidR="000A0ACD" w:rsidRDefault="00362A99">
            <w:pPr>
              <w:adjustRightInd w:val="0"/>
              <w:snapToGrid w:val="0"/>
              <w:ind w:leftChars="-41" w:left="-98"/>
              <w:jc w:val="center"/>
              <w:rPr>
                <w:rFonts w:ascii="Times New Roman" w:hAnsi="Times New Roman" w:cs="Times New Roman"/>
                <w:sz w:val="21"/>
                <w:szCs w:val="21"/>
              </w:rPr>
            </w:pPr>
            <w:r>
              <w:rPr>
                <w:rFonts w:ascii="Times New Roman" w:hAnsi="Times New Roman" w:cs="Times New Roman" w:hint="eastAsia"/>
                <w:sz w:val="21"/>
                <w:szCs w:val="21"/>
              </w:rPr>
              <w:t>北洋天青、青岛海尔智慧电器设备有限公司</w:t>
            </w:r>
          </w:p>
        </w:tc>
        <w:tc>
          <w:tcPr>
            <w:tcW w:w="512" w:type="pct"/>
            <w:shd w:val="clear" w:color="auto" w:fill="auto"/>
            <w:vAlign w:val="center"/>
          </w:tcPr>
          <w:p w14:paraId="45F49CC7"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2019-05-30</w:t>
            </w:r>
          </w:p>
        </w:tc>
        <w:tc>
          <w:tcPr>
            <w:tcW w:w="427" w:type="pct"/>
            <w:shd w:val="clear" w:color="auto" w:fill="auto"/>
            <w:vAlign w:val="center"/>
          </w:tcPr>
          <w:p w14:paraId="542F5D4D"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391" w:type="pct"/>
            <w:shd w:val="clear" w:color="auto" w:fill="auto"/>
            <w:vAlign w:val="center"/>
          </w:tcPr>
          <w:p w14:paraId="381B391A"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bl>
    <w:p w14:paraId="178C2242" w14:textId="77777777" w:rsidR="000A0ACD" w:rsidRDefault="00362A99">
      <w:pPr>
        <w:spacing w:beforeLines="50" w:before="156" w:line="360" w:lineRule="auto"/>
        <w:ind w:firstLineChars="200" w:firstLine="482"/>
        <w:jc w:val="both"/>
        <w:rPr>
          <w:rFonts w:ascii="Times New Roman" w:hAnsi="Times New Roman" w:cs="Times New Roman"/>
          <w:b/>
        </w:rPr>
      </w:pPr>
      <w:r>
        <w:rPr>
          <w:rFonts w:ascii="Times New Roman" w:hAnsi="Times New Roman" w:cs="Times New Roman" w:hint="eastAsia"/>
          <w:b/>
        </w:rPr>
        <w:t>2</w:t>
      </w:r>
      <w:r>
        <w:rPr>
          <w:rFonts w:ascii="Times New Roman" w:hAnsi="Times New Roman" w:cs="Times New Roman" w:hint="eastAsia"/>
          <w:b/>
        </w:rPr>
        <w:t>、截至本回复出具日，北洋天青拥有软件著作权</w:t>
      </w:r>
      <w:r>
        <w:rPr>
          <w:rFonts w:ascii="Times New Roman" w:hAnsi="Times New Roman" w:cs="Times New Roman" w:hint="eastAsia"/>
          <w:b/>
        </w:rPr>
        <w:t>8</w:t>
      </w:r>
      <w:r>
        <w:rPr>
          <w:rFonts w:ascii="Times New Roman" w:hAnsi="Times New Roman" w:cs="Times New Roman" w:hint="eastAsia"/>
          <w:b/>
        </w:rPr>
        <w:t>项，具体情况如下表所示：</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38"/>
        <w:gridCol w:w="2255"/>
        <w:gridCol w:w="1525"/>
        <w:gridCol w:w="747"/>
        <w:gridCol w:w="741"/>
        <w:gridCol w:w="724"/>
        <w:gridCol w:w="718"/>
        <w:gridCol w:w="718"/>
        <w:gridCol w:w="656"/>
      </w:tblGrid>
      <w:tr w:rsidR="000A0ACD" w14:paraId="553BFBFA" w14:textId="77777777">
        <w:trPr>
          <w:trHeight w:val="397"/>
          <w:tblHeader/>
          <w:jc w:val="center"/>
        </w:trPr>
        <w:tc>
          <w:tcPr>
            <w:tcW w:w="257" w:type="pct"/>
            <w:vAlign w:val="center"/>
          </w:tcPr>
          <w:p w14:paraId="760AFCEA" w14:textId="77777777" w:rsidR="000A0ACD" w:rsidRDefault="00362A99">
            <w:pPr>
              <w:adjustRightInd w:val="0"/>
              <w:snapToGrid w:val="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序号</w:t>
            </w:r>
          </w:p>
        </w:tc>
        <w:tc>
          <w:tcPr>
            <w:tcW w:w="1323" w:type="pct"/>
            <w:vAlign w:val="center"/>
          </w:tcPr>
          <w:p w14:paraId="1E958D07"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软件名称</w:t>
            </w:r>
          </w:p>
        </w:tc>
        <w:tc>
          <w:tcPr>
            <w:tcW w:w="895" w:type="pct"/>
            <w:vAlign w:val="center"/>
          </w:tcPr>
          <w:p w14:paraId="6A500E4C"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登记号</w:t>
            </w:r>
          </w:p>
        </w:tc>
        <w:tc>
          <w:tcPr>
            <w:tcW w:w="438" w:type="pct"/>
            <w:vAlign w:val="center"/>
          </w:tcPr>
          <w:p w14:paraId="1C4161C3"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著作权人</w:t>
            </w:r>
          </w:p>
        </w:tc>
        <w:tc>
          <w:tcPr>
            <w:tcW w:w="435" w:type="pct"/>
            <w:vAlign w:val="center"/>
          </w:tcPr>
          <w:p w14:paraId="13503BC0"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开发完成日期</w:t>
            </w:r>
          </w:p>
        </w:tc>
        <w:tc>
          <w:tcPr>
            <w:tcW w:w="425" w:type="pct"/>
            <w:vAlign w:val="center"/>
          </w:tcPr>
          <w:p w14:paraId="0810FA4A"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首次发表日期</w:t>
            </w:r>
          </w:p>
        </w:tc>
        <w:tc>
          <w:tcPr>
            <w:tcW w:w="421" w:type="pct"/>
            <w:vAlign w:val="center"/>
          </w:tcPr>
          <w:p w14:paraId="0E5E8B94"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取得方式</w:t>
            </w:r>
          </w:p>
        </w:tc>
        <w:tc>
          <w:tcPr>
            <w:tcW w:w="421" w:type="pct"/>
            <w:vAlign w:val="center"/>
          </w:tcPr>
          <w:p w14:paraId="5C1D6410"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权利范围</w:t>
            </w:r>
          </w:p>
        </w:tc>
        <w:tc>
          <w:tcPr>
            <w:tcW w:w="386" w:type="pct"/>
            <w:vAlign w:val="center"/>
          </w:tcPr>
          <w:p w14:paraId="6E949599"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是否存在纠纷</w:t>
            </w:r>
          </w:p>
        </w:tc>
      </w:tr>
      <w:tr w:rsidR="000A0ACD" w14:paraId="56535E20" w14:textId="77777777">
        <w:trPr>
          <w:trHeight w:val="397"/>
          <w:jc w:val="center"/>
        </w:trPr>
        <w:tc>
          <w:tcPr>
            <w:tcW w:w="257" w:type="pct"/>
            <w:vAlign w:val="center"/>
          </w:tcPr>
          <w:p w14:paraId="793E8726" w14:textId="77777777" w:rsidR="000A0ACD" w:rsidRDefault="00362A99">
            <w:pPr>
              <w:adjustRightInd w:val="0"/>
              <w:snapToGrid w:val="0"/>
              <w:spacing w:before="156" w:after="156"/>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323" w:type="pct"/>
            <w:vAlign w:val="center"/>
          </w:tcPr>
          <w:p w14:paraId="6ED3BB22"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自动化立库管理系统</w:t>
            </w:r>
            <w:r>
              <w:rPr>
                <w:rFonts w:ascii="Times New Roman" w:hAnsi="Times New Roman" w:cs="Times New Roman" w:hint="eastAsia"/>
                <w:sz w:val="21"/>
                <w:szCs w:val="21"/>
              </w:rPr>
              <w:t>V1.0</w:t>
            </w:r>
          </w:p>
        </w:tc>
        <w:tc>
          <w:tcPr>
            <w:tcW w:w="895" w:type="pct"/>
            <w:vAlign w:val="center"/>
          </w:tcPr>
          <w:p w14:paraId="4BBEEAC8"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2016SR168396</w:t>
            </w:r>
          </w:p>
        </w:tc>
        <w:tc>
          <w:tcPr>
            <w:tcW w:w="438" w:type="pct"/>
            <w:vAlign w:val="center"/>
          </w:tcPr>
          <w:p w14:paraId="7641D5FE"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北洋天青</w:t>
            </w:r>
          </w:p>
        </w:tc>
        <w:tc>
          <w:tcPr>
            <w:tcW w:w="435" w:type="pct"/>
            <w:vAlign w:val="center"/>
          </w:tcPr>
          <w:p w14:paraId="56BB5B39"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2015-11-10</w:t>
            </w:r>
          </w:p>
        </w:tc>
        <w:tc>
          <w:tcPr>
            <w:tcW w:w="425" w:type="pct"/>
            <w:vAlign w:val="center"/>
          </w:tcPr>
          <w:p w14:paraId="6CA76D8D"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2016-01-15</w:t>
            </w:r>
          </w:p>
        </w:tc>
        <w:tc>
          <w:tcPr>
            <w:tcW w:w="421" w:type="pct"/>
            <w:vAlign w:val="center"/>
          </w:tcPr>
          <w:p w14:paraId="6E229DE0"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原始取得</w:t>
            </w:r>
          </w:p>
        </w:tc>
        <w:tc>
          <w:tcPr>
            <w:tcW w:w="421" w:type="pct"/>
            <w:vAlign w:val="center"/>
          </w:tcPr>
          <w:p w14:paraId="410F8AB1"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全部权利</w:t>
            </w:r>
          </w:p>
        </w:tc>
        <w:tc>
          <w:tcPr>
            <w:tcW w:w="386" w:type="pct"/>
            <w:vAlign w:val="center"/>
          </w:tcPr>
          <w:p w14:paraId="0C488CEF"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否</w:t>
            </w:r>
          </w:p>
        </w:tc>
      </w:tr>
      <w:tr w:rsidR="000A0ACD" w14:paraId="3125CC3E" w14:textId="77777777">
        <w:trPr>
          <w:trHeight w:val="397"/>
          <w:jc w:val="center"/>
        </w:trPr>
        <w:tc>
          <w:tcPr>
            <w:tcW w:w="257" w:type="pct"/>
            <w:vAlign w:val="center"/>
          </w:tcPr>
          <w:p w14:paraId="574EDF65" w14:textId="77777777" w:rsidR="000A0ACD" w:rsidRDefault="00362A99">
            <w:pPr>
              <w:adjustRightInd w:val="0"/>
              <w:snapToGrid w:val="0"/>
              <w:spacing w:before="156" w:after="156"/>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323" w:type="pct"/>
            <w:vAlign w:val="center"/>
          </w:tcPr>
          <w:p w14:paraId="07DD0381"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自动化物流调度控制系统</w:t>
            </w:r>
            <w:r>
              <w:rPr>
                <w:rFonts w:ascii="Times New Roman" w:hAnsi="Times New Roman" w:cs="Times New Roman" w:hint="eastAsia"/>
                <w:sz w:val="21"/>
                <w:szCs w:val="21"/>
              </w:rPr>
              <w:t>V1.0</w:t>
            </w:r>
          </w:p>
        </w:tc>
        <w:tc>
          <w:tcPr>
            <w:tcW w:w="895" w:type="pct"/>
            <w:vAlign w:val="center"/>
          </w:tcPr>
          <w:p w14:paraId="44DC2F39"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2016SR168352</w:t>
            </w:r>
          </w:p>
        </w:tc>
        <w:tc>
          <w:tcPr>
            <w:tcW w:w="438" w:type="pct"/>
            <w:vAlign w:val="center"/>
          </w:tcPr>
          <w:p w14:paraId="4E0C82DC"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北洋天青</w:t>
            </w:r>
          </w:p>
        </w:tc>
        <w:tc>
          <w:tcPr>
            <w:tcW w:w="435" w:type="pct"/>
            <w:vAlign w:val="center"/>
          </w:tcPr>
          <w:p w14:paraId="51051401"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2015-11-10</w:t>
            </w:r>
          </w:p>
        </w:tc>
        <w:tc>
          <w:tcPr>
            <w:tcW w:w="425" w:type="pct"/>
            <w:vAlign w:val="center"/>
          </w:tcPr>
          <w:p w14:paraId="4ADD3B49"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2016-01-15</w:t>
            </w:r>
          </w:p>
        </w:tc>
        <w:tc>
          <w:tcPr>
            <w:tcW w:w="421" w:type="pct"/>
            <w:vAlign w:val="center"/>
          </w:tcPr>
          <w:p w14:paraId="24383FF4"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原始取得</w:t>
            </w:r>
          </w:p>
        </w:tc>
        <w:tc>
          <w:tcPr>
            <w:tcW w:w="421" w:type="pct"/>
            <w:vAlign w:val="center"/>
          </w:tcPr>
          <w:p w14:paraId="1CFA44B7"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全部权利</w:t>
            </w:r>
          </w:p>
        </w:tc>
        <w:tc>
          <w:tcPr>
            <w:tcW w:w="386" w:type="pct"/>
            <w:vAlign w:val="center"/>
          </w:tcPr>
          <w:p w14:paraId="482AE87D"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否</w:t>
            </w:r>
          </w:p>
        </w:tc>
      </w:tr>
      <w:tr w:rsidR="000A0ACD" w14:paraId="294871A1" w14:textId="77777777">
        <w:trPr>
          <w:trHeight w:val="397"/>
          <w:jc w:val="center"/>
        </w:trPr>
        <w:tc>
          <w:tcPr>
            <w:tcW w:w="257" w:type="pct"/>
            <w:vAlign w:val="center"/>
          </w:tcPr>
          <w:p w14:paraId="12192F48" w14:textId="77777777" w:rsidR="000A0ACD" w:rsidRDefault="00362A99">
            <w:pPr>
              <w:adjustRightInd w:val="0"/>
              <w:snapToGrid w:val="0"/>
              <w:spacing w:before="156" w:after="156"/>
              <w:jc w:val="center"/>
              <w:rPr>
                <w:rFonts w:ascii="Times New Roman" w:hAnsi="Times New Roman" w:cs="Times New Roman"/>
                <w:color w:val="000000"/>
                <w:sz w:val="21"/>
                <w:szCs w:val="21"/>
              </w:rPr>
            </w:pPr>
            <w:r>
              <w:rPr>
                <w:rFonts w:ascii="Times New Roman" w:hAnsi="Times New Roman" w:cs="Times New Roman"/>
                <w:sz w:val="21"/>
                <w:szCs w:val="21"/>
              </w:rPr>
              <w:t>3</w:t>
            </w:r>
          </w:p>
        </w:tc>
        <w:tc>
          <w:tcPr>
            <w:tcW w:w="1323" w:type="pct"/>
            <w:vAlign w:val="center"/>
          </w:tcPr>
          <w:p w14:paraId="6B379EF1"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自动化物流智能终端管理系统</w:t>
            </w:r>
            <w:r>
              <w:rPr>
                <w:rFonts w:ascii="Times New Roman" w:hAnsi="Times New Roman" w:cs="Times New Roman" w:hint="eastAsia"/>
                <w:sz w:val="21"/>
                <w:szCs w:val="21"/>
              </w:rPr>
              <w:t>V1.0</w:t>
            </w:r>
          </w:p>
        </w:tc>
        <w:tc>
          <w:tcPr>
            <w:tcW w:w="895" w:type="pct"/>
            <w:vAlign w:val="center"/>
          </w:tcPr>
          <w:p w14:paraId="4FD96FD2"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2016SR168358</w:t>
            </w:r>
          </w:p>
        </w:tc>
        <w:tc>
          <w:tcPr>
            <w:tcW w:w="438" w:type="pct"/>
            <w:vAlign w:val="center"/>
          </w:tcPr>
          <w:p w14:paraId="63A3B742"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北洋天青</w:t>
            </w:r>
          </w:p>
        </w:tc>
        <w:tc>
          <w:tcPr>
            <w:tcW w:w="435" w:type="pct"/>
            <w:vAlign w:val="center"/>
          </w:tcPr>
          <w:p w14:paraId="1ABA555E"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2015-11-10</w:t>
            </w:r>
          </w:p>
        </w:tc>
        <w:tc>
          <w:tcPr>
            <w:tcW w:w="425" w:type="pct"/>
            <w:vAlign w:val="center"/>
          </w:tcPr>
          <w:p w14:paraId="7969AA52"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2016-01-15</w:t>
            </w:r>
          </w:p>
        </w:tc>
        <w:tc>
          <w:tcPr>
            <w:tcW w:w="421" w:type="pct"/>
            <w:vAlign w:val="center"/>
          </w:tcPr>
          <w:p w14:paraId="65B80E50"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原始取得</w:t>
            </w:r>
          </w:p>
        </w:tc>
        <w:tc>
          <w:tcPr>
            <w:tcW w:w="421" w:type="pct"/>
            <w:vAlign w:val="center"/>
          </w:tcPr>
          <w:p w14:paraId="6109FD16"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全部权利</w:t>
            </w:r>
          </w:p>
        </w:tc>
        <w:tc>
          <w:tcPr>
            <w:tcW w:w="386" w:type="pct"/>
            <w:vAlign w:val="center"/>
          </w:tcPr>
          <w:p w14:paraId="573F0FA8"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否</w:t>
            </w:r>
          </w:p>
        </w:tc>
      </w:tr>
      <w:tr w:rsidR="000A0ACD" w14:paraId="0463C404" w14:textId="77777777">
        <w:trPr>
          <w:trHeight w:val="397"/>
          <w:jc w:val="center"/>
        </w:trPr>
        <w:tc>
          <w:tcPr>
            <w:tcW w:w="257" w:type="pct"/>
            <w:vAlign w:val="center"/>
          </w:tcPr>
          <w:p w14:paraId="5B3BFFE8" w14:textId="77777777" w:rsidR="000A0ACD" w:rsidRDefault="00362A99">
            <w:pPr>
              <w:adjustRightInd w:val="0"/>
              <w:snapToGrid w:val="0"/>
              <w:spacing w:before="156" w:after="156"/>
              <w:jc w:val="center"/>
              <w:rPr>
                <w:rFonts w:ascii="Times New Roman" w:hAnsi="Times New Roman" w:cs="Times New Roman"/>
                <w:sz w:val="21"/>
                <w:szCs w:val="21"/>
              </w:rPr>
            </w:pPr>
            <w:r>
              <w:rPr>
                <w:rFonts w:ascii="Times New Roman" w:hAnsi="Times New Roman" w:cs="Times New Roman"/>
                <w:sz w:val="21"/>
                <w:szCs w:val="21"/>
              </w:rPr>
              <w:t>4</w:t>
            </w:r>
          </w:p>
        </w:tc>
        <w:tc>
          <w:tcPr>
            <w:tcW w:w="1323" w:type="pct"/>
            <w:vAlign w:val="center"/>
          </w:tcPr>
          <w:p w14:paraId="27D55FFE"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饮料行业</w:t>
            </w:r>
            <w:r>
              <w:rPr>
                <w:rFonts w:ascii="Times New Roman" w:hAnsi="Times New Roman" w:cs="Times New Roman" w:hint="eastAsia"/>
                <w:sz w:val="21"/>
                <w:szCs w:val="21"/>
              </w:rPr>
              <w:t>WMS</w:t>
            </w:r>
            <w:r>
              <w:rPr>
                <w:rFonts w:ascii="Times New Roman" w:hAnsi="Times New Roman" w:cs="Times New Roman" w:hint="eastAsia"/>
                <w:sz w:val="21"/>
                <w:szCs w:val="21"/>
              </w:rPr>
              <w:t>管理系统</w:t>
            </w:r>
            <w:r>
              <w:rPr>
                <w:rFonts w:ascii="Times New Roman" w:hAnsi="Times New Roman" w:cs="Times New Roman" w:hint="eastAsia"/>
                <w:sz w:val="21"/>
                <w:szCs w:val="21"/>
              </w:rPr>
              <w:t>V1.0</w:t>
            </w:r>
          </w:p>
        </w:tc>
        <w:tc>
          <w:tcPr>
            <w:tcW w:w="895" w:type="pct"/>
            <w:vAlign w:val="center"/>
          </w:tcPr>
          <w:p w14:paraId="3FD05EA7"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2018SR596275</w:t>
            </w:r>
          </w:p>
        </w:tc>
        <w:tc>
          <w:tcPr>
            <w:tcW w:w="438" w:type="pct"/>
            <w:vAlign w:val="center"/>
          </w:tcPr>
          <w:p w14:paraId="37CBFC2B"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435" w:type="pct"/>
            <w:vAlign w:val="center"/>
          </w:tcPr>
          <w:p w14:paraId="2795CCBF"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2018-05-17</w:t>
            </w:r>
          </w:p>
        </w:tc>
        <w:tc>
          <w:tcPr>
            <w:tcW w:w="425" w:type="pct"/>
            <w:vAlign w:val="center"/>
          </w:tcPr>
          <w:p w14:paraId="38DC8E09"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2018-05-17</w:t>
            </w:r>
          </w:p>
        </w:tc>
        <w:tc>
          <w:tcPr>
            <w:tcW w:w="421" w:type="pct"/>
            <w:vAlign w:val="center"/>
          </w:tcPr>
          <w:p w14:paraId="0041B029"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421" w:type="pct"/>
            <w:vAlign w:val="center"/>
          </w:tcPr>
          <w:p w14:paraId="730FD3E8"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全部权利</w:t>
            </w:r>
          </w:p>
        </w:tc>
        <w:tc>
          <w:tcPr>
            <w:tcW w:w="386" w:type="pct"/>
            <w:vAlign w:val="center"/>
          </w:tcPr>
          <w:p w14:paraId="41416245"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0A0ACD" w14:paraId="26A098BD" w14:textId="77777777">
        <w:trPr>
          <w:trHeight w:val="397"/>
          <w:jc w:val="center"/>
        </w:trPr>
        <w:tc>
          <w:tcPr>
            <w:tcW w:w="257" w:type="pct"/>
            <w:vAlign w:val="center"/>
          </w:tcPr>
          <w:p w14:paraId="026383DB" w14:textId="77777777" w:rsidR="000A0ACD" w:rsidRDefault="00362A99">
            <w:pPr>
              <w:adjustRightInd w:val="0"/>
              <w:snapToGrid w:val="0"/>
              <w:spacing w:before="156" w:after="156"/>
              <w:jc w:val="center"/>
              <w:rPr>
                <w:rFonts w:ascii="Times New Roman" w:hAnsi="Times New Roman" w:cs="Times New Roman"/>
                <w:sz w:val="21"/>
                <w:szCs w:val="21"/>
              </w:rPr>
            </w:pPr>
            <w:r>
              <w:rPr>
                <w:rFonts w:ascii="Times New Roman" w:hAnsi="Times New Roman" w:cs="Times New Roman"/>
                <w:sz w:val="21"/>
                <w:szCs w:val="21"/>
              </w:rPr>
              <w:t>5</w:t>
            </w:r>
          </w:p>
        </w:tc>
        <w:tc>
          <w:tcPr>
            <w:tcW w:w="1323" w:type="pct"/>
            <w:vAlign w:val="center"/>
          </w:tcPr>
          <w:p w14:paraId="3EC61717"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家电行业组装产线数字化平台</w:t>
            </w:r>
            <w:r>
              <w:rPr>
                <w:rFonts w:ascii="Times New Roman" w:hAnsi="Times New Roman" w:cs="Times New Roman" w:hint="eastAsia"/>
                <w:sz w:val="21"/>
                <w:szCs w:val="21"/>
              </w:rPr>
              <w:t>V1.0</w:t>
            </w:r>
          </w:p>
        </w:tc>
        <w:tc>
          <w:tcPr>
            <w:tcW w:w="895" w:type="pct"/>
            <w:vAlign w:val="center"/>
          </w:tcPr>
          <w:p w14:paraId="50709F7B"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2018SR905099</w:t>
            </w:r>
          </w:p>
        </w:tc>
        <w:tc>
          <w:tcPr>
            <w:tcW w:w="438" w:type="pct"/>
            <w:vAlign w:val="center"/>
          </w:tcPr>
          <w:p w14:paraId="0BA2FF2A"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435" w:type="pct"/>
            <w:vAlign w:val="center"/>
          </w:tcPr>
          <w:p w14:paraId="07239AB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2017-10-10</w:t>
            </w:r>
          </w:p>
        </w:tc>
        <w:tc>
          <w:tcPr>
            <w:tcW w:w="425" w:type="pct"/>
            <w:vAlign w:val="center"/>
          </w:tcPr>
          <w:p w14:paraId="7BF2471F"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2017-11-15</w:t>
            </w:r>
          </w:p>
        </w:tc>
        <w:tc>
          <w:tcPr>
            <w:tcW w:w="421" w:type="pct"/>
            <w:vAlign w:val="center"/>
          </w:tcPr>
          <w:p w14:paraId="189F73C3"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421" w:type="pct"/>
            <w:vAlign w:val="center"/>
          </w:tcPr>
          <w:p w14:paraId="3828D14A"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全部权利</w:t>
            </w:r>
          </w:p>
        </w:tc>
        <w:tc>
          <w:tcPr>
            <w:tcW w:w="386" w:type="pct"/>
            <w:vAlign w:val="center"/>
          </w:tcPr>
          <w:p w14:paraId="10F1C85F"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0A0ACD" w14:paraId="110FEFAB" w14:textId="77777777">
        <w:trPr>
          <w:trHeight w:val="397"/>
          <w:jc w:val="center"/>
        </w:trPr>
        <w:tc>
          <w:tcPr>
            <w:tcW w:w="257" w:type="pct"/>
            <w:vAlign w:val="center"/>
          </w:tcPr>
          <w:p w14:paraId="7A105549" w14:textId="77777777" w:rsidR="000A0ACD" w:rsidRDefault="00362A99">
            <w:pPr>
              <w:adjustRightInd w:val="0"/>
              <w:snapToGrid w:val="0"/>
              <w:spacing w:before="156" w:after="156"/>
              <w:jc w:val="center"/>
              <w:rPr>
                <w:rFonts w:ascii="Times New Roman" w:hAnsi="Times New Roman" w:cs="Times New Roman"/>
                <w:sz w:val="21"/>
                <w:szCs w:val="21"/>
              </w:rPr>
            </w:pPr>
            <w:r>
              <w:rPr>
                <w:rFonts w:ascii="Times New Roman" w:hAnsi="Times New Roman" w:cs="Times New Roman"/>
                <w:sz w:val="21"/>
                <w:szCs w:val="21"/>
              </w:rPr>
              <w:t>6</w:t>
            </w:r>
          </w:p>
        </w:tc>
        <w:tc>
          <w:tcPr>
            <w:tcW w:w="1323" w:type="pct"/>
            <w:vAlign w:val="center"/>
          </w:tcPr>
          <w:p w14:paraId="5FA4CE6C"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家电行业制造运营管理系统</w:t>
            </w:r>
            <w:r>
              <w:rPr>
                <w:rFonts w:ascii="Times New Roman" w:hAnsi="Times New Roman" w:cs="Times New Roman" w:hint="eastAsia"/>
                <w:sz w:val="21"/>
                <w:szCs w:val="21"/>
              </w:rPr>
              <w:t>V1.0</w:t>
            </w:r>
          </w:p>
        </w:tc>
        <w:tc>
          <w:tcPr>
            <w:tcW w:w="895" w:type="pct"/>
            <w:vAlign w:val="center"/>
          </w:tcPr>
          <w:p w14:paraId="508FFDA5"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2018SR905090</w:t>
            </w:r>
          </w:p>
        </w:tc>
        <w:tc>
          <w:tcPr>
            <w:tcW w:w="438" w:type="pct"/>
            <w:vAlign w:val="center"/>
          </w:tcPr>
          <w:p w14:paraId="3F0278CF"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435" w:type="pct"/>
            <w:vAlign w:val="center"/>
          </w:tcPr>
          <w:p w14:paraId="5CE17D2E"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2016-11-10</w:t>
            </w:r>
          </w:p>
        </w:tc>
        <w:tc>
          <w:tcPr>
            <w:tcW w:w="425" w:type="pct"/>
            <w:vAlign w:val="center"/>
          </w:tcPr>
          <w:p w14:paraId="518C41B3"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2016-12-20</w:t>
            </w:r>
          </w:p>
        </w:tc>
        <w:tc>
          <w:tcPr>
            <w:tcW w:w="421" w:type="pct"/>
            <w:vAlign w:val="center"/>
          </w:tcPr>
          <w:p w14:paraId="0CC150C3"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421" w:type="pct"/>
            <w:vAlign w:val="center"/>
          </w:tcPr>
          <w:p w14:paraId="6F440F6B"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全部权利</w:t>
            </w:r>
          </w:p>
        </w:tc>
        <w:tc>
          <w:tcPr>
            <w:tcW w:w="386" w:type="pct"/>
            <w:vAlign w:val="center"/>
          </w:tcPr>
          <w:p w14:paraId="2110801F"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0A0ACD" w14:paraId="55E2FDE2" w14:textId="77777777">
        <w:trPr>
          <w:trHeight w:val="397"/>
          <w:jc w:val="center"/>
        </w:trPr>
        <w:tc>
          <w:tcPr>
            <w:tcW w:w="257" w:type="pct"/>
            <w:vAlign w:val="center"/>
          </w:tcPr>
          <w:p w14:paraId="2B6A34C3" w14:textId="77777777" w:rsidR="000A0ACD" w:rsidRDefault="00362A99">
            <w:pPr>
              <w:adjustRightInd w:val="0"/>
              <w:snapToGrid w:val="0"/>
              <w:spacing w:before="156" w:after="156"/>
              <w:jc w:val="center"/>
              <w:rPr>
                <w:rFonts w:ascii="Times New Roman" w:hAnsi="Times New Roman" w:cs="Times New Roman"/>
                <w:sz w:val="21"/>
                <w:szCs w:val="21"/>
              </w:rPr>
            </w:pPr>
            <w:r>
              <w:rPr>
                <w:rFonts w:ascii="Times New Roman" w:hAnsi="Times New Roman" w:cs="Times New Roman"/>
                <w:sz w:val="21"/>
                <w:szCs w:val="21"/>
              </w:rPr>
              <w:t>7</w:t>
            </w:r>
          </w:p>
        </w:tc>
        <w:tc>
          <w:tcPr>
            <w:tcW w:w="1323" w:type="pct"/>
            <w:vAlign w:val="center"/>
          </w:tcPr>
          <w:p w14:paraId="2476D4D0"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家电行业过程控制及物流执行系统</w:t>
            </w:r>
            <w:r>
              <w:rPr>
                <w:rFonts w:ascii="Times New Roman" w:hAnsi="Times New Roman" w:cs="Times New Roman" w:hint="eastAsia"/>
                <w:sz w:val="21"/>
                <w:szCs w:val="21"/>
              </w:rPr>
              <w:t>V1.0</w:t>
            </w:r>
          </w:p>
        </w:tc>
        <w:tc>
          <w:tcPr>
            <w:tcW w:w="895" w:type="pct"/>
            <w:vAlign w:val="center"/>
          </w:tcPr>
          <w:p w14:paraId="7DCEFD56"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2018SR905072</w:t>
            </w:r>
          </w:p>
        </w:tc>
        <w:tc>
          <w:tcPr>
            <w:tcW w:w="438" w:type="pct"/>
            <w:vAlign w:val="center"/>
          </w:tcPr>
          <w:p w14:paraId="08D9BAEA"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435" w:type="pct"/>
            <w:vAlign w:val="center"/>
          </w:tcPr>
          <w:p w14:paraId="23E4616D"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2016-11-10</w:t>
            </w:r>
          </w:p>
        </w:tc>
        <w:tc>
          <w:tcPr>
            <w:tcW w:w="425" w:type="pct"/>
            <w:vAlign w:val="center"/>
          </w:tcPr>
          <w:p w14:paraId="0B7A51D7"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2016-12-20</w:t>
            </w:r>
          </w:p>
        </w:tc>
        <w:tc>
          <w:tcPr>
            <w:tcW w:w="421" w:type="pct"/>
            <w:vAlign w:val="center"/>
          </w:tcPr>
          <w:p w14:paraId="6EA26444"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421" w:type="pct"/>
            <w:vAlign w:val="center"/>
          </w:tcPr>
          <w:p w14:paraId="66ED89A0"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全部权利</w:t>
            </w:r>
          </w:p>
        </w:tc>
        <w:tc>
          <w:tcPr>
            <w:tcW w:w="386" w:type="pct"/>
            <w:vAlign w:val="center"/>
          </w:tcPr>
          <w:p w14:paraId="41C5A1F5"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0A0ACD" w14:paraId="759FF4C8" w14:textId="77777777">
        <w:trPr>
          <w:trHeight w:val="397"/>
          <w:jc w:val="center"/>
        </w:trPr>
        <w:tc>
          <w:tcPr>
            <w:tcW w:w="257" w:type="pct"/>
            <w:vAlign w:val="center"/>
          </w:tcPr>
          <w:p w14:paraId="0032A4B1" w14:textId="77777777" w:rsidR="000A0ACD" w:rsidRDefault="00362A99">
            <w:pPr>
              <w:adjustRightInd w:val="0"/>
              <w:snapToGrid w:val="0"/>
              <w:spacing w:before="156" w:after="156"/>
              <w:jc w:val="center"/>
              <w:rPr>
                <w:rFonts w:ascii="Times New Roman" w:hAnsi="Times New Roman" w:cs="Times New Roman"/>
                <w:sz w:val="21"/>
                <w:szCs w:val="21"/>
              </w:rPr>
            </w:pPr>
            <w:r>
              <w:rPr>
                <w:rFonts w:ascii="Times New Roman" w:hAnsi="Times New Roman" w:cs="Times New Roman"/>
                <w:sz w:val="21"/>
                <w:szCs w:val="21"/>
              </w:rPr>
              <w:t>8</w:t>
            </w:r>
          </w:p>
        </w:tc>
        <w:tc>
          <w:tcPr>
            <w:tcW w:w="1323" w:type="pct"/>
            <w:vAlign w:val="center"/>
          </w:tcPr>
          <w:p w14:paraId="31E4C8C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新能源电池浆料车间中控系统</w:t>
            </w:r>
            <w:r>
              <w:rPr>
                <w:rFonts w:ascii="Times New Roman" w:hAnsi="Times New Roman" w:cs="Times New Roman" w:hint="eastAsia"/>
                <w:sz w:val="21"/>
                <w:szCs w:val="21"/>
              </w:rPr>
              <w:t>V1.0</w:t>
            </w:r>
          </w:p>
        </w:tc>
        <w:tc>
          <w:tcPr>
            <w:tcW w:w="895" w:type="pct"/>
            <w:vAlign w:val="center"/>
          </w:tcPr>
          <w:p w14:paraId="30F685A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2020SR0865729</w:t>
            </w:r>
          </w:p>
        </w:tc>
        <w:tc>
          <w:tcPr>
            <w:tcW w:w="438" w:type="pct"/>
            <w:vAlign w:val="center"/>
          </w:tcPr>
          <w:p w14:paraId="7C7160D4"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435" w:type="pct"/>
            <w:vAlign w:val="center"/>
          </w:tcPr>
          <w:p w14:paraId="249CA213"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2019-12-10</w:t>
            </w:r>
          </w:p>
        </w:tc>
        <w:tc>
          <w:tcPr>
            <w:tcW w:w="425" w:type="pct"/>
            <w:vAlign w:val="center"/>
          </w:tcPr>
          <w:p w14:paraId="28026C86"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2020-2-25</w:t>
            </w:r>
          </w:p>
        </w:tc>
        <w:tc>
          <w:tcPr>
            <w:tcW w:w="421" w:type="pct"/>
            <w:vAlign w:val="center"/>
          </w:tcPr>
          <w:p w14:paraId="000A1E4F"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421" w:type="pct"/>
            <w:vAlign w:val="center"/>
          </w:tcPr>
          <w:p w14:paraId="1F397712"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全部权利</w:t>
            </w:r>
          </w:p>
        </w:tc>
        <w:tc>
          <w:tcPr>
            <w:tcW w:w="386" w:type="pct"/>
            <w:vAlign w:val="center"/>
          </w:tcPr>
          <w:p w14:paraId="7A99B41F"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bl>
    <w:p w14:paraId="147E8FAD" w14:textId="77777777" w:rsidR="000A0ACD" w:rsidRDefault="00362A99">
      <w:pPr>
        <w:spacing w:beforeLines="50" w:before="156" w:line="360" w:lineRule="auto"/>
        <w:ind w:firstLineChars="200" w:firstLine="482"/>
        <w:jc w:val="both"/>
        <w:rPr>
          <w:rFonts w:ascii="Times New Roman" w:hAnsi="Times New Roman" w:cs="Times New Roman"/>
          <w:b/>
        </w:rPr>
      </w:pPr>
      <w:r>
        <w:rPr>
          <w:rFonts w:ascii="Times New Roman" w:hAnsi="Times New Roman" w:cs="Times New Roman" w:hint="eastAsia"/>
          <w:b/>
        </w:rPr>
        <w:t>3</w:t>
      </w:r>
      <w:r>
        <w:rPr>
          <w:rFonts w:ascii="Times New Roman" w:hAnsi="Times New Roman" w:cs="Times New Roman" w:hint="eastAsia"/>
          <w:b/>
        </w:rPr>
        <w:t>、截至本回复出具日，除拥有的专利技术外，北洋天青拥有的核心技术与研发成果情况如下：</w:t>
      </w:r>
    </w:p>
    <w:tbl>
      <w:tblPr>
        <w:tblW w:w="5000" w:type="pct"/>
        <w:jc w:val="center"/>
        <w:tblBorders>
          <w:top w:val="single" w:sz="12" w:space="0" w:color="auto"/>
          <w:bottom w:val="single" w:sz="12"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0"/>
        <w:gridCol w:w="556"/>
        <w:gridCol w:w="2369"/>
        <w:gridCol w:w="557"/>
        <w:gridCol w:w="4474"/>
      </w:tblGrid>
      <w:tr w:rsidR="000A0ACD" w14:paraId="7257AB57" w14:textId="77777777">
        <w:trPr>
          <w:trHeight w:val="780"/>
          <w:tblHeader/>
          <w:jc w:val="center"/>
        </w:trPr>
        <w:tc>
          <w:tcPr>
            <w:tcW w:w="211" w:type="pct"/>
            <w:shd w:val="clear" w:color="auto" w:fill="FFFFFF"/>
            <w:tcMar>
              <w:top w:w="0" w:type="dxa"/>
              <w:left w:w="0" w:type="dxa"/>
              <w:bottom w:w="0" w:type="dxa"/>
              <w:right w:w="0" w:type="dxa"/>
            </w:tcMar>
            <w:vAlign w:val="center"/>
          </w:tcPr>
          <w:p w14:paraId="565A8C6E"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color w:val="333333"/>
                <w:sz w:val="21"/>
                <w:szCs w:val="21"/>
              </w:rPr>
              <w:t>序号</w:t>
            </w:r>
          </w:p>
        </w:tc>
        <w:tc>
          <w:tcPr>
            <w:tcW w:w="335" w:type="pct"/>
            <w:shd w:val="clear" w:color="auto" w:fill="FFFFFF"/>
            <w:tcMar>
              <w:top w:w="0" w:type="dxa"/>
              <w:left w:w="0" w:type="dxa"/>
              <w:bottom w:w="0" w:type="dxa"/>
              <w:right w:w="0" w:type="dxa"/>
            </w:tcMar>
            <w:vAlign w:val="center"/>
          </w:tcPr>
          <w:p w14:paraId="6ACA34B8"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技术</w:t>
            </w:r>
            <w:r>
              <w:rPr>
                <w:rFonts w:ascii="Times New Roman" w:hAnsi="Times New Roman" w:cs="Times New Roman" w:hint="eastAsia"/>
                <w:b/>
                <w:bCs/>
                <w:color w:val="333333"/>
                <w:sz w:val="21"/>
                <w:szCs w:val="21"/>
              </w:rPr>
              <w:t>名称</w:t>
            </w:r>
          </w:p>
        </w:tc>
        <w:tc>
          <w:tcPr>
            <w:tcW w:w="1426" w:type="pct"/>
            <w:shd w:val="clear" w:color="auto" w:fill="FFFFFF"/>
            <w:tcMar>
              <w:top w:w="0" w:type="dxa"/>
              <w:left w:w="0" w:type="dxa"/>
              <w:bottom w:w="0" w:type="dxa"/>
              <w:right w:w="0" w:type="dxa"/>
            </w:tcMar>
            <w:vAlign w:val="center"/>
          </w:tcPr>
          <w:p w14:paraId="6A557219" w14:textId="77777777" w:rsidR="000A0ACD" w:rsidRDefault="00362A99">
            <w:pPr>
              <w:jc w:val="center"/>
              <w:rPr>
                <w:rFonts w:ascii="Times New Roman" w:hAnsi="Times New Roman" w:cs="Times New Roman"/>
                <w:b/>
                <w:bCs/>
                <w:color w:val="333333"/>
                <w:sz w:val="21"/>
                <w:szCs w:val="21"/>
              </w:rPr>
            </w:pPr>
            <w:r>
              <w:rPr>
                <w:rFonts w:ascii="Times New Roman" w:hAnsi="Times New Roman" w:cs="Times New Roman" w:hint="eastAsia"/>
                <w:b/>
                <w:bCs/>
                <w:color w:val="333333"/>
                <w:sz w:val="21"/>
                <w:szCs w:val="21"/>
              </w:rPr>
              <w:t>技术概要</w:t>
            </w:r>
          </w:p>
        </w:tc>
        <w:tc>
          <w:tcPr>
            <w:tcW w:w="335" w:type="pct"/>
            <w:shd w:val="clear" w:color="auto" w:fill="FFFFFF"/>
            <w:tcMar>
              <w:top w:w="0" w:type="dxa"/>
              <w:left w:w="0" w:type="dxa"/>
              <w:bottom w:w="0" w:type="dxa"/>
              <w:right w:w="0" w:type="dxa"/>
            </w:tcMar>
            <w:vAlign w:val="center"/>
          </w:tcPr>
          <w:p w14:paraId="6B0721A4" w14:textId="77777777" w:rsidR="000A0ACD" w:rsidRDefault="00362A99">
            <w:pPr>
              <w:jc w:val="center"/>
              <w:rPr>
                <w:rFonts w:ascii="Times New Roman" w:hAnsi="Times New Roman" w:cs="Times New Roman"/>
                <w:b/>
                <w:bCs/>
                <w:color w:val="333333"/>
                <w:sz w:val="21"/>
                <w:szCs w:val="21"/>
              </w:rPr>
            </w:pPr>
            <w:r>
              <w:rPr>
                <w:rFonts w:ascii="Times New Roman" w:hAnsi="Times New Roman" w:cs="Times New Roman" w:hint="eastAsia"/>
                <w:b/>
                <w:bCs/>
                <w:color w:val="333333"/>
                <w:sz w:val="21"/>
                <w:szCs w:val="21"/>
              </w:rPr>
              <w:t>技术来源</w:t>
            </w:r>
          </w:p>
        </w:tc>
        <w:tc>
          <w:tcPr>
            <w:tcW w:w="2692" w:type="pct"/>
            <w:shd w:val="clear" w:color="auto" w:fill="FFFFFF"/>
            <w:tcMar>
              <w:top w:w="0" w:type="dxa"/>
              <w:left w:w="0" w:type="dxa"/>
              <w:bottom w:w="0" w:type="dxa"/>
              <w:right w:w="0" w:type="dxa"/>
            </w:tcMar>
            <w:vAlign w:val="center"/>
          </w:tcPr>
          <w:p w14:paraId="0BA27463"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color w:val="333333"/>
                <w:sz w:val="21"/>
                <w:szCs w:val="21"/>
              </w:rPr>
              <w:t>形成过程</w:t>
            </w:r>
          </w:p>
        </w:tc>
      </w:tr>
      <w:tr w:rsidR="000A0ACD" w14:paraId="64834C88" w14:textId="77777777">
        <w:trPr>
          <w:trHeight w:val="1673"/>
          <w:jc w:val="center"/>
        </w:trPr>
        <w:tc>
          <w:tcPr>
            <w:tcW w:w="211" w:type="pct"/>
            <w:shd w:val="clear" w:color="auto" w:fill="FFFFFF"/>
            <w:tcMar>
              <w:top w:w="0" w:type="dxa"/>
              <w:left w:w="0" w:type="dxa"/>
              <w:bottom w:w="0" w:type="dxa"/>
              <w:right w:w="0" w:type="dxa"/>
            </w:tcMar>
            <w:vAlign w:val="center"/>
          </w:tcPr>
          <w:p w14:paraId="28551D58"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1</w:t>
            </w:r>
          </w:p>
        </w:tc>
        <w:tc>
          <w:tcPr>
            <w:tcW w:w="335" w:type="pct"/>
            <w:shd w:val="clear" w:color="auto" w:fill="FFFFFF"/>
            <w:tcMar>
              <w:top w:w="0" w:type="dxa"/>
              <w:left w:w="0" w:type="dxa"/>
              <w:bottom w:w="0" w:type="dxa"/>
              <w:right w:w="0" w:type="dxa"/>
            </w:tcMar>
            <w:vAlign w:val="center"/>
          </w:tcPr>
          <w:p w14:paraId="645392CE"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干衣机内筒及门体涂胶工艺</w:t>
            </w:r>
          </w:p>
        </w:tc>
        <w:tc>
          <w:tcPr>
            <w:tcW w:w="1426" w:type="pct"/>
            <w:shd w:val="clear" w:color="auto" w:fill="FFFFFF"/>
            <w:tcMar>
              <w:top w:w="0" w:type="dxa"/>
              <w:left w:w="0" w:type="dxa"/>
              <w:bottom w:w="0" w:type="dxa"/>
              <w:right w:w="0" w:type="dxa"/>
            </w:tcMar>
            <w:vAlign w:val="center"/>
          </w:tcPr>
          <w:p w14:paraId="7533E0DE" w14:textId="77777777" w:rsidR="000A0ACD" w:rsidRDefault="00362A99">
            <w:pPr>
              <w:jc w:val="both"/>
              <w:rPr>
                <w:rFonts w:ascii="Times New Roman" w:hAnsi="Times New Roman" w:cs="Times New Roman"/>
                <w:b/>
                <w:sz w:val="21"/>
                <w:szCs w:val="21"/>
              </w:rPr>
            </w:pPr>
            <w:r>
              <w:rPr>
                <w:rFonts w:ascii="Times New Roman" w:hAnsi="Times New Roman" w:cs="Times New Roman" w:hint="eastAsia"/>
                <w:sz w:val="21"/>
                <w:szCs w:val="21"/>
              </w:rPr>
              <w:t>采用自动识别产品条码获取涂胶配方的方式，配合机器人及胶枪实现内筒及门体物料的自动涂胶动作，并根据配方自动计算注胶量</w:t>
            </w:r>
          </w:p>
        </w:tc>
        <w:tc>
          <w:tcPr>
            <w:tcW w:w="335" w:type="pct"/>
            <w:shd w:val="clear" w:color="auto" w:fill="FFFFFF"/>
            <w:tcMar>
              <w:top w:w="0" w:type="dxa"/>
              <w:left w:w="0" w:type="dxa"/>
              <w:bottom w:w="0" w:type="dxa"/>
              <w:right w:w="0" w:type="dxa"/>
            </w:tcMar>
            <w:vAlign w:val="center"/>
          </w:tcPr>
          <w:p w14:paraId="6246A466"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4B1DD1B8"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52035290"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北洋天青结合干衣机总装线设计，基于对产品工艺的深入了解，把握客户对产品品质的需求，在开发产品时，不断改善相关工艺，最终研发形成此技术，包含门体涂胶的工艺技术及内筒涂胶的工艺技术。</w:t>
            </w:r>
          </w:p>
        </w:tc>
      </w:tr>
      <w:tr w:rsidR="000A0ACD" w14:paraId="1875F695" w14:textId="77777777">
        <w:trPr>
          <w:trHeight w:val="1615"/>
          <w:jc w:val="center"/>
        </w:trPr>
        <w:tc>
          <w:tcPr>
            <w:tcW w:w="211" w:type="pct"/>
            <w:shd w:val="clear" w:color="auto" w:fill="FFFFFF"/>
            <w:tcMar>
              <w:top w:w="0" w:type="dxa"/>
              <w:left w:w="0" w:type="dxa"/>
              <w:bottom w:w="0" w:type="dxa"/>
              <w:right w:w="0" w:type="dxa"/>
            </w:tcMar>
            <w:vAlign w:val="center"/>
          </w:tcPr>
          <w:p w14:paraId="1C1BDEAA"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2</w:t>
            </w:r>
          </w:p>
        </w:tc>
        <w:tc>
          <w:tcPr>
            <w:tcW w:w="335" w:type="pct"/>
            <w:shd w:val="clear" w:color="auto" w:fill="FFFFFF"/>
            <w:tcMar>
              <w:top w:w="0" w:type="dxa"/>
              <w:left w:w="0" w:type="dxa"/>
              <w:bottom w:w="0" w:type="dxa"/>
              <w:right w:w="0" w:type="dxa"/>
            </w:tcMar>
            <w:vAlign w:val="center"/>
          </w:tcPr>
          <w:p w14:paraId="7439F0C1"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搬运码垛技术</w:t>
            </w:r>
          </w:p>
        </w:tc>
        <w:tc>
          <w:tcPr>
            <w:tcW w:w="1426" w:type="pct"/>
            <w:shd w:val="clear" w:color="auto" w:fill="FFFFFF"/>
            <w:tcMar>
              <w:top w:w="0" w:type="dxa"/>
              <w:left w:w="0" w:type="dxa"/>
              <w:bottom w:w="0" w:type="dxa"/>
              <w:right w:w="0" w:type="dxa"/>
            </w:tcMar>
            <w:vAlign w:val="center"/>
          </w:tcPr>
          <w:p w14:paraId="6DD60383"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一种新型结构的圆柱坐标机器人，采用一种双竖直滑座的腰部装置，开发了一种新型码垛机器人结构，增大了码垛机器人负载及稳定性</w:t>
            </w:r>
          </w:p>
        </w:tc>
        <w:tc>
          <w:tcPr>
            <w:tcW w:w="335" w:type="pct"/>
            <w:shd w:val="clear" w:color="auto" w:fill="FFFFFF"/>
            <w:tcMar>
              <w:top w:w="0" w:type="dxa"/>
              <w:left w:w="0" w:type="dxa"/>
              <w:bottom w:w="0" w:type="dxa"/>
              <w:right w:w="0" w:type="dxa"/>
            </w:tcMar>
            <w:vAlign w:val="center"/>
          </w:tcPr>
          <w:p w14:paraId="4651ABE8"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463CABBD"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20953DF0"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北洋天青根据对工业机器人各轴的深入研究，研究新型结构的圆柱坐标系机器人发展需求，结合北洋天青软件信息化技术，对不同产品的形状以及需要码垛的数量和垛型的了解，研发了一种能适应多产品型号的非标码垛机器人，增强了自主开发的非标码垛机器人的适应性，形成了一种码垛的独有技术，为后续机器人码垛的编程算法打下基础。</w:t>
            </w:r>
          </w:p>
        </w:tc>
      </w:tr>
      <w:tr w:rsidR="000A0ACD" w14:paraId="1C691628" w14:textId="77777777">
        <w:trPr>
          <w:trHeight w:val="2180"/>
          <w:jc w:val="center"/>
        </w:trPr>
        <w:tc>
          <w:tcPr>
            <w:tcW w:w="211" w:type="pct"/>
            <w:shd w:val="clear" w:color="auto" w:fill="FFFFFF"/>
            <w:tcMar>
              <w:top w:w="0" w:type="dxa"/>
              <w:left w:w="0" w:type="dxa"/>
              <w:bottom w:w="0" w:type="dxa"/>
              <w:right w:w="0" w:type="dxa"/>
            </w:tcMar>
            <w:vAlign w:val="center"/>
          </w:tcPr>
          <w:p w14:paraId="0081762B"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3</w:t>
            </w:r>
          </w:p>
        </w:tc>
        <w:tc>
          <w:tcPr>
            <w:tcW w:w="335" w:type="pct"/>
            <w:shd w:val="clear" w:color="auto" w:fill="FFFFFF"/>
            <w:tcMar>
              <w:top w:w="0" w:type="dxa"/>
              <w:left w:w="0" w:type="dxa"/>
              <w:bottom w:w="0" w:type="dxa"/>
              <w:right w:w="0" w:type="dxa"/>
            </w:tcMar>
            <w:vAlign w:val="center"/>
          </w:tcPr>
          <w:p w14:paraId="019F006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配重块安装技术</w:t>
            </w:r>
          </w:p>
        </w:tc>
        <w:tc>
          <w:tcPr>
            <w:tcW w:w="1426" w:type="pct"/>
            <w:shd w:val="clear" w:color="auto" w:fill="FFFFFF"/>
            <w:tcMar>
              <w:top w:w="0" w:type="dxa"/>
              <w:left w:w="0" w:type="dxa"/>
              <w:bottom w:w="0" w:type="dxa"/>
              <w:right w:w="0" w:type="dxa"/>
            </w:tcMar>
            <w:vAlign w:val="center"/>
          </w:tcPr>
          <w:p w14:paraId="4BDF2C69"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通过视觉及机器人的高效结合，实现配重块的自动识别，自动定位及安装，降低劳动强度，提升装配自动化及智能化</w:t>
            </w:r>
          </w:p>
        </w:tc>
        <w:tc>
          <w:tcPr>
            <w:tcW w:w="335" w:type="pct"/>
            <w:shd w:val="clear" w:color="auto" w:fill="FFFFFF"/>
            <w:tcMar>
              <w:top w:w="0" w:type="dxa"/>
              <w:left w:w="0" w:type="dxa"/>
              <w:bottom w:w="0" w:type="dxa"/>
              <w:right w:w="0" w:type="dxa"/>
            </w:tcMar>
            <w:vAlign w:val="center"/>
          </w:tcPr>
          <w:p w14:paraId="4BB797F0"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5D4CB0F8"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622E11AD"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配重块是洗衣机中必备的物料，行业上料均为人工上料，自动化程度很低，主要需要解决产品定位和配种块定位问题。北洋天青根据行业实际需求，结合</w:t>
            </w:r>
            <w:r>
              <w:rPr>
                <w:rFonts w:ascii="Times New Roman" w:hAnsi="Times New Roman" w:cs="Times New Roman" w:hint="eastAsia"/>
                <w:sz w:val="21"/>
                <w:szCs w:val="21"/>
              </w:rPr>
              <w:t>CCD</w:t>
            </w:r>
            <w:r>
              <w:rPr>
                <w:rFonts w:ascii="Times New Roman" w:hAnsi="Times New Roman" w:cs="Times New Roman" w:hint="eastAsia"/>
                <w:sz w:val="21"/>
                <w:szCs w:val="21"/>
              </w:rPr>
              <w:t>视觉技术和机器人技术，研发了配重块识别、定位、安装技术，能够在生产过程中进行自动装配，实现机器人替代人工上料。</w:t>
            </w:r>
          </w:p>
        </w:tc>
      </w:tr>
      <w:tr w:rsidR="000A0ACD" w14:paraId="79EA3378" w14:textId="77777777">
        <w:trPr>
          <w:trHeight w:val="284"/>
          <w:jc w:val="center"/>
        </w:trPr>
        <w:tc>
          <w:tcPr>
            <w:tcW w:w="211" w:type="pct"/>
            <w:shd w:val="clear" w:color="auto" w:fill="FFFFFF"/>
            <w:tcMar>
              <w:top w:w="0" w:type="dxa"/>
              <w:left w:w="0" w:type="dxa"/>
              <w:bottom w:w="0" w:type="dxa"/>
              <w:right w:w="0" w:type="dxa"/>
            </w:tcMar>
            <w:vAlign w:val="center"/>
          </w:tcPr>
          <w:p w14:paraId="0683BD20"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4</w:t>
            </w:r>
          </w:p>
        </w:tc>
        <w:tc>
          <w:tcPr>
            <w:tcW w:w="335" w:type="pct"/>
            <w:shd w:val="clear" w:color="auto" w:fill="FFFFFF"/>
            <w:tcMar>
              <w:top w:w="0" w:type="dxa"/>
              <w:left w:w="0" w:type="dxa"/>
              <w:bottom w:w="0" w:type="dxa"/>
              <w:right w:w="0" w:type="dxa"/>
            </w:tcMar>
            <w:vAlign w:val="center"/>
          </w:tcPr>
          <w:p w14:paraId="06FB17C5" w14:textId="77777777" w:rsidR="000A0ACD" w:rsidRDefault="00362A99">
            <w:pPr>
              <w:jc w:val="center"/>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多通道高速串行数字视频信号切换采集</w:t>
            </w:r>
            <w:r>
              <w:rPr>
                <w:rFonts w:ascii="Times New Roman" w:hAnsi="Times New Roman" w:cs="Times New Roman" w:hint="eastAsia"/>
                <w:sz w:val="21"/>
                <w:szCs w:val="21"/>
              </w:rPr>
              <w:t>技术</w:t>
            </w:r>
          </w:p>
        </w:tc>
        <w:tc>
          <w:tcPr>
            <w:tcW w:w="1426" w:type="pct"/>
            <w:shd w:val="clear" w:color="auto" w:fill="FFFFFF"/>
            <w:tcMar>
              <w:top w:w="0" w:type="dxa"/>
              <w:left w:w="0" w:type="dxa"/>
              <w:bottom w:w="0" w:type="dxa"/>
              <w:right w:w="0" w:type="dxa"/>
            </w:tcMar>
            <w:vAlign w:val="center"/>
          </w:tcPr>
          <w:p w14:paraId="69CB9B4F" w14:textId="77777777" w:rsidR="000A0ACD" w:rsidRDefault="00362A99">
            <w:pPr>
              <w:jc w:val="both"/>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通过多通道视频信号切换设备及软件系统，实现视频信号的切换，提升测试效率、降低生产成本</w:t>
            </w:r>
          </w:p>
        </w:tc>
        <w:tc>
          <w:tcPr>
            <w:tcW w:w="335" w:type="pct"/>
            <w:shd w:val="clear" w:color="auto" w:fill="FFFFFF"/>
            <w:tcMar>
              <w:top w:w="0" w:type="dxa"/>
              <w:left w:w="0" w:type="dxa"/>
              <w:bottom w:w="0" w:type="dxa"/>
              <w:right w:w="0" w:type="dxa"/>
            </w:tcMar>
            <w:vAlign w:val="center"/>
          </w:tcPr>
          <w:p w14:paraId="43120F20"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26DB07E8" w14:textId="77777777" w:rsidR="000A0ACD" w:rsidRDefault="00362A99">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3BCB1B7C"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原有技术无法进行多通道高速串行数字视频信号的切换，进而导致了现有的测试系统在对电路板进行测试时无法兼顾测试成本和测试效率。北洋天青为解决该技术问题，自主研发了该视频信号切换技术，实现控制多路并行数字视频信号中的一路并行数字视频信号输出，并应用于电路板测试系统中，通过使用解码芯片和切换芯片等多通道高速串行数字视频信号切换设备，解决了原有技术中无法进行多通道高速串行数字视频信号切换的问题。</w:t>
            </w:r>
          </w:p>
        </w:tc>
      </w:tr>
      <w:tr w:rsidR="000A0ACD" w14:paraId="76A3AC9E" w14:textId="77777777">
        <w:trPr>
          <w:trHeight w:val="2180"/>
          <w:jc w:val="center"/>
        </w:trPr>
        <w:tc>
          <w:tcPr>
            <w:tcW w:w="211" w:type="pct"/>
            <w:shd w:val="clear" w:color="auto" w:fill="FFFFFF"/>
            <w:tcMar>
              <w:top w:w="0" w:type="dxa"/>
              <w:left w:w="0" w:type="dxa"/>
              <w:bottom w:w="0" w:type="dxa"/>
              <w:right w:w="0" w:type="dxa"/>
            </w:tcMar>
            <w:vAlign w:val="center"/>
          </w:tcPr>
          <w:p w14:paraId="28C5711D"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5</w:t>
            </w:r>
          </w:p>
        </w:tc>
        <w:tc>
          <w:tcPr>
            <w:tcW w:w="335" w:type="pct"/>
            <w:shd w:val="clear" w:color="auto" w:fill="FFFFFF"/>
            <w:tcMar>
              <w:top w:w="0" w:type="dxa"/>
              <w:left w:w="0" w:type="dxa"/>
              <w:bottom w:w="0" w:type="dxa"/>
              <w:right w:w="0" w:type="dxa"/>
            </w:tcMar>
            <w:vAlign w:val="center"/>
          </w:tcPr>
          <w:p w14:paraId="39913C61" w14:textId="77777777" w:rsidR="000A0ACD" w:rsidRDefault="00362A99">
            <w:pPr>
              <w:jc w:val="center"/>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单主机多工位测试</w:t>
            </w:r>
            <w:r>
              <w:rPr>
                <w:rFonts w:ascii="Times New Roman" w:hAnsi="Times New Roman" w:cs="Times New Roman" w:hint="eastAsia"/>
                <w:sz w:val="21"/>
                <w:szCs w:val="21"/>
              </w:rPr>
              <w:t>技术</w:t>
            </w:r>
          </w:p>
        </w:tc>
        <w:tc>
          <w:tcPr>
            <w:tcW w:w="1426" w:type="pct"/>
            <w:shd w:val="clear" w:color="auto" w:fill="FFFFFF"/>
            <w:tcMar>
              <w:top w:w="0" w:type="dxa"/>
              <w:left w:w="0" w:type="dxa"/>
              <w:bottom w:w="0" w:type="dxa"/>
              <w:right w:w="0" w:type="dxa"/>
            </w:tcMar>
            <w:vAlign w:val="center"/>
          </w:tcPr>
          <w:p w14:paraId="13C61CB9" w14:textId="77777777" w:rsidR="000A0ACD" w:rsidRDefault="00362A99">
            <w:pPr>
              <w:jc w:val="both"/>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通过测试上位系统及测试板卡的应用，实现单主机同时进行多工位测试技术</w:t>
            </w:r>
          </w:p>
        </w:tc>
        <w:tc>
          <w:tcPr>
            <w:tcW w:w="335" w:type="pct"/>
            <w:shd w:val="clear" w:color="auto" w:fill="FFFFFF"/>
            <w:tcMar>
              <w:top w:w="0" w:type="dxa"/>
              <w:left w:w="0" w:type="dxa"/>
              <w:bottom w:w="0" w:type="dxa"/>
              <w:right w:w="0" w:type="dxa"/>
            </w:tcMar>
            <w:vAlign w:val="center"/>
          </w:tcPr>
          <w:p w14:paraId="3248A3A0"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27B9F05E" w14:textId="77777777" w:rsidR="000A0ACD" w:rsidRDefault="00362A99">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23470551" w14:textId="77777777" w:rsidR="000A0ACD" w:rsidRDefault="00362A99">
            <w:pPr>
              <w:jc w:val="both"/>
              <w:rPr>
                <w:rFonts w:ascii="Times New Roman" w:hAnsi="Times New Roman" w:cs="Times New Roman"/>
                <w:sz w:val="21"/>
                <w:szCs w:val="21"/>
                <w:lang w:bidi="ar"/>
              </w:rPr>
            </w:pPr>
            <w:r>
              <w:rPr>
                <w:rFonts w:ascii="Times New Roman" w:hAnsi="Times New Roman" w:cs="Times New Roman" w:hint="eastAsia"/>
                <w:sz w:val="21"/>
                <w:szCs w:val="21"/>
                <w:lang w:bidi="ar"/>
              </w:rPr>
              <w:t>目</w:t>
            </w:r>
            <w:r>
              <w:rPr>
                <w:rFonts w:ascii="Times New Roman" w:hAnsi="Times New Roman" w:cs="Times New Roman" w:hint="eastAsia"/>
                <w:sz w:val="21"/>
                <w:szCs w:val="21"/>
              </w:rPr>
              <w:t>前在电视、空调、冰箱等产品电路板或对应主机测试中，通过单主机独立测试的方式，在一定程度上降低了测试及生产效率，北洋天青为解决这一问题，通过对测试原理的深入理解，改进测试系统平台，自主研发该测试技术，实现单主机多工位的测试技术。通过</w:t>
            </w:r>
            <w:r>
              <w:rPr>
                <w:rFonts w:ascii="Times New Roman" w:hAnsi="Times New Roman" w:cs="Times New Roman" w:hint="eastAsia"/>
                <w:sz w:val="21"/>
                <w:szCs w:val="21"/>
              </w:rPr>
              <w:t>USB</w:t>
            </w:r>
            <w:r>
              <w:rPr>
                <w:rFonts w:ascii="Times New Roman" w:hAnsi="Times New Roman" w:cs="Times New Roman" w:hint="eastAsia"/>
                <w:sz w:val="21"/>
                <w:szCs w:val="21"/>
              </w:rPr>
              <w:t>或串口等端口结合测试软件，达到多物料同时检测的目的，并在测试过程中通过测试步骤及相关参数，合理分配测试资源，提升测试效率。</w:t>
            </w:r>
          </w:p>
        </w:tc>
      </w:tr>
      <w:tr w:rsidR="000A0ACD" w14:paraId="4330F42A" w14:textId="77777777">
        <w:trPr>
          <w:trHeight w:val="2180"/>
          <w:jc w:val="center"/>
        </w:trPr>
        <w:tc>
          <w:tcPr>
            <w:tcW w:w="211" w:type="pct"/>
            <w:shd w:val="clear" w:color="auto" w:fill="FFFFFF"/>
            <w:tcMar>
              <w:top w:w="0" w:type="dxa"/>
              <w:left w:w="0" w:type="dxa"/>
              <w:bottom w:w="0" w:type="dxa"/>
              <w:right w:w="0" w:type="dxa"/>
            </w:tcMar>
            <w:vAlign w:val="center"/>
          </w:tcPr>
          <w:p w14:paraId="00223272"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6</w:t>
            </w:r>
          </w:p>
        </w:tc>
        <w:tc>
          <w:tcPr>
            <w:tcW w:w="335" w:type="pct"/>
            <w:shd w:val="clear" w:color="auto" w:fill="FFFFFF"/>
            <w:tcMar>
              <w:top w:w="0" w:type="dxa"/>
              <w:left w:w="0" w:type="dxa"/>
              <w:bottom w:w="0" w:type="dxa"/>
              <w:right w:w="0" w:type="dxa"/>
            </w:tcMar>
            <w:vAlign w:val="center"/>
          </w:tcPr>
          <w:p w14:paraId="3AF5FB6F" w14:textId="77777777" w:rsidR="000A0ACD" w:rsidRDefault="00362A99">
            <w:pPr>
              <w:jc w:val="center"/>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电视主板测试技术</w:t>
            </w:r>
          </w:p>
        </w:tc>
        <w:tc>
          <w:tcPr>
            <w:tcW w:w="1426" w:type="pct"/>
            <w:shd w:val="clear" w:color="auto" w:fill="FFFFFF"/>
            <w:tcMar>
              <w:top w:w="0" w:type="dxa"/>
              <w:left w:w="0" w:type="dxa"/>
              <w:bottom w:w="0" w:type="dxa"/>
              <w:right w:w="0" w:type="dxa"/>
            </w:tcMar>
            <w:vAlign w:val="center"/>
          </w:tcPr>
          <w:p w14:paraId="09BB97C3" w14:textId="77777777" w:rsidR="000A0ACD" w:rsidRDefault="00362A99">
            <w:pPr>
              <w:jc w:val="both"/>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根据测试图像和音频数据，确定待测电视主板的测试结果。本技术提供的电视主板测试方法、装置、系统及测试上位机，能够自动确定电视主板的测试结果，实现了电视主板的全自动测试</w:t>
            </w:r>
          </w:p>
        </w:tc>
        <w:tc>
          <w:tcPr>
            <w:tcW w:w="335" w:type="pct"/>
            <w:shd w:val="clear" w:color="auto" w:fill="FFFFFF"/>
            <w:tcMar>
              <w:top w:w="0" w:type="dxa"/>
              <w:left w:w="0" w:type="dxa"/>
              <w:bottom w:w="0" w:type="dxa"/>
              <w:right w:w="0" w:type="dxa"/>
            </w:tcMar>
            <w:vAlign w:val="center"/>
          </w:tcPr>
          <w:p w14:paraId="7CB9CBCF"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7ECCB856" w14:textId="77777777" w:rsidR="000A0ACD" w:rsidRDefault="00362A99">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0EC8AA11" w14:textId="77777777" w:rsidR="000A0ACD" w:rsidRDefault="00362A99">
            <w:pPr>
              <w:spacing w:beforeAutospacing="1" w:after="100" w:afterAutospacing="1"/>
              <w:jc w:val="both"/>
              <w:rPr>
                <w:rFonts w:ascii="Times New Roman" w:hAnsi="Times New Roman" w:cs="Times New Roman"/>
                <w:sz w:val="21"/>
                <w:szCs w:val="21"/>
                <w:lang w:bidi="ar"/>
              </w:rPr>
            </w:pPr>
            <w:r>
              <w:rPr>
                <w:rFonts w:ascii="Times New Roman" w:hAnsi="Times New Roman" w:cs="Times New Roman" w:hint="eastAsia"/>
                <w:sz w:val="21"/>
                <w:szCs w:val="21"/>
                <w:lang w:bidi="ar"/>
              </w:rPr>
              <w:t>行业对电视主板测试多采用人工方式测试，北洋天青为提高对电视主板测试效率和品质，在自动化测试技术领域，自主研发了应用于测试上位机的电视主板测试方法。主要为获取待测电视主板的测试数据，该测试数据包括图像数据和音频数据；对该图像数据进行图像还原，得到待测电视主板输出的测试图像。该技术是一种全自动测试方法，与现有的人工方式相比，提高了测试效率，也提高了测试结果的准确性和可靠性。</w:t>
            </w:r>
          </w:p>
        </w:tc>
      </w:tr>
      <w:tr w:rsidR="000A0ACD" w14:paraId="47F242F2" w14:textId="77777777">
        <w:trPr>
          <w:trHeight w:val="3107"/>
          <w:jc w:val="center"/>
        </w:trPr>
        <w:tc>
          <w:tcPr>
            <w:tcW w:w="211" w:type="pct"/>
            <w:shd w:val="clear" w:color="auto" w:fill="FFFFFF"/>
            <w:tcMar>
              <w:top w:w="0" w:type="dxa"/>
              <w:left w:w="0" w:type="dxa"/>
              <w:bottom w:w="0" w:type="dxa"/>
              <w:right w:w="0" w:type="dxa"/>
            </w:tcMar>
            <w:vAlign w:val="center"/>
          </w:tcPr>
          <w:p w14:paraId="4813CC9E"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7</w:t>
            </w:r>
          </w:p>
        </w:tc>
        <w:tc>
          <w:tcPr>
            <w:tcW w:w="335" w:type="pct"/>
            <w:shd w:val="clear" w:color="auto" w:fill="FFFFFF"/>
            <w:tcMar>
              <w:top w:w="0" w:type="dxa"/>
              <w:left w:w="0" w:type="dxa"/>
              <w:bottom w:w="0" w:type="dxa"/>
              <w:right w:w="0" w:type="dxa"/>
            </w:tcMar>
            <w:vAlign w:val="center"/>
          </w:tcPr>
          <w:p w14:paraId="3A9DAFAD" w14:textId="77777777" w:rsidR="000A0ACD" w:rsidRDefault="00362A99">
            <w:pPr>
              <w:jc w:val="center"/>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电路板测试技术</w:t>
            </w:r>
          </w:p>
        </w:tc>
        <w:tc>
          <w:tcPr>
            <w:tcW w:w="1426" w:type="pct"/>
            <w:shd w:val="clear" w:color="auto" w:fill="FFFFFF"/>
            <w:tcMar>
              <w:top w:w="0" w:type="dxa"/>
              <w:left w:w="0" w:type="dxa"/>
              <w:bottom w:w="0" w:type="dxa"/>
              <w:right w:w="0" w:type="dxa"/>
            </w:tcMar>
            <w:vAlign w:val="center"/>
          </w:tcPr>
          <w:p w14:paraId="4E69575D" w14:textId="77777777" w:rsidR="000A0ACD" w:rsidRDefault="00362A99">
            <w:pPr>
              <w:jc w:val="both"/>
              <w:rPr>
                <w:rFonts w:ascii="Times New Roman" w:hAnsi="Times New Roman" w:cs="Times New Roman"/>
                <w:color w:val="333333"/>
                <w:sz w:val="21"/>
                <w:szCs w:val="21"/>
                <w:lang w:bidi="ar"/>
              </w:rPr>
            </w:pPr>
            <w:r>
              <w:rPr>
                <w:rFonts w:ascii="Times New Roman" w:hAnsi="Times New Roman" w:cs="Times New Roman" w:hint="eastAsia"/>
                <w:color w:val="333333"/>
                <w:sz w:val="21"/>
                <w:szCs w:val="21"/>
                <w:shd w:val="clear" w:color="auto" w:fill="FFFFFF"/>
              </w:rPr>
              <w:t>该技术包括：获取当前选取的测试夹具上传的待测试电路板的标识；根据该标识确定待测试电路板对应的目标测试软件；采用目标测试软件对待测试电路板进行测试</w:t>
            </w:r>
          </w:p>
        </w:tc>
        <w:tc>
          <w:tcPr>
            <w:tcW w:w="335" w:type="pct"/>
            <w:shd w:val="clear" w:color="auto" w:fill="FFFFFF"/>
            <w:tcMar>
              <w:top w:w="0" w:type="dxa"/>
              <w:left w:w="0" w:type="dxa"/>
              <w:bottom w:w="0" w:type="dxa"/>
              <w:right w:w="0" w:type="dxa"/>
            </w:tcMar>
            <w:vAlign w:val="center"/>
          </w:tcPr>
          <w:p w14:paraId="3A496A9E"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2D8C1574" w14:textId="77777777" w:rsidR="000A0ACD" w:rsidRDefault="00362A99">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721FC5C0" w14:textId="77777777" w:rsidR="000A0ACD" w:rsidRDefault="00362A99">
            <w:pPr>
              <w:spacing w:before="100" w:beforeAutospacing="1" w:after="100" w:afterAutospacing="1"/>
              <w:jc w:val="both"/>
              <w:rPr>
                <w:rFonts w:ascii="Times New Roman" w:hAnsi="Times New Roman" w:cs="Times New Roman"/>
                <w:sz w:val="21"/>
                <w:szCs w:val="21"/>
                <w:lang w:bidi="ar"/>
              </w:rPr>
            </w:pPr>
            <w:r>
              <w:rPr>
                <w:rFonts w:ascii="Times New Roman" w:hAnsi="Times New Roman" w:cs="Times New Roman" w:hint="eastAsia"/>
                <w:sz w:val="21"/>
                <w:szCs w:val="21"/>
                <w:lang w:bidi="ar"/>
              </w:rPr>
              <w:t>行业对电路板的测试基本采用人工识别测试板选择对应测试程序软件，测试费时费力。为解决这一问题，北洋天青自主研发了此测试技术，提供了一种电路板测试方法、装置、系统及测试上位机，涉及自动化测试技术领域。该方法应用于测试上位机，该测试上位机包括多个用于测试电路板的测试软件，通过识别自动选择对应软件，采用目标测试软件对待测试电路板进行测试。由于测试夹具并不针对某一特定的电路板，因此可以根据需要在任意时刻选择任意一个测试夹具的电路板进行测试，提高了测试方式的灵活性。此外多个测试夹具可以通过一个测试上位机实现电路板测试，节约了测试资源。</w:t>
            </w:r>
          </w:p>
        </w:tc>
      </w:tr>
      <w:tr w:rsidR="000A0ACD" w14:paraId="4E4D411A" w14:textId="77777777">
        <w:trPr>
          <w:trHeight w:val="2180"/>
          <w:jc w:val="center"/>
        </w:trPr>
        <w:tc>
          <w:tcPr>
            <w:tcW w:w="211" w:type="pct"/>
            <w:shd w:val="clear" w:color="auto" w:fill="FFFFFF"/>
            <w:tcMar>
              <w:top w:w="0" w:type="dxa"/>
              <w:left w:w="0" w:type="dxa"/>
              <w:bottom w:w="0" w:type="dxa"/>
              <w:right w:w="0" w:type="dxa"/>
            </w:tcMar>
            <w:vAlign w:val="center"/>
          </w:tcPr>
          <w:p w14:paraId="33FF22D8"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8</w:t>
            </w:r>
          </w:p>
        </w:tc>
        <w:tc>
          <w:tcPr>
            <w:tcW w:w="335" w:type="pct"/>
            <w:shd w:val="clear" w:color="auto" w:fill="FFFFFF"/>
            <w:tcMar>
              <w:top w:w="0" w:type="dxa"/>
              <w:left w:w="0" w:type="dxa"/>
              <w:bottom w:w="0" w:type="dxa"/>
              <w:right w:w="0" w:type="dxa"/>
            </w:tcMar>
            <w:vAlign w:val="center"/>
          </w:tcPr>
          <w:p w14:paraId="5DE885A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自动化仓储物流系统</w:t>
            </w:r>
          </w:p>
        </w:tc>
        <w:tc>
          <w:tcPr>
            <w:tcW w:w="1426" w:type="pct"/>
            <w:shd w:val="clear" w:color="auto" w:fill="FFFFFF"/>
            <w:tcMar>
              <w:top w:w="0" w:type="dxa"/>
              <w:left w:w="0" w:type="dxa"/>
              <w:bottom w:w="0" w:type="dxa"/>
              <w:right w:w="0" w:type="dxa"/>
            </w:tcMar>
            <w:vAlign w:val="center"/>
          </w:tcPr>
          <w:p w14:paraId="3C5BE83A"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系统通过多模式、动态化计算方式，提升仓库作业率及准确率及库存周转效率，实现立体仓库透明化、实时化及数字化</w:t>
            </w:r>
          </w:p>
        </w:tc>
        <w:tc>
          <w:tcPr>
            <w:tcW w:w="335" w:type="pct"/>
            <w:shd w:val="clear" w:color="auto" w:fill="FFFFFF"/>
            <w:tcMar>
              <w:top w:w="0" w:type="dxa"/>
              <w:left w:w="0" w:type="dxa"/>
              <w:bottom w:w="0" w:type="dxa"/>
              <w:right w:w="0" w:type="dxa"/>
            </w:tcMar>
            <w:vAlign w:val="center"/>
          </w:tcPr>
          <w:p w14:paraId="2CE8D861"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7BC1DCDF" w14:textId="77777777" w:rsidR="000A0ACD" w:rsidRDefault="00362A99">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57435CD5" w14:textId="77777777" w:rsidR="000A0ACD" w:rsidRDefault="00362A99">
            <w:pPr>
              <w:jc w:val="both"/>
              <w:rPr>
                <w:rFonts w:ascii="Times New Roman" w:hAnsi="Times New Roman" w:cs="Times New Roman"/>
                <w:sz w:val="21"/>
                <w:szCs w:val="21"/>
                <w:lang w:bidi="ar"/>
              </w:rPr>
            </w:pPr>
            <w:r>
              <w:rPr>
                <w:rFonts w:ascii="Times New Roman" w:hAnsi="Times New Roman" w:cs="Times New Roman" w:hint="eastAsia"/>
                <w:sz w:val="21"/>
                <w:szCs w:val="21"/>
                <w:lang w:bidi="ar"/>
              </w:rPr>
              <w:t>北洋天青经过对物流行业系统的应用经验的多年积累，设计开发此系统，主要用于成品自动入库、出库、搬运、发货，并通过与堆垛机、码垛机、拆垛机、输送线等设备信息交互，实现产品入库自动化、智能化及可视化，提升仓库周转率及发货效率，很大程度上提升了生产效率及发货速度。</w:t>
            </w:r>
          </w:p>
        </w:tc>
      </w:tr>
      <w:tr w:rsidR="000A0ACD" w14:paraId="5570B2B2" w14:textId="77777777">
        <w:trPr>
          <w:trHeight w:val="2180"/>
          <w:jc w:val="center"/>
        </w:trPr>
        <w:tc>
          <w:tcPr>
            <w:tcW w:w="211" w:type="pct"/>
            <w:shd w:val="clear" w:color="auto" w:fill="FFFFFF"/>
            <w:vAlign w:val="center"/>
          </w:tcPr>
          <w:p w14:paraId="04C7679A"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9</w:t>
            </w:r>
          </w:p>
        </w:tc>
        <w:tc>
          <w:tcPr>
            <w:tcW w:w="335" w:type="pct"/>
            <w:shd w:val="clear" w:color="auto" w:fill="FFFFFF"/>
            <w:vAlign w:val="center"/>
          </w:tcPr>
          <w:p w14:paraId="70DE3AA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家电行业物流管理系统</w:t>
            </w:r>
          </w:p>
        </w:tc>
        <w:tc>
          <w:tcPr>
            <w:tcW w:w="1426" w:type="pct"/>
            <w:shd w:val="clear" w:color="auto" w:fill="FFFFFF"/>
            <w:vAlign w:val="center"/>
          </w:tcPr>
          <w:p w14:paraId="187D5CAF"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根据冰冷行业特点，以</w:t>
            </w:r>
            <w:r>
              <w:rPr>
                <w:rFonts w:ascii="Times New Roman" w:hAnsi="Times New Roman" w:cs="Times New Roman" w:hint="eastAsia"/>
                <w:color w:val="000000"/>
                <w:sz w:val="21"/>
                <w:szCs w:val="21"/>
              </w:rPr>
              <w:t>APS</w:t>
            </w:r>
            <w:r>
              <w:rPr>
                <w:rFonts w:ascii="Times New Roman" w:hAnsi="Times New Roman" w:cs="Times New Roman" w:hint="eastAsia"/>
                <w:color w:val="000000"/>
                <w:sz w:val="21"/>
                <w:szCs w:val="21"/>
              </w:rPr>
              <w:t>系统为基础，按照发泡模具的配比以及当前库存量，实现整个车间准时拉动生产</w:t>
            </w:r>
          </w:p>
        </w:tc>
        <w:tc>
          <w:tcPr>
            <w:tcW w:w="335" w:type="pct"/>
            <w:shd w:val="clear" w:color="auto" w:fill="FFFFFF"/>
            <w:vAlign w:val="center"/>
          </w:tcPr>
          <w:p w14:paraId="1C595FA5"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2BB70E04" w14:textId="77777777" w:rsidR="000A0ACD" w:rsidRDefault="00362A99">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vAlign w:val="center"/>
          </w:tcPr>
          <w:p w14:paraId="28A17776"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为实现冰柜产线生产、质量、物流等节点的数据追溯及信息流转，北洋天青依据冰柜生产线工艺流程、质量检验流程以及发泡、钣金、组装等工序的运行特点，结合自动排产系统</w:t>
            </w:r>
            <w:r>
              <w:rPr>
                <w:rFonts w:ascii="Times New Roman" w:hAnsi="Times New Roman" w:cs="Times New Roman" w:hint="eastAsia"/>
                <w:color w:val="000000"/>
                <w:sz w:val="21"/>
                <w:szCs w:val="21"/>
              </w:rPr>
              <w:t>APS</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SAP</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ERP</w:t>
            </w:r>
            <w:r>
              <w:rPr>
                <w:rFonts w:ascii="Times New Roman" w:hAnsi="Times New Roman" w:cs="Times New Roman" w:hint="eastAsia"/>
                <w:color w:val="000000"/>
                <w:sz w:val="21"/>
                <w:szCs w:val="21"/>
              </w:rPr>
              <w:t>等系统，研发了家电行业物流管理系统，实现整条生产线的物流信息的流转及质量信息的可追溯，且能够对相关数据进行分析及展示，包含质量、库存、计划等，并通过</w:t>
            </w:r>
            <w:r>
              <w:rPr>
                <w:rFonts w:ascii="Times New Roman" w:hAnsi="Times New Roman" w:cs="Times New Roman" w:hint="eastAsia"/>
                <w:color w:val="000000"/>
                <w:sz w:val="21"/>
                <w:szCs w:val="21"/>
              </w:rPr>
              <w:t>MES</w:t>
            </w:r>
            <w:r>
              <w:rPr>
                <w:rFonts w:ascii="Times New Roman" w:hAnsi="Times New Roman" w:cs="Times New Roman" w:hint="eastAsia"/>
                <w:color w:val="000000"/>
                <w:sz w:val="21"/>
                <w:szCs w:val="21"/>
              </w:rPr>
              <w:t>系统进行数据统计分析。</w:t>
            </w:r>
          </w:p>
        </w:tc>
      </w:tr>
      <w:tr w:rsidR="000A0ACD" w14:paraId="62C17ACD" w14:textId="77777777">
        <w:trPr>
          <w:trHeight w:val="2180"/>
          <w:jc w:val="center"/>
        </w:trPr>
        <w:tc>
          <w:tcPr>
            <w:tcW w:w="211" w:type="pct"/>
            <w:shd w:val="clear" w:color="auto" w:fill="FFFFFF"/>
            <w:vAlign w:val="center"/>
          </w:tcPr>
          <w:p w14:paraId="5F8445C8"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10</w:t>
            </w:r>
          </w:p>
        </w:tc>
        <w:tc>
          <w:tcPr>
            <w:tcW w:w="335" w:type="pct"/>
            <w:shd w:val="clear" w:color="auto" w:fill="FFFFFF"/>
            <w:vAlign w:val="center"/>
          </w:tcPr>
          <w:p w14:paraId="7075F1CE" w14:textId="77777777" w:rsidR="000A0ACD" w:rsidRDefault="00362A99">
            <w:pPr>
              <w:jc w:val="center"/>
              <w:rPr>
                <w:rFonts w:ascii="Times New Roman" w:hAnsi="Times New Roman" w:cs="Times New Roman"/>
                <w:color w:val="333333"/>
                <w:sz w:val="21"/>
                <w:szCs w:val="21"/>
              </w:rPr>
            </w:pPr>
            <w:r>
              <w:rPr>
                <w:rFonts w:ascii="Times New Roman" w:hAnsi="Times New Roman" w:cs="Times New Roman" w:hint="eastAsia"/>
                <w:color w:val="000000"/>
                <w:kern w:val="1"/>
                <w:sz w:val="21"/>
                <w:szCs w:val="21"/>
                <w:lang w:eastAsia="ar-SA"/>
              </w:rPr>
              <w:t>家电行业组装产线数字化平台</w:t>
            </w:r>
          </w:p>
        </w:tc>
        <w:tc>
          <w:tcPr>
            <w:tcW w:w="1426" w:type="pct"/>
            <w:shd w:val="clear" w:color="auto" w:fill="FFFFFF"/>
            <w:vAlign w:val="center"/>
          </w:tcPr>
          <w:p w14:paraId="77CA581B" w14:textId="77777777" w:rsidR="000A0ACD" w:rsidRDefault="00362A99">
            <w:pPr>
              <w:jc w:val="both"/>
              <w:rPr>
                <w:rFonts w:ascii="Times New Roman" w:hAnsi="Times New Roman" w:cs="Times New Roman"/>
                <w:color w:val="333333"/>
                <w:sz w:val="21"/>
                <w:szCs w:val="21"/>
              </w:rPr>
            </w:pPr>
            <w:r>
              <w:rPr>
                <w:rFonts w:ascii="Times New Roman" w:hAnsi="Times New Roman" w:cs="Times New Roman" w:hint="eastAsia"/>
                <w:color w:val="333333"/>
                <w:sz w:val="21"/>
                <w:szCs w:val="21"/>
              </w:rPr>
              <w:t>通过</w:t>
            </w:r>
            <w:r>
              <w:rPr>
                <w:rFonts w:ascii="Times New Roman" w:hAnsi="Times New Roman" w:cs="Times New Roman" w:hint="eastAsia"/>
                <w:color w:val="333333"/>
                <w:sz w:val="21"/>
                <w:szCs w:val="21"/>
              </w:rPr>
              <w:t>RFID</w:t>
            </w:r>
            <w:r>
              <w:rPr>
                <w:rFonts w:ascii="Times New Roman" w:hAnsi="Times New Roman" w:cs="Times New Roman" w:hint="eastAsia"/>
                <w:color w:val="333333"/>
                <w:sz w:val="21"/>
                <w:szCs w:val="21"/>
              </w:rPr>
              <w:t>无线射频及激光刻印技术实现物料标识，有效管控生产过程相关追溯信息，让每个关键工序都起到质量闸口作用</w:t>
            </w:r>
          </w:p>
        </w:tc>
        <w:tc>
          <w:tcPr>
            <w:tcW w:w="335" w:type="pct"/>
            <w:shd w:val="clear" w:color="auto" w:fill="FFFFFF"/>
            <w:vAlign w:val="center"/>
          </w:tcPr>
          <w:p w14:paraId="28A2EFC8"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0DD59BC2" w14:textId="77777777" w:rsidR="000A0ACD" w:rsidRDefault="00362A99">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vAlign w:val="center"/>
          </w:tcPr>
          <w:p w14:paraId="56C51B9F" w14:textId="77777777" w:rsidR="000A0ACD" w:rsidRDefault="00362A99">
            <w:pPr>
              <w:jc w:val="both"/>
              <w:rPr>
                <w:rFonts w:ascii="Times New Roman" w:hAnsi="Times New Roman" w:cs="Times New Roman"/>
                <w:color w:val="000000"/>
                <w:kern w:val="1"/>
                <w:sz w:val="21"/>
                <w:szCs w:val="21"/>
              </w:rPr>
            </w:pPr>
            <w:r>
              <w:rPr>
                <w:rFonts w:ascii="Times New Roman" w:hAnsi="Times New Roman" w:cs="Times New Roman" w:hint="eastAsia"/>
                <w:color w:val="000000"/>
                <w:kern w:val="1"/>
                <w:sz w:val="21"/>
                <w:szCs w:val="21"/>
              </w:rPr>
              <w:t>在干衣机生产过程中，为保证每台产品实现质量及批次数据可追溯、生产过程可视化、工艺操作标准化，经过多年对洗衣机、干衣机等行业工艺流程的学习，相关设备参数分析、总结多条生产线的用户需求，在满足各条产线标准需求的前提下，进行了数字化平台系统给的设计和研发，通过</w:t>
            </w:r>
            <w:r>
              <w:rPr>
                <w:rFonts w:ascii="Times New Roman" w:hAnsi="Times New Roman" w:cs="Times New Roman" w:hint="eastAsia"/>
                <w:color w:val="000000"/>
                <w:kern w:val="1"/>
                <w:sz w:val="21"/>
                <w:szCs w:val="21"/>
              </w:rPr>
              <w:t>RFID</w:t>
            </w:r>
            <w:r>
              <w:rPr>
                <w:rFonts w:ascii="Times New Roman" w:hAnsi="Times New Roman" w:cs="Times New Roman" w:hint="eastAsia"/>
                <w:color w:val="000000"/>
                <w:kern w:val="1"/>
                <w:sz w:val="21"/>
                <w:szCs w:val="21"/>
              </w:rPr>
              <w:t>无线射频技术、激光刻印、通过视觉进行产品质量检测，在包装工序通过图像识别技术进行包装附件的有无及各条码数据的管理追溯，成功推行产品四码合一。</w:t>
            </w:r>
          </w:p>
        </w:tc>
      </w:tr>
    </w:tbl>
    <w:p w14:paraId="3390F4B9"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（二）人才优势</w:t>
      </w:r>
    </w:p>
    <w:p w14:paraId="5B092669"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工业自动化行业属于知识和技术密集型行业，所涉及的范围十分广泛，对研发团队的综合要求较高，除了要掌握一般精密机械、控制技术、电机技术、传感器技术等一系列知识外，还要了解下游各领域制造业的生产工序及设备调试安装经验。这对研发、设计、生产、安装等各类相关人才的研发经验、技术水平、知识结构及安装调试经验等都提出了更高要求。</w:t>
      </w:r>
    </w:p>
    <w:p w14:paraId="091375BF" w14:textId="77777777" w:rsidR="000A0ACD" w:rsidRDefault="00362A99">
      <w:pPr>
        <w:spacing w:beforeLines="50" w:before="156" w:line="360" w:lineRule="auto"/>
        <w:ind w:firstLineChars="200" w:firstLine="480"/>
        <w:jc w:val="both"/>
        <w:rPr>
          <w:rFonts w:ascii="Times New Roman" w:hAnsi="Times New Roman" w:cs="Times New Roman"/>
          <w:bCs/>
          <w:lang w:val="en-GB"/>
        </w:rPr>
      </w:pPr>
      <w:r>
        <w:rPr>
          <w:rFonts w:ascii="Times New Roman" w:hAnsi="Times New Roman" w:cs="Times New Roman" w:hint="eastAsia"/>
          <w:bCs/>
          <w:color w:val="000000"/>
          <w:lang w:val="en-GB"/>
        </w:rPr>
        <w:t>标的公司作为自动化生产线整体解决方案提供商，需要具有机械、电子、控制、工业软件、传感器、人工智能等跨领域多学科知识综合和集成运用的能力。截至</w:t>
      </w:r>
      <w:r>
        <w:rPr>
          <w:rFonts w:ascii="Times New Roman" w:hAnsi="Times New Roman" w:cs="Times New Roman" w:hint="eastAsia"/>
          <w:bCs/>
          <w:color w:val="000000"/>
          <w:lang w:val="en-GB"/>
        </w:rPr>
        <w:t>2020</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12</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31</w:t>
      </w:r>
      <w:r>
        <w:rPr>
          <w:rFonts w:ascii="Times New Roman" w:hAnsi="Times New Roman" w:cs="Times New Roman" w:hint="eastAsia"/>
          <w:bCs/>
          <w:color w:val="000000"/>
          <w:lang w:val="en-GB"/>
        </w:rPr>
        <w:t>日，北洋天青共有技术人员</w:t>
      </w:r>
      <w:r>
        <w:rPr>
          <w:rFonts w:ascii="Times New Roman" w:hAnsi="Times New Roman" w:cs="Times New Roman" w:hint="eastAsia"/>
          <w:bCs/>
          <w:color w:val="000000"/>
          <w:lang w:val="en-GB"/>
        </w:rPr>
        <w:t>40</w:t>
      </w:r>
      <w:r>
        <w:rPr>
          <w:rFonts w:ascii="Times New Roman" w:hAnsi="Times New Roman" w:cs="Times New Roman" w:hint="eastAsia"/>
          <w:bCs/>
          <w:color w:val="000000"/>
          <w:lang w:val="en-GB"/>
        </w:rPr>
        <w:t>人，核心技术人员</w:t>
      </w:r>
      <w:r>
        <w:rPr>
          <w:rFonts w:ascii="Times New Roman" w:hAnsi="Times New Roman" w:cs="Times New Roman" w:hint="eastAsia"/>
          <w:bCs/>
          <w:color w:val="000000"/>
          <w:lang w:val="en-GB"/>
        </w:rPr>
        <w:t>5</w:t>
      </w:r>
      <w:r>
        <w:rPr>
          <w:rFonts w:ascii="Times New Roman" w:hAnsi="Times New Roman" w:cs="Times New Roman" w:hint="eastAsia"/>
          <w:bCs/>
          <w:color w:val="000000"/>
          <w:lang w:val="en-GB"/>
        </w:rPr>
        <w:t>人，约占公司总人数的</w:t>
      </w:r>
      <w:r>
        <w:rPr>
          <w:rFonts w:ascii="Times New Roman" w:hAnsi="Times New Roman" w:cs="Times New Roman" w:hint="eastAsia"/>
          <w:bCs/>
          <w:color w:val="000000"/>
          <w:lang w:val="en-GB"/>
        </w:rPr>
        <w:t>24%</w:t>
      </w:r>
      <w:r>
        <w:rPr>
          <w:rFonts w:ascii="Times New Roman" w:hAnsi="Times New Roman" w:cs="Times New Roman" w:hint="eastAsia"/>
          <w:bCs/>
          <w:color w:val="000000"/>
          <w:lang w:val="en-GB"/>
        </w:rPr>
        <w:t>，其中多人拥有</w:t>
      </w:r>
      <w:r>
        <w:rPr>
          <w:rFonts w:ascii="Times New Roman" w:hAnsi="Times New Roman" w:cs="Times New Roman" w:hint="eastAsia"/>
          <w:bCs/>
          <w:color w:val="000000"/>
          <w:lang w:val="en-GB"/>
        </w:rPr>
        <w:t>10</w:t>
      </w:r>
      <w:r>
        <w:rPr>
          <w:rFonts w:ascii="Times New Roman" w:hAnsi="Times New Roman" w:cs="Times New Roman" w:hint="eastAsia"/>
          <w:bCs/>
          <w:color w:val="000000"/>
          <w:lang w:val="en-GB"/>
        </w:rPr>
        <w:t>年以上工作经验。标的公司核心技术人员深耕机械自动化行业多年，均有十五年左右自动化行业经验，对行业具有深刻的理解。标的公司主要在机器人应用、悬挂链输送及互联工厂方面进行团队建设和项目研发。在完成自身技术提升、设备开发升级的同时将研发成果直接进行产业化应用，满足客户的多维度需求。</w:t>
      </w:r>
    </w:p>
    <w:p w14:paraId="4A98CD91"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（三）客户资源优势</w:t>
      </w:r>
    </w:p>
    <w:p w14:paraId="631321D2"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多年来，北洋天青时刻紧密贴近客户需求，采取“订单式生产”的业务模式，按照客户需求量身定做的非标自动化设备和信息化项目，给客户制定个性化的工业自动化解决方案。标的公司的产品与技术获得了行业内外的广泛认可。标的公司凭借过硬的产品质量和健全的售后服务体系，已成功与海尔、澳柯玛、海信等集团公司中的众多子公司，以及瑞智（青岛）精密机电有限公司等家电行业配套公司等优质下游客户建立了合作关系，实现了产品的销售。优质的客户资源为公司业绩的持续稳定增长提供了保障。</w:t>
      </w:r>
    </w:p>
    <w:p w14:paraId="70054F93"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依据行业特点，下游客户对供应商的选定有着严格的标准和程序，企业需要深度掌握下游客户的技术改造需求，研究客户产品加工工艺，一旦合作关系确立，将不会轻易变更。标的公司通过与客户形成的较为稳定的合作关系，可以先期了解客户产品的研发、设计及生产工艺需求，提供符合客户真实生产需求的整体解决方案，既可在竞争中赢取先机，又可实现服务增值，提高产品利润。</w:t>
      </w:r>
    </w:p>
    <w:p w14:paraId="16CAB5E3"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已经与海尔、海信、澳柯玛集团合作五年左右，业务覆盖冰箱、洗衣机、洗碗机、电热水器等各类家电，为上述客户提供上百单服务。近年来，北洋天青来自于上述三家主要客户的收入逐年快速上升。标的公司凭借过硬的产品质量和健全的售后服务体系，与主要客户形成良好的合作关系，订单获取较为稳定。</w:t>
      </w:r>
    </w:p>
    <w:p w14:paraId="79B08620"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标的公司提供的产品主要为非标自动化设备，客户对供应商的选定有着严格的标准和程序，企业需要深度掌握客户的技术改造需求，研究客户产品加工工艺，一旦合作关系确立，将不会轻易变更。</w:t>
      </w:r>
    </w:p>
    <w:p w14:paraId="04167077"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（四）客户服务优势</w:t>
      </w:r>
    </w:p>
    <w:p w14:paraId="6BE53C00"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智能化、信息化生产线的应用成功与否取决于对行业的深层次理解，需要深入理解客户的行业特征、经营模式、产品属性、技术特点和工艺流程，才能确保生产线满足客户的需求，发挥应有的作用。由于生产线直接影响到所生产的产品质量及效率，甚至影响到生产活动的正常运行。因此，客户在选择供应商时非常慎重，要求供应商具有较高的知名度，看重供应商的行业经验和成功案例，并且通常对项目实施团队的专业程度、实施经验、售后服务经验有非常高的要求。</w:t>
      </w:r>
    </w:p>
    <w:p w14:paraId="543BC3BC"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标的公司在多年市场竞争中，已拥有良好的市场口碑，能够很好地整合技术应用、生产工艺、产品特性、行业经验、企业形象等各种元素，并已经在家电行业积累了非常丰富的行业应用成功经验。标的公司项目团队深入了解细分行业客户的业务特性，可以很好地把握和挖掘客户的深层次需求，便于成功案例的高效复制和广泛推广。行业应用的先发优势能够帮助标的公司快速抢占细分行业客户的市场，成功的行业应用案例能够进一步树立企业形象，为标的公司未来发展奠定了坚实的基础。</w:t>
      </w:r>
    </w:p>
    <w:p w14:paraId="13D0E754"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bookmarkStart w:id="21" w:name="_Hlk69559112"/>
      <w:bookmarkEnd w:id="20"/>
      <w:r>
        <w:rPr>
          <w:rFonts w:ascii="Times New Roman" w:hAnsi="Times New Roman" w:cs="Times New Roman" w:hint="eastAsia"/>
          <w:b/>
          <w:color w:val="000000"/>
          <w:szCs w:val="21"/>
        </w:rPr>
        <w:t>三、北洋天青被替代的风险较小</w:t>
      </w:r>
    </w:p>
    <w:p w14:paraId="504747CC"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（一）自动化下游领域间壁垒较高</w:t>
      </w:r>
    </w:p>
    <w:p w14:paraId="599A457C"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rPr>
        <w:t>制造业的细分领域众多，对依托于制造业发展的自动化供应商来说，不同的行业之间具有较高的壁垒。由于自动化服务涉及到下游客户生产的效率和稳定性，自动化供应商</w:t>
      </w:r>
      <w:r>
        <w:rPr>
          <w:rFonts w:ascii="Times New Roman" w:hAnsi="Times New Roman" w:cs="Times New Roman" w:hint="eastAsia"/>
          <w:bCs/>
          <w:color w:val="000000"/>
          <w:lang w:val="en-GB"/>
        </w:rPr>
        <w:t>需要全面了解行业客户的生产流程、专业技术及生产线需求，并结合自身设计研发能力、成功案例，才能与客户建立联系入选供应商库。自动化供应商对所服务的行业，需要有丰富的行业案例经验、人才储备、技术积累。对新进入者而言，从进入到被认可需要较长的时间，客户对智能化、信息化生产线稳定性的要求和对服务质量的高度依赖为后进入者构建了极高的壁垒。</w:t>
      </w:r>
      <w:r>
        <w:rPr>
          <w:rFonts w:ascii="Times New Roman" w:hAnsi="Times New Roman" w:cs="Times New Roman" w:hint="eastAsia"/>
          <w:bCs/>
          <w:color w:val="000000"/>
          <w:szCs w:val="21"/>
        </w:rPr>
        <w:t>行业内其他竞争企业由于与标的公司服务行业差异较大，短期内很难与标的公司在家电智能制造领域竞争。</w:t>
      </w:r>
    </w:p>
    <w:p w14:paraId="0E6880DD"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（二）北洋天青与主要客户合作稳定</w:t>
      </w:r>
    </w:p>
    <w:p w14:paraId="5A245774"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智能化、信息化生产线的应用成功与否取决于对行业的深层次理解，需要深入理解客户的行业特征、经营模式、产品属性、技术特点和工艺流程，才能确保生产线满足客户的需求，发挥应有的作用。由于生产线直接影响到所生产的产品质量及效率，甚至影响到生产活动的正常运行。因此，客户在选择供应商时非常慎重，看重供应商的行业经验和成功案例，要求供应商具有较高的知名度，并且通常对项目实施团队的专业程度、实施经验、售后服务经验有非常高的要求。</w:t>
      </w:r>
    </w:p>
    <w:p w14:paraId="3F3BEDAF"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下游客户对供应商的选定有着严格的标准和程序，企业需要深度掌握下游客户的技术改造需求，研究客户产品加工工艺，一旦合作关系确立，不会轻易变更。标的公司通过与客户形成的较为稳定的合作关系，可以先期了解客户产品的研发、设计及生产工艺需求，提供符合客户真实生产需求的整体解决方案，既可在竞争中赢取先机，又可实现服务增值，提高产品利润。</w:t>
      </w:r>
    </w:p>
    <w:p w14:paraId="791A25AB"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标的公司在多年市场竞争中，已拥有良好的市场口碑，能够很好地整合技术应用、生产工艺、产品特性、行业经验、企业形象等各种元素，并已经在家电行业积累了非常丰富的行业应用成功经验。标的公司项目团队深入了解细分行业客户的业务特性，可以很好地把握和挖掘客户的深层次需求，便于成功案例的高效复制和广泛推广。客户服务的优势能够帮助标的公司快速抢占细分行业的市场，成功的行业应用案例能够进一步树立企业形象，为标的公司未来发展奠定了坚实的基础。</w:t>
      </w:r>
    </w:p>
    <w:p w14:paraId="7B23FBD1"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val="en-GB"/>
        </w:rPr>
      </w:pPr>
      <w:bookmarkStart w:id="22" w:name="_Hlk69496072"/>
      <w:r>
        <w:rPr>
          <w:rFonts w:ascii="Times New Roman" w:hAnsi="Times New Roman" w:cs="Times New Roman" w:hint="eastAsia"/>
          <w:b/>
          <w:color w:val="000000"/>
          <w:lang w:val="en-GB"/>
        </w:rPr>
        <w:t>（三）应对措施</w:t>
      </w:r>
    </w:p>
    <w:p w14:paraId="2E8073F1"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bookmarkStart w:id="23" w:name="_Hlk69495925"/>
      <w:r>
        <w:rPr>
          <w:rFonts w:ascii="Times New Roman" w:hAnsi="Times New Roman" w:cs="Times New Roman" w:hint="eastAsia"/>
          <w:bCs/>
          <w:color w:val="000000"/>
          <w:lang w:val="en-GB"/>
        </w:rPr>
        <w:t>北洋天青作为家电智能制造行业少</w:t>
      </w:r>
      <w:r>
        <w:rPr>
          <w:rFonts w:ascii="Times New Roman" w:hAnsi="Times New Roman" w:cs="Times New Roman" w:hint="eastAsia"/>
          <w:bCs/>
        </w:rPr>
        <w:t>有的能提供多产品智能生产线及配套系统全流程服务的供应商，与主要客户具有长期稳定的合作关系，始终紧跟最新的技术发展方向，为客户提供贴合需求的优势解决方案及产品，被替代的风险较小。</w:t>
      </w:r>
      <w:r>
        <w:rPr>
          <w:rFonts w:hint="eastAsia"/>
        </w:rPr>
        <w:t>如果标的公司不能持续开发出客户满意的产品，将对标的公司竞争力和经营业绩带来不利影响。</w:t>
      </w:r>
      <w:r>
        <w:rPr>
          <w:rFonts w:ascii="Times New Roman" w:hAnsi="Times New Roman" w:cs="Times New Roman" w:hint="eastAsia"/>
          <w:bCs/>
        </w:rPr>
        <w:t>未来标的公司将通过继续积极开发新客户、</w:t>
      </w:r>
      <w:r>
        <w:rPr>
          <w:rFonts w:ascii="Times New Roman" w:hAnsi="Times New Roman" w:cs="Times New Roman" w:hint="eastAsia"/>
          <w:bCs/>
          <w:color w:val="000000"/>
          <w:lang w:val="en-GB"/>
        </w:rPr>
        <w:t>推进业务技术开发及储备、开发客户需求发展其他产品</w:t>
      </w:r>
      <w:r>
        <w:rPr>
          <w:rFonts w:ascii="Times New Roman" w:hAnsi="Times New Roman" w:cs="Times New Roman" w:hint="eastAsia"/>
        </w:rPr>
        <w:t>、维护现有客户减少被替代的风险。</w:t>
      </w:r>
    </w:p>
    <w:bookmarkEnd w:id="23"/>
    <w:p w14:paraId="10ECB780" w14:textId="77777777" w:rsidR="000A0ACD" w:rsidRDefault="00362A99">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1</w:t>
      </w:r>
      <w:r>
        <w:rPr>
          <w:rFonts w:ascii="Times New Roman" w:hAnsi="Times New Roman" w:cs="Times New Roman" w:hint="eastAsia"/>
          <w:b/>
          <w:color w:val="000000"/>
          <w:lang w:val="en-GB"/>
        </w:rPr>
        <w:t>、积极开发其他客户</w:t>
      </w:r>
    </w:p>
    <w:p w14:paraId="64485FE5"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北洋天青在维护现有家电行业龙头客户的同时，也与其他行业内企业建立了联系，推广各类自动化、信息化技术，努力开发行业内其他客户。北洋天青在深耕家电行业的同时，也在积极拓展其他行业。</w:t>
      </w:r>
    </w:p>
    <w:p w14:paraId="4793CF73" w14:textId="12225BD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在食品饮料领域，标的公司以现有技术及软件为基础，已经为崂山矿泉水集团提供了相应的自动化、企业信息化服务；与青岛万福集团就仓储物流技术等业务进行</w:t>
      </w:r>
      <w:r>
        <w:rPr>
          <w:rFonts w:ascii="Times New Roman" w:hAnsi="Times New Roman" w:cs="Times New Roman" w:hint="eastAsia"/>
          <w:bCs/>
          <w:color w:val="000000"/>
        </w:rPr>
        <w:t>初步探讨</w:t>
      </w:r>
      <w:r>
        <w:rPr>
          <w:rFonts w:ascii="Times New Roman" w:hAnsi="Times New Roman" w:cs="Times New Roman" w:hint="eastAsia"/>
          <w:bCs/>
          <w:color w:val="000000"/>
          <w:lang w:val="en-GB"/>
        </w:rPr>
        <w:t>。</w:t>
      </w:r>
    </w:p>
    <w:p w14:paraId="0C8A40E7"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在其他行业，北洋天青积极拓展现有技术及产品可以支持的其他行业智能化、自动化应用。目前标的公司已与青岛海湾化学集团就智能工厂整体规划、企业信息化等业务展开初步接触。</w:t>
      </w:r>
    </w:p>
    <w:p w14:paraId="2EE89464" w14:textId="77777777" w:rsidR="000A0ACD" w:rsidRDefault="00362A99">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2</w:t>
      </w:r>
      <w:r>
        <w:rPr>
          <w:rFonts w:ascii="Times New Roman" w:hAnsi="Times New Roman" w:cs="Times New Roman" w:hint="eastAsia"/>
          <w:b/>
          <w:color w:val="000000"/>
          <w:lang w:val="en-GB"/>
        </w:rPr>
        <w:t>、积极推进业务技术开发及储备</w:t>
      </w:r>
    </w:p>
    <w:p w14:paraId="2B919C31"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在家电智能制造领域深入研究，积极开发与客户生产需求相匹配的新技术。首创物流悬挂输送系统技术、模具立体库自动换模系统技术以及自动上压板机技术三大技术，北洋天持续密切跟踪新技术的发展方向并坚持研发投入，保持技术的领先优势技术，为其产品和服务提供技术保障。</w:t>
      </w:r>
    </w:p>
    <w:p w14:paraId="0C21D1CE"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在</w:t>
      </w:r>
      <w:r>
        <w:rPr>
          <w:rFonts w:ascii="Times New Roman" w:hAnsi="Times New Roman" w:cs="Times New Roman"/>
          <w:bCs/>
          <w:color w:val="000000"/>
          <w:lang w:val="en-GB"/>
        </w:rPr>
        <w:t>3C</w:t>
      </w:r>
      <w:r>
        <w:rPr>
          <w:rFonts w:ascii="Times New Roman" w:hAnsi="Times New Roman" w:cs="Times New Roman" w:hint="eastAsia"/>
          <w:bCs/>
          <w:color w:val="000000"/>
          <w:lang w:val="en-GB"/>
        </w:rPr>
        <w:t>领域，</w:t>
      </w:r>
      <w:r>
        <w:rPr>
          <w:rFonts w:ascii="Times New Roman" w:hAnsi="Times New Roman" w:cs="Times New Roman" w:hint="eastAsia"/>
          <w:bCs/>
          <w:color w:val="000000"/>
        </w:rPr>
        <w:t>北洋天青</w:t>
      </w:r>
      <w:r>
        <w:rPr>
          <w:rFonts w:ascii="Times New Roman" w:hAnsi="Times New Roman" w:cs="Times New Roman" w:hint="eastAsia"/>
          <w:bCs/>
          <w:color w:val="000000"/>
          <w:lang w:val="en-GB"/>
        </w:rPr>
        <w:t>主要以现有的物流悬挂输送系统为切入的技术基础，以液晶显示器模组生产为主推市场，拟开发机器人视觉追踪应用技术，柔性部件组装技术、以及任意曲面屏组装技术，并引入行业内有资深自动化行业经验的高水平技术及管理人才，积极拓展</w:t>
      </w:r>
      <w:r>
        <w:rPr>
          <w:rFonts w:ascii="Times New Roman" w:hAnsi="Times New Roman" w:cs="Times New Roman"/>
          <w:bCs/>
          <w:color w:val="000000"/>
          <w:lang w:val="en-GB"/>
        </w:rPr>
        <w:t>3C</w:t>
      </w:r>
      <w:r>
        <w:rPr>
          <w:rFonts w:ascii="Times New Roman" w:hAnsi="Times New Roman" w:cs="Times New Roman" w:hint="eastAsia"/>
          <w:bCs/>
          <w:color w:val="000000"/>
          <w:lang w:val="en-GB"/>
        </w:rPr>
        <w:t>领域自动化市场。</w:t>
      </w:r>
    </w:p>
    <w:p w14:paraId="087A82B0" w14:textId="77777777" w:rsidR="000A0ACD" w:rsidRDefault="00362A99">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3</w:t>
      </w:r>
      <w:r>
        <w:rPr>
          <w:rFonts w:ascii="Times New Roman" w:hAnsi="Times New Roman" w:cs="Times New Roman" w:hint="eastAsia"/>
          <w:b/>
          <w:color w:val="000000"/>
          <w:lang w:val="en-GB"/>
        </w:rPr>
        <w:t>、开发客户需求发展其他产品</w:t>
      </w:r>
    </w:p>
    <w:p w14:paraId="5EF44BEA"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积极跟进客户自动化、智能化需求，根据客户生产特点结合先进的自动化、智能化技术和经验，首创物流悬挂输送系统技术、模具立体库自动换模系统技术以及自动上压板机技术三大技术，为客户提供了空中物流悬挂链、模具立体库自动换模等产品。</w:t>
      </w:r>
    </w:p>
    <w:p w14:paraId="5D112FC4" w14:textId="77777777" w:rsidR="000A0ACD" w:rsidRDefault="00362A99">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4</w:t>
      </w:r>
      <w:r>
        <w:rPr>
          <w:rFonts w:ascii="Times New Roman" w:hAnsi="Times New Roman" w:cs="Times New Roman" w:hint="eastAsia"/>
          <w:b/>
          <w:color w:val="000000"/>
          <w:lang w:val="en-GB"/>
        </w:rPr>
        <w:t>、继续维护现有客户</w:t>
      </w:r>
    </w:p>
    <w:p w14:paraId="77625149"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已经与海尔、海信、澳柯玛集团合作五年左右，为上述单家客户提供上百单服务。近年来，北洋天青来自于上述三家主要客户的收入逐年快速上升。标的公司凭借过硬的产品质量和健全的售后服务体系，与主要客户形成良好的合作关系，订单获取较为稳定。</w:t>
      </w:r>
    </w:p>
    <w:p w14:paraId="11D54A9E"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标的公司持续跟进客户需求，紧跟技术发展趋势，为客户提供优质的产品。标的公司提供的非标自动化设备，客户对供应商的选定有着严格的标准和程序，企业需要深度掌握客户的技术改造需求，研究客户产品加工工艺，一旦合作关系确立，不会轻易变更。</w:t>
      </w:r>
    </w:p>
    <w:bookmarkEnd w:id="21"/>
    <w:bookmarkEnd w:id="22"/>
    <w:p w14:paraId="3E9C54DB"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四、补充披露情况</w:t>
      </w:r>
    </w:p>
    <w:p w14:paraId="0E703E03" w14:textId="77777777" w:rsidR="000A0ACD" w:rsidRDefault="00362A99">
      <w:pPr>
        <w:pStyle w:val="affffd"/>
        <w:spacing w:before="156"/>
        <w:ind w:firstLine="480"/>
      </w:pPr>
      <w:r>
        <w:rPr>
          <w:rFonts w:hint="eastAsia"/>
        </w:rPr>
        <w:t>上述内容已在“第九节</w:t>
      </w:r>
      <w:r>
        <w:t xml:space="preserve"> </w:t>
      </w:r>
      <w:r>
        <w:rPr>
          <w:rFonts w:hint="eastAsia"/>
        </w:rPr>
        <w:t>管理层讨论与分析”之“二、标的公司行业特点和行业定位”之“（二）行业竞争格局和市场化程度”和“（七）标的公司的竞争优势”、“第十二节</w:t>
      </w:r>
      <w:r>
        <w:rPr>
          <w:rFonts w:hint="eastAsia"/>
        </w:rPr>
        <w:t xml:space="preserve"> </w:t>
      </w:r>
      <w:r>
        <w:rPr>
          <w:rFonts w:hint="eastAsia"/>
        </w:rPr>
        <w:t>风险因素”之“二、标的资产相关风险”和“重大风险提示”中补充披露。</w:t>
      </w:r>
    </w:p>
    <w:p w14:paraId="0307B483"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五、独立财务顾问核查意见</w:t>
      </w:r>
    </w:p>
    <w:p w14:paraId="59A4BAA3" w14:textId="77777777" w:rsidR="000A0ACD" w:rsidRDefault="00362A99">
      <w:pPr>
        <w:pStyle w:val="affffd"/>
        <w:spacing w:before="156"/>
        <w:ind w:firstLine="480"/>
        <w:rPr>
          <w:bCs/>
          <w:lang w:val="en-GB"/>
        </w:rPr>
      </w:pPr>
      <w:r>
        <w:rPr>
          <w:rFonts w:hint="eastAsia"/>
          <w:lang w:val="zh-CN"/>
        </w:rPr>
        <w:t>经核查，独立财务顾问结合行业特性和市场情况、北洋天青核心竞争力和竞争优势，技术研发、客户开发和维护等方面，北洋天青被替代的风险较小。</w:t>
      </w:r>
    </w:p>
    <w:p w14:paraId="1F98F023" w14:textId="77777777" w:rsidR="000A0ACD" w:rsidRDefault="000A0ACD">
      <w:pPr>
        <w:pStyle w:val="afffff"/>
        <w:sectPr w:rsidR="000A0ACD">
          <w:pgSz w:w="11906" w:h="16838"/>
          <w:pgMar w:top="1440" w:right="1800" w:bottom="1440" w:left="1800" w:header="851" w:footer="992" w:gutter="0"/>
          <w:cols w:space="425"/>
          <w:docGrid w:type="lines" w:linePitch="312"/>
        </w:sectPr>
      </w:pPr>
      <w:bookmarkStart w:id="24" w:name="_Toc69256869"/>
      <w:bookmarkStart w:id="25" w:name="_Toc69256849"/>
    </w:p>
    <w:p w14:paraId="49412EEE" w14:textId="77777777" w:rsidR="000A0ACD" w:rsidRDefault="00362A99">
      <w:pPr>
        <w:pStyle w:val="afffff"/>
      </w:pPr>
      <w:r>
        <w:rPr>
          <w:rFonts w:hint="eastAsia"/>
        </w:rPr>
        <w:t>第四题</w:t>
      </w:r>
      <w:bookmarkEnd w:id="24"/>
      <w:bookmarkEnd w:id="25"/>
    </w:p>
    <w:p w14:paraId="64B22D7C"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）北洋天青从海尔集团公司下属工业服务物联网电商平台采购零部件，海尔集团公司为北洋天青报告期第一大供应商。</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）同时，海尔集团公司为北洋天青报告期第一大客户。请你公司：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）结合北洋天青采购模式、销售模式、生产模式，补充披露海尔集团公司既是第一大客户又是第一大供应商的原因及商业合理性。</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）补充披露北洋天青是否在采购、销售、技术和生产等方面对海尔集团公司存在较大依赖。请独立财务顾问和会计师核查并发表明确意见。</w:t>
      </w:r>
    </w:p>
    <w:p w14:paraId="2287E3C3" w14:textId="77777777" w:rsidR="000A0ACD" w:rsidRDefault="00362A99">
      <w:pPr>
        <w:pStyle w:val="affffd"/>
        <w:spacing w:before="156"/>
        <w:ind w:firstLine="482"/>
        <w:rPr>
          <w:b/>
        </w:rPr>
      </w:pPr>
      <w:r>
        <w:rPr>
          <w:rFonts w:hint="eastAsia"/>
          <w:b/>
        </w:rPr>
        <w:t>【回复说明】</w:t>
      </w:r>
    </w:p>
    <w:p w14:paraId="52397107"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）结合北洋天青采购模式、销售模式、生产模式，补充披露海尔集团公司既是第一大客户又是第一大供应商的原因及商业合理性。</w:t>
      </w:r>
    </w:p>
    <w:p w14:paraId="00B1F46F"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一、采购模式</w:t>
      </w:r>
    </w:p>
    <w:p w14:paraId="45FB0676"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color w:val="000000"/>
          <w:lang w:val="en-GB"/>
        </w:rPr>
        <w:t>北洋天青</w:t>
      </w:r>
      <w:r>
        <w:rPr>
          <w:rFonts w:ascii="Times New Roman" w:hAnsi="Times New Roman" w:cs="Times New Roman" w:hint="eastAsia"/>
          <w:bCs/>
          <w:color w:val="000000"/>
          <w:lang w:val="en-GB"/>
        </w:rPr>
        <w:t>采购部依据订单、生产计划以及仓库储存量确定采购进程，编制物料请购单，明确所需采购的物料名称、数量、材质、品牌、规格型号等方面的要求，报总经理审批通过后进行采购。</w:t>
      </w:r>
      <w:r>
        <w:rPr>
          <w:rFonts w:ascii="Times New Roman" w:hAnsi="Times New Roman" w:cs="Times New Roman" w:hint="eastAsia"/>
          <w:color w:val="000000"/>
          <w:lang w:val="en-GB"/>
        </w:rPr>
        <w:t>北洋天青</w:t>
      </w:r>
      <w:r>
        <w:rPr>
          <w:rFonts w:ascii="Times New Roman" w:hAnsi="Times New Roman" w:cs="Times New Roman" w:hint="eastAsia"/>
          <w:bCs/>
          <w:color w:val="000000"/>
          <w:lang w:val="en-GB"/>
        </w:rPr>
        <w:t>制定了合格供应商评审制度，依据采购物资类别及技术条件确定合格供应商。对于重大的采购物资，采购部会联合需求部门、技术部、质量部对供应商进行实地考察并筛选。</w:t>
      </w:r>
      <w:r>
        <w:rPr>
          <w:rFonts w:ascii="Times New Roman" w:hAnsi="Times New Roman" w:cs="Times New Roman" w:hint="eastAsia"/>
          <w:color w:val="000000"/>
          <w:lang w:val="en-GB"/>
        </w:rPr>
        <w:t>北洋天青</w:t>
      </w:r>
      <w:r>
        <w:rPr>
          <w:rFonts w:ascii="Times New Roman" w:hAnsi="Times New Roman" w:cs="Times New Roman" w:hint="eastAsia"/>
          <w:bCs/>
          <w:color w:val="000000"/>
          <w:lang w:val="en-GB"/>
        </w:rPr>
        <w:t>会与选定的合格供应商建立战略合作，同时始终保持拥有两家较为稳定的供应商，以确保货源和价格的稳定。</w:t>
      </w:r>
    </w:p>
    <w:p w14:paraId="4A33C94A"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二、销售模式</w:t>
      </w:r>
    </w:p>
    <w:p w14:paraId="3FBDFAD1"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color w:val="000000"/>
          <w:lang w:val="en-GB"/>
        </w:rPr>
        <w:t>北洋天青采用直销的销售模式开拓市场，由北洋天青营销团队通过网站宣传、参加展会和论坛、自主开发等多种营销渠道寻找并发掘客户，收集客户产品需求信息。同时北洋天青成为了中国机器人产业联盟会员单位。北洋天青的产品为按照客户需求进行量身定做的非标自动化设备，因此需要紧密联系下游客户的设备部门和技术改造部门，深度了解客户工艺流程和技术改造诉求后，为客户制定个性化的工业自动化解决方案。北洋天青主要通过参与下游客户的招投标获取订单。</w:t>
      </w:r>
    </w:p>
    <w:p w14:paraId="764C0315"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三、生产模式</w:t>
      </w:r>
    </w:p>
    <w:p w14:paraId="5D1F30B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lang w:val="en-GB"/>
        </w:rPr>
        <w:t>北洋天青的生产部门根据接入的订单情况，及项目经理排定的一级项目计划中的生产相关节点，制定本部门的生产实施二级计划来进行项目的排产、组装和现场安装，质量部负责在各主要环节把控产品质量与检测。</w:t>
      </w:r>
    </w:p>
    <w:p w14:paraId="109BDE14"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四、海尔集团公司既是第一大客户又是第一大供应商的原因及商业合理性</w:t>
      </w:r>
    </w:p>
    <w:p w14:paraId="46A36EB2"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（一）采购情况</w:t>
      </w:r>
    </w:p>
    <w:p w14:paraId="06DA7CCE"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2018</w:t>
      </w:r>
      <w:r>
        <w:rPr>
          <w:rFonts w:ascii="Times New Roman" w:hAnsi="Times New Roman" w:cs="Times New Roman"/>
          <w:color w:val="000000"/>
          <w:lang w:val="en-GB"/>
        </w:rPr>
        <w:t>年度，海尔集团公司为北洋天青的第二大供应商，占当期采购总额的比重为</w:t>
      </w:r>
      <w:r>
        <w:rPr>
          <w:rFonts w:ascii="Times New Roman" w:hAnsi="Times New Roman" w:cs="Times New Roman"/>
          <w:color w:val="000000"/>
          <w:lang w:val="en-GB"/>
        </w:rPr>
        <w:t>12.97%</w:t>
      </w:r>
      <w:r>
        <w:rPr>
          <w:rFonts w:ascii="Times New Roman" w:hAnsi="Times New Roman" w:cs="Times New Roman"/>
          <w:color w:val="000000"/>
          <w:lang w:val="en-GB"/>
        </w:rPr>
        <w:t>；</w:t>
      </w:r>
      <w:r>
        <w:rPr>
          <w:rFonts w:ascii="Times New Roman" w:hAnsi="Times New Roman" w:cs="Times New Roman"/>
          <w:color w:val="000000"/>
          <w:lang w:val="en-GB"/>
        </w:rPr>
        <w:t>2019</w:t>
      </w:r>
      <w:r>
        <w:rPr>
          <w:rFonts w:ascii="Times New Roman" w:hAnsi="Times New Roman" w:cs="Times New Roman"/>
          <w:color w:val="000000"/>
          <w:lang w:val="en-GB"/>
        </w:rPr>
        <w:t>年度，海尔集团公司为北洋天青的第一大供应商，占当期采购总额的比重为</w:t>
      </w:r>
      <w:r>
        <w:rPr>
          <w:rFonts w:ascii="Times New Roman" w:hAnsi="Times New Roman" w:cs="Times New Roman"/>
          <w:color w:val="000000"/>
          <w:lang w:val="en-GB"/>
        </w:rPr>
        <w:t>28.57%</w:t>
      </w:r>
      <w:r>
        <w:rPr>
          <w:rFonts w:ascii="Times New Roman" w:hAnsi="Times New Roman" w:cs="Times New Roman"/>
          <w:color w:val="000000"/>
          <w:lang w:val="en-GB"/>
        </w:rPr>
        <w:t>；</w:t>
      </w:r>
      <w:r>
        <w:rPr>
          <w:rFonts w:ascii="Times New Roman" w:hAnsi="Times New Roman" w:cs="Times New Roman"/>
          <w:color w:val="000000"/>
          <w:lang w:val="en-GB"/>
        </w:rPr>
        <w:t>2020</w:t>
      </w:r>
      <w:r>
        <w:rPr>
          <w:rFonts w:ascii="Times New Roman" w:hAnsi="Times New Roman" w:cs="Times New Roman"/>
          <w:color w:val="000000"/>
          <w:lang w:val="en-GB"/>
        </w:rPr>
        <w:t>年度，海尔集团公司为北洋天青的第三大供应商，占当期采购总额的比重为</w:t>
      </w:r>
      <w:r>
        <w:rPr>
          <w:rFonts w:ascii="Times New Roman" w:hAnsi="Times New Roman" w:cs="Times New Roman"/>
          <w:color w:val="000000"/>
          <w:lang w:val="en-GB"/>
        </w:rPr>
        <w:t>5.01%</w:t>
      </w:r>
      <w:r>
        <w:rPr>
          <w:rFonts w:ascii="Times New Roman" w:hAnsi="Times New Roman" w:cs="Times New Roman"/>
          <w:color w:val="000000"/>
          <w:lang w:val="en-GB"/>
        </w:rPr>
        <w:t>。报告期内，海尔集团公司占标的公司采购总额的比重</w:t>
      </w:r>
      <w:r>
        <w:rPr>
          <w:rFonts w:ascii="Times New Roman" w:hAnsi="Times New Roman" w:cs="Times New Roman" w:hint="eastAsia"/>
          <w:color w:val="000000"/>
          <w:lang w:val="en-GB"/>
        </w:rPr>
        <w:t>有所波动</w:t>
      </w:r>
      <w:r>
        <w:rPr>
          <w:rFonts w:ascii="Times New Roman" w:hAnsi="Times New Roman" w:cs="Times New Roman"/>
          <w:color w:val="000000"/>
          <w:lang w:val="en-GB"/>
        </w:rPr>
        <w:t>。</w:t>
      </w:r>
    </w:p>
    <w:p w14:paraId="06F2B206" w14:textId="330EFA51"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北洋天青从海尔集团公司的采购主要集中于其下属青岛好品海智信息技术有限公司。“好品海智”是工业服务物联网电商平台，为设备供应商提供一站式零部件采购服务。“好品海智”以海尔集团公司为依托，形成规模优势，部分产品具有一定的价格优势及交付期优势。同时，与“好品海智”平台合作的厂商较为正规，通过该</w:t>
      </w:r>
      <w:r>
        <w:rPr>
          <w:rFonts w:ascii="Times New Roman" w:hAnsi="Times New Roman" w:cs="Times New Roman" w:hint="eastAsia"/>
          <w:color w:val="000000"/>
        </w:rPr>
        <w:t>平台</w:t>
      </w:r>
      <w:r>
        <w:rPr>
          <w:rFonts w:ascii="Times New Roman" w:hAnsi="Times New Roman" w:cs="Times New Roman" w:hint="eastAsia"/>
          <w:color w:val="000000"/>
          <w:lang w:val="en-GB"/>
        </w:rPr>
        <w:t>采购的原材料能够确保质量符合相关标准。因此北洋天青在“好品海智”电商平台有品质、交付期和价格等优势时，考虑在“好品海智”电商平台采购原材料。</w:t>
      </w:r>
    </w:p>
    <w:p w14:paraId="27A432B9"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报告期内，北洋天青通过“好品海智”电商平台主要采购的产品如下：电机类（如</w:t>
      </w:r>
      <w:r>
        <w:rPr>
          <w:rFonts w:ascii="Times New Roman" w:hAnsi="Times New Roman" w:cs="Times New Roman"/>
          <w:color w:val="000000"/>
          <w:lang w:val="en-GB"/>
        </w:rPr>
        <w:t>SEW</w:t>
      </w:r>
      <w:r>
        <w:rPr>
          <w:rFonts w:ascii="Times New Roman" w:hAnsi="Times New Roman" w:cs="Times New Roman" w:hint="eastAsia"/>
          <w:color w:val="000000"/>
          <w:lang w:val="en-GB"/>
        </w:rPr>
        <w:t>减速电机）、包装专机类（如打包机、封箱机，塑封机等）、工具类（如吸残水机、扭力枪，刻码机，激光切割机等）、电源配套类（如变频电源、安检仪，美式电源等）、胶机类（如打胶机，胶机）等。报告期内，前十大供应商中，北洋天青与海尔集团公司下属公司采购情况如下：</w:t>
      </w:r>
    </w:p>
    <w:p w14:paraId="613AB2EE"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574"/>
        <w:gridCol w:w="2199"/>
        <w:gridCol w:w="2749"/>
      </w:tblGrid>
      <w:tr w:rsidR="000A0ACD" w14:paraId="6C06E6AE" w14:textId="77777777">
        <w:trPr>
          <w:trHeight w:val="397"/>
          <w:tblHeader/>
        </w:trPr>
        <w:tc>
          <w:tcPr>
            <w:tcW w:w="2097" w:type="pct"/>
            <w:shd w:val="clear" w:color="auto" w:fill="auto"/>
            <w:noWrap/>
            <w:vAlign w:val="center"/>
          </w:tcPr>
          <w:p w14:paraId="23EF387E"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公司名称</w:t>
            </w:r>
          </w:p>
        </w:tc>
        <w:tc>
          <w:tcPr>
            <w:tcW w:w="1290" w:type="pct"/>
            <w:shd w:val="clear" w:color="auto" w:fill="auto"/>
            <w:noWrap/>
            <w:vAlign w:val="center"/>
          </w:tcPr>
          <w:p w14:paraId="2B57000F"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金额</w:t>
            </w:r>
          </w:p>
        </w:tc>
        <w:tc>
          <w:tcPr>
            <w:tcW w:w="1613" w:type="pct"/>
            <w:shd w:val="clear" w:color="auto" w:fill="auto"/>
            <w:noWrap/>
            <w:vAlign w:val="center"/>
          </w:tcPr>
          <w:p w14:paraId="43AA0176"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占总采购额比重</w:t>
            </w:r>
          </w:p>
        </w:tc>
      </w:tr>
      <w:tr w:rsidR="000A0ACD" w14:paraId="4373E9A4" w14:textId="77777777">
        <w:trPr>
          <w:trHeight w:val="397"/>
        </w:trPr>
        <w:tc>
          <w:tcPr>
            <w:tcW w:w="5000" w:type="pct"/>
            <w:gridSpan w:val="3"/>
            <w:shd w:val="clear" w:color="auto" w:fill="auto"/>
            <w:noWrap/>
            <w:vAlign w:val="center"/>
          </w:tcPr>
          <w:p w14:paraId="5FCC80BE"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w:t>
            </w:r>
          </w:p>
        </w:tc>
      </w:tr>
      <w:tr w:rsidR="000A0ACD" w14:paraId="2CDA204D" w14:textId="77777777">
        <w:trPr>
          <w:trHeight w:val="397"/>
        </w:trPr>
        <w:tc>
          <w:tcPr>
            <w:tcW w:w="2097" w:type="pct"/>
            <w:shd w:val="clear" w:color="auto" w:fill="auto"/>
            <w:noWrap/>
            <w:vAlign w:val="center"/>
          </w:tcPr>
          <w:p w14:paraId="50D712A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青岛好品海智信息技术有限公司</w:t>
            </w:r>
          </w:p>
        </w:tc>
        <w:tc>
          <w:tcPr>
            <w:tcW w:w="1290" w:type="pct"/>
            <w:shd w:val="clear" w:color="auto" w:fill="auto"/>
            <w:noWrap/>
            <w:vAlign w:val="center"/>
          </w:tcPr>
          <w:p w14:paraId="65F3042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687.67</w:t>
            </w:r>
          </w:p>
        </w:tc>
        <w:tc>
          <w:tcPr>
            <w:tcW w:w="1613" w:type="pct"/>
            <w:shd w:val="clear" w:color="auto" w:fill="auto"/>
            <w:noWrap/>
            <w:vAlign w:val="center"/>
          </w:tcPr>
          <w:p w14:paraId="36F33F8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5.01</w:t>
            </w:r>
            <w:r>
              <w:rPr>
                <w:rFonts w:ascii="Times New Roman" w:hAnsi="Times New Roman" w:cs="Times New Roman" w:hint="eastAsia"/>
                <w:color w:val="000000"/>
                <w:sz w:val="21"/>
                <w:szCs w:val="21"/>
              </w:rPr>
              <w:t>%</w:t>
            </w:r>
          </w:p>
        </w:tc>
      </w:tr>
      <w:tr w:rsidR="000A0ACD" w14:paraId="2EEB5EC9" w14:textId="77777777">
        <w:trPr>
          <w:trHeight w:val="397"/>
        </w:trPr>
        <w:tc>
          <w:tcPr>
            <w:tcW w:w="5000" w:type="pct"/>
            <w:gridSpan w:val="3"/>
            <w:shd w:val="clear" w:color="auto" w:fill="auto"/>
            <w:noWrap/>
            <w:vAlign w:val="center"/>
          </w:tcPr>
          <w:p w14:paraId="4715EB29"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w:t>
            </w:r>
          </w:p>
        </w:tc>
      </w:tr>
      <w:tr w:rsidR="000A0ACD" w14:paraId="337E4059" w14:textId="77777777">
        <w:trPr>
          <w:trHeight w:val="397"/>
        </w:trPr>
        <w:tc>
          <w:tcPr>
            <w:tcW w:w="2097" w:type="pct"/>
            <w:shd w:val="clear" w:color="auto" w:fill="auto"/>
            <w:noWrap/>
            <w:vAlign w:val="center"/>
          </w:tcPr>
          <w:p w14:paraId="16A0052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青岛好品海智信息技术有限公司</w:t>
            </w:r>
          </w:p>
        </w:tc>
        <w:tc>
          <w:tcPr>
            <w:tcW w:w="1290" w:type="pct"/>
            <w:shd w:val="clear" w:color="auto" w:fill="auto"/>
            <w:noWrap/>
            <w:vAlign w:val="center"/>
          </w:tcPr>
          <w:p w14:paraId="13F2BBF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1,508.87</w:t>
            </w:r>
          </w:p>
        </w:tc>
        <w:tc>
          <w:tcPr>
            <w:tcW w:w="1613" w:type="pct"/>
            <w:shd w:val="clear" w:color="auto" w:fill="auto"/>
            <w:noWrap/>
            <w:vAlign w:val="center"/>
          </w:tcPr>
          <w:p w14:paraId="6221531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19.99%</w:t>
            </w:r>
          </w:p>
        </w:tc>
      </w:tr>
      <w:tr w:rsidR="000A0ACD" w14:paraId="3697E8D4" w14:textId="77777777">
        <w:trPr>
          <w:trHeight w:val="397"/>
        </w:trPr>
        <w:tc>
          <w:tcPr>
            <w:tcW w:w="2097" w:type="pct"/>
            <w:shd w:val="clear" w:color="auto" w:fill="auto"/>
            <w:noWrap/>
            <w:vAlign w:val="center"/>
          </w:tcPr>
          <w:p w14:paraId="0D7774B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青岛海尔机器人有限公司</w:t>
            </w:r>
          </w:p>
        </w:tc>
        <w:tc>
          <w:tcPr>
            <w:tcW w:w="1290" w:type="pct"/>
            <w:shd w:val="clear" w:color="auto" w:fill="auto"/>
            <w:noWrap/>
            <w:vAlign w:val="center"/>
          </w:tcPr>
          <w:p w14:paraId="3AC671C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647.97</w:t>
            </w:r>
          </w:p>
        </w:tc>
        <w:tc>
          <w:tcPr>
            <w:tcW w:w="1613" w:type="pct"/>
            <w:shd w:val="clear" w:color="auto" w:fill="auto"/>
            <w:noWrap/>
            <w:vAlign w:val="center"/>
          </w:tcPr>
          <w:p w14:paraId="6A0756C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8.58%</w:t>
            </w:r>
          </w:p>
        </w:tc>
      </w:tr>
      <w:tr w:rsidR="000A0ACD" w14:paraId="35950F08" w14:textId="77777777">
        <w:trPr>
          <w:trHeight w:val="397"/>
        </w:trPr>
        <w:tc>
          <w:tcPr>
            <w:tcW w:w="5000" w:type="pct"/>
            <w:gridSpan w:val="3"/>
            <w:shd w:val="clear" w:color="auto" w:fill="auto"/>
            <w:noWrap/>
            <w:vAlign w:val="center"/>
          </w:tcPr>
          <w:p w14:paraId="7CCBE820"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hint="eastAsia"/>
                <w:b/>
                <w:bCs/>
                <w:color w:val="000000"/>
                <w:sz w:val="21"/>
                <w:szCs w:val="21"/>
              </w:rPr>
              <w:t>年</w:t>
            </w:r>
          </w:p>
        </w:tc>
      </w:tr>
      <w:tr w:rsidR="000A0ACD" w14:paraId="799A435C" w14:textId="77777777">
        <w:trPr>
          <w:trHeight w:val="397"/>
        </w:trPr>
        <w:tc>
          <w:tcPr>
            <w:tcW w:w="2097" w:type="pct"/>
            <w:shd w:val="clear" w:color="auto" w:fill="auto"/>
            <w:noWrap/>
            <w:vAlign w:val="center"/>
          </w:tcPr>
          <w:p w14:paraId="326E860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青岛好品海智信息技术有限公司</w:t>
            </w:r>
          </w:p>
        </w:tc>
        <w:tc>
          <w:tcPr>
            <w:tcW w:w="1290" w:type="pct"/>
            <w:shd w:val="clear" w:color="auto" w:fill="auto"/>
            <w:noWrap/>
            <w:vAlign w:val="center"/>
          </w:tcPr>
          <w:p w14:paraId="5519093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851.50</w:t>
            </w:r>
          </w:p>
        </w:tc>
        <w:tc>
          <w:tcPr>
            <w:tcW w:w="1613" w:type="pct"/>
            <w:shd w:val="clear" w:color="auto" w:fill="auto"/>
            <w:noWrap/>
            <w:vAlign w:val="center"/>
          </w:tcPr>
          <w:p w14:paraId="3C829BA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12.90%</w:t>
            </w:r>
          </w:p>
        </w:tc>
      </w:tr>
    </w:tbl>
    <w:p w14:paraId="2E171DA1"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由于青岛海尔机器人有限公司拥有埃斯顿机器人的代理销售权，</w:t>
      </w:r>
      <w:r>
        <w:rPr>
          <w:rFonts w:ascii="Times New Roman" w:hAnsi="Times New Roman" w:cs="Times New Roman"/>
          <w:color w:val="000000"/>
          <w:lang w:val="en-GB"/>
        </w:rPr>
        <w:t>2019</w:t>
      </w:r>
      <w:r>
        <w:rPr>
          <w:rFonts w:ascii="Times New Roman" w:hAnsi="Times New Roman" w:cs="Times New Roman" w:hint="eastAsia"/>
          <w:color w:val="000000"/>
          <w:lang w:val="en-GB"/>
        </w:rPr>
        <w:t>年北洋天青业务所需部分机型通过青岛海尔机器人有限公司集中采购较北洋天青直接向埃斯顿单独购买有一定价格优势，所以</w:t>
      </w:r>
      <w:r>
        <w:rPr>
          <w:rFonts w:ascii="Times New Roman" w:hAnsi="Times New Roman" w:cs="Times New Roman"/>
          <w:color w:val="000000"/>
          <w:lang w:val="en-GB"/>
        </w:rPr>
        <w:t>2019</w:t>
      </w:r>
      <w:r>
        <w:rPr>
          <w:rFonts w:ascii="Times New Roman" w:hAnsi="Times New Roman" w:cs="Times New Roman" w:hint="eastAsia"/>
          <w:color w:val="000000"/>
          <w:lang w:val="en-GB"/>
        </w:rPr>
        <w:t>年北洋天青存在向青岛海尔机器人有限公司采购埃斯顿机器人的情形。</w:t>
      </w:r>
    </w:p>
    <w:p w14:paraId="47D8710B"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（二）生产情况</w:t>
      </w:r>
    </w:p>
    <w:p w14:paraId="55759EBE"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北洋天青生产的智能制造装备及智能化、信息化生产线属于非标自动化产品。北洋天青根据客户提出的设备技术要求，深入了解客户相关产品的生产工艺，制定生产设备详细规划方案，配合电气控制系统，设计制造出满足客户需求的信息化集成自动化设备及生产线。北洋天青产品覆盖洗衣机、冰箱、热水器、空调等白色家智能制造领域，符合海尔集团</w:t>
      </w:r>
      <w:r>
        <w:rPr>
          <w:rFonts w:ascii="Times New Roman" w:hAnsi="Times New Roman" w:cs="Times New Roman" w:hint="eastAsia"/>
          <w:color w:val="000000"/>
        </w:rPr>
        <w:t>公司</w:t>
      </w:r>
      <w:r>
        <w:rPr>
          <w:rFonts w:ascii="Times New Roman" w:hAnsi="Times New Roman" w:cs="Times New Roman" w:hint="eastAsia"/>
          <w:color w:val="000000"/>
          <w:lang w:val="en-GB"/>
        </w:rPr>
        <w:t>对产品与服务的需求，因而与北洋天青建立了合作关系。北洋天青主要为海尔集团公司及其下属公司提供工业智能化和信息化的单独板块产品，生产线智能化建设、升级和改造、以及数字化生产车间的整体解决方案等相关的产品和服务。</w:t>
      </w:r>
    </w:p>
    <w:p w14:paraId="1C57C082"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（三）销售情况</w:t>
      </w:r>
    </w:p>
    <w:p w14:paraId="6D80FAC3"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主营业务为生产线智能化、信息化的建设、升级和改造行业整体解决方案，形成了包括工业机器人本体及系统集成、智能制造装备、机器视觉、测试系统集成、模具立体库自动换模系统、物流悬挂输送系统和企业信息化七大业务板块的产品线。</w:t>
      </w:r>
    </w:p>
    <w:p w14:paraId="08210C3F"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报告期内，北洋天青与主要客户保持了良好稳定的合作关系，相互之间的合作时间较长，稳定性较高。标的公司报告期内第一大客户均为海尔集团公司，客户集中度较高，主要受我国家电行业品牌集中度高、家电生产厂商所在区域比较集中等因素影响。标的公司地处青岛，相比其他地区竞争对手可以更好地为本地家电企业提供服务，因此也更容易获得本地家电企业的订单。此外，标的公司凭借与海尔集团公司下属青岛公司的良好合作，不断扩大自身的品牌影响力，逐渐拓展与海尔集团公司其他区域下属公司的合作关系。</w:t>
      </w:r>
    </w:p>
    <w:p w14:paraId="76DF74A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定制化系统集成业务与机器人及配套业务是北洋天青的主营业务。报告期内，北洋天青拥有沃德精机、</w:t>
      </w:r>
      <w:r>
        <w:rPr>
          <w:rFonts w:ascii="Times New Roman" w:hAnsi="Times New Roman" w:cs="Times New Roman" w:hint="eastAsia"/>
          <w:bCs/>
          <w:color w:val="000000"/>
          <w:szCs w:val="21"/>
        </w:rPr>
        <w:t>ABB</w:t>
      </w:r>
      <w:r>
        <w:rPr>
          <w:rFonts w:ascii="Times New Roman" w:hAnsi="Times New Roman" w:cs="Times New Roman" w:hint="eastAsia"/>
          <w:bCs/>
          <w:color w:val="000000"/>
          <w:szCs w:val="21"/>
        </w:rPr>
        <w:t>机器人、川崎机器人代理授权书及战略合作协议，可以较青岛好品海智信息技术有限公司获得更加优惠的专机、机器人采购价格，因此存在青岛好品海智信息技术有限公司向北洋天青采购压机、机器人及相关配套服务的情形。如</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30</w:t>
      </w:r>
      <w:r>
        <w:rPr>
          <w:rFonts w:ascii="Times New Roman" w:hAnsi="Times New Roman" w:cs="Times New Roman" w:hint="eastAsia"/>
          <w:bCs/>
          <w:color w:val="000000"/>
          <w:szCs w:val="21"/>
        </w:rPr>
        <w:t>日和</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5</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22</w:t>
      </w:r>
      <w:r>
        <w:rPr>
          <w:rFonts w:ascii="Times New Roman" w:hAnsi="Times New Roman" w:cs="Times New Roman" w:hint="eastAsia"/>
          <w:bCs/>
          <w:color w:val="000000"/>
          <w:szCs w:val="21"/>
        </w:rPr>
        <w:t>日，青岛好品海智信息技术有限公司分别从北洋天青采购各型号川崎机器人</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台和</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台。</w:t>
      </w:r>
    </w:p>
    <w:p w14:paraId="758BD5A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报告期内，北洋天青与海尔集团公司下属公司主要销售情况如下：</w:t>
      </w:r>
    </w:p>
    <w:p w14:paraId="108F781A"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088"/>
        <w:gridCol w:w="2234"/>
        <w:gridCol w:w="2200"/>
      </w:tblGrid>
      <w:tr w:rsidR="000A0ACD" w14:paraId="3C31C7EA" w14:textId="77777777">
        <w:trPr>
          <w:trHeight w:val="397"/>
          <w:tblHeader/>
        </w:trPr>
        <w:tc>
          <w:tcPr>
            <w:tcW w:w="2398" w:type="pct"/>
            <w:shd w:val="clear" w:color="auto" w:fill="auto"/>
            <w:noWrap/>
            <w:vAlign w:val="center"/>
          </w:tcPr>
          <w:p w14:paraId="6AFF4599"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客户名称</w:t>
            </w:r>
          </w:p>
        </w:tc>
        <w:tc>
          <w:tcPr>
            <w:tcW w:w="1311" w:type="pct"/>
            <w:shd w:val="clear" w:color="auto" w:fill="auto"/>
            <w:noWrap/>
            <w:vAlign w:val="center"/>
          </w:tcPr>
          <w:p w14:paraId="5E1DFBB6"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金额</w:t>
            </w:r>
          </w:p>
        </w:tc>
        <w:tc>
          <w:tcPr>
            <w:tcW w:w="1291" w:type="pct"/>
            <w:shd w:val="clear" w:color="auto" w:fill="auto"/>
            <w:noWrap/>
            <w:vAlign w:val="center"/>
          </w:tcPr>
          <w:p w14:paraId="3F4E5C25"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占比</w:t>
            </w:r>
          </w:p>
        </w:tc>
      </w:tr>
      <w:tr w:rsidR="000A0ACD" w14:paraId="14CA5213" w14:textId="77777777">
        <w:trPr>
          <w:trHeight w:val="397"/>
        </w:trPr>
        <w:tc>
          <w:tcPr>
            <w:tcW w:w="5000" w:type="pct"/>
            <w:gridSpan w:val="3"/>
            <w:shd w:val="clear" w:color="auto" w:fill="auto"/>
            <w:noWrap/>
            <w:vAlign w:val="center"/>
          </w:tcPr>
          <w:p w14:paraId="5CCF38FE" w14:textId="77777777" w:rsidR="000A0ACD" w:rsidRDefault="00362A99">
            <w:pPr>
              <w:jc w:val="center"/>
              <w:rPr>
                <w:rFonts w:ascii="Times New Roman" w:hAnsi="Times New Roman" w:cs="Times New Roman"/>
                <w:b/>
                <w:bCs/>
                <w:sz w:val="21"/>
                <w:szCs w:val="21"/>
              </w:rPr>
            </w:pPr>
            <w:r>
              <w:rPr>
                <w:rFonts w:ascii="Times New Roman" w:hAnsi="Times New Roman" w:cs="Times New Roman"/>
                <w:b/>
                <w:bCs/>
                <w:sz w:val="21"/>
                <w:szCs w:val="21"/>
              </w:rPr>
              <w:t>2020</w:t>
            </w:r>
            <w:r>
              <w:rPr>
                <w:rFonts w:ascii="Times New Roman" w:hAnsi="Times New Roman" w:cs="Times New Roman" w:hint="eastAsia"/>
                <w:b/>
                <w:bCs/>
                <w:sz w:val="21"/>
                <w:szCs w:val="21"/>
              </w:rPr>
              <w:t>年度</w:t>
            </w:r>
          </w:p>
        </w:tc>
      </w:tr>
      <w:tr w:rsidR="000A0ACD" w14:paraId="080124F9" w14:textId="77777777">
        <w:trPr>
          <w:trHeight w:val="397"/>
        </w:trPr>
        <w:tc>
          <w:tcPr>
            <w:tcW w:w="2398" w:type="pct"/>
            <w:shd w:val="clear" w:color="auto" w:fill="auto"/>
            <w:noWrap/>
            <w:vAlign w:val="center"/>
          </w:tcPr>
          <w:p w14:paraId="30BB68A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合肥海尔电冰箱有限公司</w:t>
            </w:r>
          </w:p>
        </w:tc>
        <w:tc>
          <w:tcPr>
            <w:tcW w:w="1311" w:type="pct"/>
            <w:shd w:val="clear" w:color="auto" w:fill="auto"/>
            <w:noWrap/>
            <w:vAlign w:val="center"/>
          </w:tcPr>
          <w:p w14:paraId="20AAF95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1,961.12</w:t>
            </w:r>
          </w:p>
        </w:tc>
        <w:tc>
          <w:tcPr>
            <w:tcW w:w="1291" w:type="pct"/>
            <w:shd w:val="clear" w:color="auto" w:fill="auto"/>
            <w:noWrap/>
            <w:vAlign w:val="center"/>
          </w:tcPr>
          <w:p w14:paraId="5A2CE95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13.03%</w:t>
            </w:r>
          </w:p>
        </w:tc>
      </w:tr>
      <w:tr w:rsidR="000A0ACD" w14:paraId="6D670399" w14:textId="77777777">
        <w:trPr>
          <w:trHeight w:val="397"/>
        </w:trPr>
        <w:tc>
          <w:tcPr>
            <w:tcW w:w="2398" w:type="pct"/>
            <w:shd w:val="clear" w:color="auto" w:fill="auto"/>
            <w:noWrap/>
            <w:vAlign w:val="center"/>
          </w:tcPr>
          <w:p w14:paraId="2EF420E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青岛海尔空调电子有限公司</w:t>
            </w:r>
          </w:p>
        </w:tc>
        <w:tc>
          <w:tcPr>
            <w:tcW w:w="1311" w:type="pct"/>
            <w:shd w:val="clear" w:color="auto" w:fill="auto"/>
            <w:noWrap/>
            <w:vAlign w:val="center"/>
          </w:tcPr>
          <w:p w14:paraId="669FEDF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1,168.14</w:t>
            </w:r>
          </w:p>
        </w:tc>
        <w:tc>
          <w:tcPr>
            <w:tcW w:w="1291" w:type="pct"/>
            <w:shd w:val="clear" w:color="auto" w:fill="auto"/>
            <w:noWrap/>
            <w:vAlign w:val="center"/>
          </w:tcPr>
          <w:p w14:paraId="20796D6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7.76%</w:t>
            </w:r>
          </w:p>
        </w:tc>
      </w:tr>
      <w:tr w:rsidR="000A0ACD" w14:paraId="63785DD3" w14:textId="77777777">
        <w:trPr>
          <w:trHeight w:val="397"/>
        </w:trPr>
        <w:tc>
          <w:tcPr>
            <w:tcW w:w="2398" w:type="pct"/>
            <w:shd w:val="clear" w:color="auto" w:fill="auto"/>
            <w:noWrap/>
            <w:vAlign w:val="center"/>
          </w:tcPr>
          <w:p w14:paraId="2401F61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青岛海尔电冰箱有限公司</w:t>
            </w:r>
          </w:p>
        </w:tc>
        <w:tc>
          <w:tcPr>
            <w:tcW w:w="1311" w:type="pct"/>
            <w:shd w:val="clear" w:color="auto" w:fill="auto"/>
            <w:noWrap/>
            <w:vAlign w:val="center"/>
          </w:tcPr>
          <w:p w14:paraId="7A4AFE1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1,033.54</w:t>
            </w:r>
          </w:p>
        </w:tc>
        <w:tc>
          <w:tcPr>
            <w:tcW w:w="1291" w:type="pct"/>
            <w:shd w:val="clear" w:color="auto" w:fill="auto"/>
            <w:noWrap/>
            <w:vAlign w:val="center"/>
          </w:tcPr>
          <w:p w14:paraId="2A0380F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6.86%</w:t>
            </w:r>
          </w:p>
        </w:tc>
      </w:tr>
      <w:tr w:rsidR="000A0ACD" w14:paraId="136AA2DD" w14:textId="77777777">
        <w:trPr>
          <w:trHeight w:val="397"/>
        </w:trPr>
        <w:tc>
          <w:tcPr>
            <w:tcW w:w="2398" w:type="pct"/>
            <w:shd w:val="clear" w:color="auto" w:fill="auto"/>
            <w:noWrap/>
            <w:vAlign w:val="center"/>
          </w:tcPr>
          <w:p w14:paraId="1BB4416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青岛海尔机器人有限公司</w:t>
            </w:r>
          </w:p>
        </w:tc>
        <w:tc>
          <w:tcPr>
            <w:tcW w:w="1311" w:type="pct"/>
            <w:shd w:val="clear" w:color="auto" w:fill="auto"/>
            <w:noWrap/>
            <w:vAlign w:val="center"/>
          </w:tcPr>
          <w:p w14:paraId="6D3E709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858.41</w:t>
            </w:r>
          </w:p>
        </w:tc>
        <w:tc>
          <w:tcPr>
            <w:tcW w:w="1291" w:type="pct"/>
            <w:shd w:val="clear" w:color="auto" w:fill="auto"/>
            <w:noWrap/>
            <w:vAlign w:val="center"/>
          </w:tcPr>
          <w:p w14:paraId="0F7194E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5.70%</w:t>
            </w:r>
          </w:p>
        </w:tc>
      </w:tr>
      <w:tr w:rsidR="000A0ACD" w14:paraId="61E2A1B0" w14:textId="77777777">
        <w:trPr>
          <w:trHeight w:val="397"/>
        </w:trPr>
        <w:tc>
          <w:tcPr>
            <w:tcW w:w="2398" w:type="pct"/>
            <w:shd w:val="clear" w:color="auto" w:fill="auto"/>
            <w:noWrap/>
            <w:vAlign w:val="center"/>
          </w:tcPr>
          <w:p w14:paraId="7CF6A13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海尔智家股份有限公司</w:t>
            </w:r>
          </w:p>
        </w:tc>
        <w:tc>
          <w:tcPr>
            <w:tcW w:w="1311" w:type="pct"/>
            <w:shd w:val="clear" w:color="auto" w:fill="auto"/>
            <w:noWrap/>
            <w:vAlign w:val="center"/>
          </w:tcPr>
          <w:p w14:paraId="1C92DBC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815.93</w:t>
            </w:r>
          </w:p>
        </w:tc>
        <w:tc>
          <w:tcPr>
            <w:tcW w:w="1291" w:type="pct"/>
            <w:shd w:val="clear" w:color="auto" w:fill="auto"/>
            <w:noWrap/>
            <w:vAlign w:val="center"/>
          </w:tcPr>
          <w:p w14:paraId="49050D7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5.42%</w:t>
            </w:r>
          </w:p>
        </w:tc>
      </w:tr>
      <w:tr w:rsidR="000A0ACD" w14:paraId="46717627" w14:textId="77777777">
        <w:trPr>
          <w:trHeight w:val="397"/>
        </w:trPr>
        <w:tc>
          <w:tcPr>
            <w:tcW w:w="2398" w:type="pct"/>
            <w:shd w:val="clear" w:color="auto" w:fill="auto"/>
            <w:noWrap/>
            <w:vAlign w:val="center"/>
          </w:tcPr>
          <w:p w14:paraId="4E61C8C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青岛海尔智慧电器设备有限公司</w:t>
            </w:r>
          </w:p>
        </w:tc>
        <w:tc>
          <w:tcPr>
            <w:tcW w:w="1311" w:type="pct"/>
            <w:shd w:val="clear" w:color="auto" w:fill="auto"/>
            <w:noWrap/>
            <w:vAlign w:val="center"/>
          </w:tcPr>
          <w:p w14:paraId="185FA2E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734.51</w:t>
            </w:r>
          </w:p>
        </w:tc>
        <w:tc>
          <w:tcPr>
            <w:tcW w:w="1291" w:type="pct"/>
            <w:shd w:val="clear" w:color="auto" w:fill="auto"/>
            <w:noWrap/>
            <w:vAlign w:val="center"/>
          </w:tcPr>
          <w:p w14:paraId="27FA3FE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4.88%</w:t>
            </w:r>
          </w:p>
        </w:tc>
      </w:tr>
      <w:tr w:rsidR="000A0ACD" w14:paraId="108DB247" w14:textId="77777777">
        <w:trPr>
          <w:trHeight w:val="397"/>
        </w:trPr>
        <w:tc>
          <w:tcPr>
            <w:tcW w:w="2398" w:type="pct"/>
            <w:shd w:val="clear" w:color="auto" w:fill="auto"/>
            <w:noWrap/>
            <w:vAlign w:val="center"/>
          </w:tcPr>
          <w:p w14:paraId="09CE80B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沈阳海尔电冰箱有限公司</w:t>
            </w:r>
          </w:p>
        </w:tc>
        <w:tc>
          <w:tcPr>
            <w:tcW w:w="1311" w:type="pct"/>
            <w:shd w:val="clear" w:color="auto" w:fill="auto"/>
            <w:noWrap/>
            <w:vAlign w:val="center"/>
          </w:tcPr>
          <w:p w14:paraId="522D08C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703.54</w:t>
            </w:r>
          </w:p>
        </w:tc>
        <w:tc>
          <w:tcPr>
            <w:tcW w:w="1291" w:type="pct"/>
            <w:shd w:val="clear" w:color="auto" w:fill="auto"/>
            <w:noWrap/>
            <w:vAlign w:val="center"/>
          </w:tcPr>
          <w:p w14:paraId="24B6B6C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4.67%</w:t>
            </w:r>
          </w:p>
        </w:tc>
      </w:tr>
      <w:tr w:rsidR="000A0ACD" w14:paraId="68D4CF41" w14:textId="77777777">
        <w:trPr>
          <w:trHeight w:val="397"/>
        </w:trPr>
        <w:tc>
          <w:tcPr>
            <w:tcW w:w="2398" w:type="pct"/>
            <w:shd w:val="clear" w:color="auto" w:fill="auto"/>
            <w:noWrap/>
            <w:vAlign w:val="center"/>
          </w:tcPr>
          <w:p w14:paraId="26FD0F0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佛山海尔电冰柜有限公司</w:t>
            </w:r>
          </w:p>
        </w:tc>
        <w:tc>
          <w:tcPr>
            <w:tcW w:w="1311" w:type="pct"/>
            <w:shd w:val="clear" w:color="auto" w:fill="auto"/>
            <w:noWrap/>
            <w:vAlign w:val="center"/>
          </w:tcPr>
          <w:p w14:paraId="55376DF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703.54</w:t>
            </w:r>
          </w:p>
        </w:tc>
        <w:tc>
          <w:tcPr>
            <w:tcW w:w="1291" w:type="pct"/>
            <w:shd w:val="clear" w:color="auto" w:fill="auto"/>
            <w:noWrap/>
            <w:vAlign w:val="center"/>
          </w:tcPr>
          <w:p w14:paraId="4A8198E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4.67%</w:t>
            </w:r>
          </w:p>
        </w:tc>
      </w:tr>
      <w:tr w:rsidR="000A0ACD" w14:paraId="42D9DCEB" w14:textId="77777777">
        <w:trPr>
          <w:trHeight w:val="397"/>
        </w:trPr>
        <w:tc>
          <w:tcPr>
            <w:tcW w:w="2398" w:type="pct"/>
            <w:shd w:val="clear" w:color="auto" w:fill="auto"/>
            <w:noWrap/>
            <w:vAlign w:val="center"/>
          </w:tcPr>
          <w:p w14:paraId="471FE6E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青岛海尔特种电冰箱有限公司</w:t>
            </w:r>
          </w:p>
        </w:tc>
        <w:tc>
          <w:tcPr>
            <w:tcW w:w="1311" w:type="pct"/>
            <w:shd w:val="clear" w:color="auto" w:fill="auto"/>
            <w:noWrap/>
            <w:vAlign w:val="center"/>
          </w:tcPr>
          <w:p w14:paraId="2DEAE4A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698.23</w:t>
            </w:r>
          </w:p>
        </w:tc>
        <w:tc>
          <w:tcPr>
            <w:tcW w:w="1291" w:type="pct"/>
            <w:shd w:val="clear" w:color="auto" w:fill="auto"/>
            <w:noWrap/>
            <w:vAlign w:val="center"/>
          </w:tcPr>
          <w:p w14:paraId="2753546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4.64%</w:t>
            </w:r>
          </w:p>
        </w:tc>
      </w:tr>
      <w:tr w:rsidR="000A0ACD" w14:paraId="384A43B4" w14:textId="77777777">
        <w:trPr>
          <w:trHeight w:val="397"/>
        </w:trPr>
        <w:tc>
          <w:tcPr>
            <w:tcW w:w="2398" w:type="pct"/>
            <w:shd w:val="clear" w:color="auto" w:fill="auto"/>
            <w:noWrap/>
            <w:vAlign w:val="center"/>
          </w:tcPr>
          <w:p w14:paraId="3AFCF39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青岛蓝鲸科技有限公司</w:t>
            </w:r>
          </w:p>
        </w:tc>
        <w:tc>
          <w:tcPr>
            <w:tcW w:w="1311" w:type="pct"/>
            <w:shd w:val="clear" w:color="auto" w:fill="auto"/>
            <w:noWrap/>
            <w:vAlign w:val="center"/>
          </w:tcPr>
          <w:p w14:paraId="151AE2D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663.72</w:t>
            </w:r>
          </w:p>
        </w:tc>
        <w:tc>
          <w:tcPr>
            <w:tcW w:w="1291" w:type="pct"/>
            <w:shd w:val="clear" w:color="auto" w:fill="auto"/>
            <w:noWrap/>
            <w:vAlign w:val="center"/>
          </w:tcPr>
          <w:p w14:paraId="437D484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4.41%</w:t>
            </w:r>
          </w:p>
        </w:tc>
      </w:tr>
      <w:tr w:rsidR="000A0ACD" w14:paraId="7BFE26AD" w14:textId="77777777">
        <w:trPr>
          <w:trHeight w:val="397"/>
        </w:trPr>
        <w:tc>
          <w:tcPr>
            <w:tcW w:w="2398" w:type="pct"/>
            <w:shd w:val="clear" w:color="auto" w:fill="auto"/>
            <w:noWrap/>
            <w:vAlign w:val="center"/>
          </w:tcPr>
          <w:p w14:paraId="1414128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合肥海尔空调电子有限公司</w:t>
            </w:r>
          </w:p>
        </w:tc>
        <w:tc>
          <w:tcPr>
            <w:tcW w:w="1311" w:type="pct"/>
            <w:shd w:val="clear" w:color="auto" w:fill="auto"/>
            <w:noWrap/>
            <w:vAlign w:val="center"/>
          </w:tcPr>
          <w:p w14:paraId="611893F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236.29</w:t>
            </w:r>
          </w:p>
        </w:tc>
        <w:tc>
          <w:tcPr>
            <w:tcW w:w="1291" w:type="pct"/>
            <w:shd w:val="clear" w:color="auto" w:fill="auto"/>
            <w:noWrap/>
            <w:vAlign w:val="center"/>
          </w:tcPr>
          <w:p w14:paraId="06F18EC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1.57%</w:t>
            </w:r>
          </w:p>
        </w:tc>
      </w:tr>
      <w:tr w:rsidR="000A0ACD" w14:paraId="100CCF70" w14:textId="77777777">
        <w:trPr>
          <w:trHeight w:val="397"/>
        </w:trPr>
        <w:tc>
          <w:tcPr>
            <w:tcW w:w="2398" w:type="pct"/>
            <w:shd w:val="clear" w:color="auto" w:fill="auto"/>
            <w:noWrap/>
            <w:vAlign w:val="center"/>
          </w:tcPr>
          <w:p w14:paraId="601EAD4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青岛海尔特种制冷电器有限公司</w:t>
            </w:r>
          </w:p>
        </w:tc>
        <w:tc>
          <w:tcPr>
            <w:tcW w:w="1311" w:type="pct"/>
            <w:shd w:val="clear" w:color="auto" w:fill="auto"/>
            <w:noWrap/>
            <w:vAlign w:val="center"/>
          </w:tcPr>
          <w:p w14:paraId="13E9CB4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218.32</w:t>
            </w:r>
          </w:p>
        </w:tc>
        <w:tc>
          <w:tcPr>
            <w:tcW w:w="1291" w:type="pct"/>
            <w:shd w:val="clear" w:color="auto" w:fill="auto"/>
            <w:noWrap/>
            <w:vAlign w:val="center"/>
          </w:tcPr>
          <w:p w14:paraId="0B27C71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1.45%</w:t>
            </w:r>
          </w:p>
        </w:tc>
      </w:tr>
      <w:tr w:rsidR="000A0ACD" w14:paraId="5B7EFEC6" w14:textId="77777777">
        <w:trPr>
          <w:trHeight w:val="397"/>
        </w:trPr>
        <w:tc>
          <w:tcPr>
            <w:tcW w:w="2398" w:type="pct"/>
            <w:shd w:val="clear" w:color="auto" w:fill="auto"/>
            <w:noWrap/>
            <w:vAlign w:val="center"/>
          </w:tcPr>
          <w:p w14:paraId="567EC39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青岛好品海智信息技术有限公司</w:t>
            </w:r>
          </w:p>
        </w:tc>
        <w:tc>
          <w:tcPr>
            <w:tcW w:w="1311" w:type="pct"/>
            <w:shd w:val="clear" w:color="auto" w:fill="auto"/>
            <w:noWrap/>
            <w:vAlign w:val="center"/>
          </w:tcPr>
          <w:p w14:paraId="58236C9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106.90</w:t>
            </w:r>
          </w:p>
        </w:tc>
        <w:tc>
          <w:tcPr>
            <w:tcW w:w="1291" w:type="pct"/>
            <w:shd w:val="clear" w:color="auto" w:fill="auto"/>
            <w:noWrap/>
            <w:vAlign w:val="center"/>
          </w:tcPr>
          <w:p w14:paraId="620B030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0.71%</w:t>
            </w:r>
          </w:p>
        </w:tc>
      </w:tr>
      <w:tr w:rsidR="000A0ACD" w14:paraId="6519E9DB" w14:textId="77777777">
        <w:trPr>
          <w:trHeight w:val="397"/>
        </w:trPr>
        <w:tc>
          <w:tcPr>
            <w:tcW w:w="2398" w:type="pct"/>
            <w:shd w:val="clear" w:color="auto" w:fill="auto"/>
            <w:noWrap/>
            <w:vAlign w:val="center"/>
          </w:tcPr>
          <w:p w14:paraId="3200E1B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青岛海尔洗碗机有限公司</w:t>
            </w:r>
          </w:p>
        </w:tc>
        <w:tc>
          <w:tcPr>
            <w:tcW w:w="1311" w:type="pct"/>
            <w:shd w:val="clear" w:color="auto" w:fill="auto"/>
            <w:noWrap/>
            <w:vAlign w:val="center"/>
          </w:tcPr>
          <w:p w14:paraId="66E0505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61.06</w:t>
            </w:r>
          </w:p>
        </w:tc>
        <w:tc>
          <w:tcPr>
            <w:tcW w:w="1291" w:type="pct"/>
            <w:shd w:val="clear" w:color="auto" w:fill="auto"/>
            <w:noWrap/>
            <w:vAlign w:val="center"/>
          </w:tcPr>
          <w:p w14:paraId="46772D8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0.41%</w:t>
            </w:r>
          </w:p>
        </w:tc>
      </w:tr>
      <w:tr w:rsidR="000A0ACD" w14:paraId="0B539A0A" w14:textId="77777777">
        <w:trPr>
          <w:trHeight w:val="397"/>
        </w:trPr>
        <w:tc>
          <w:tcPr>
            <w:tcW w:w="2398" w:type="pct"/>
            <w:shd w:val="clear" w:color="auto" w:fill="auto"/>
            <w:noWrap/>
            <w:vAlign w:val="center"/>
          </w:tcPr>
          <w:p w14:paraId="2E2D6CA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青岛海尔洗涤电器有限公司</w:t>
            </w:r>
          </w:p>
        </w:tc>
        <w:tc>
          <w:tcPr>
            <w:tcW w:w="1311" w:type="pct"/>
            <w:shd w:val="clear" w:color="auto" w:fill="auto"/>
            <w:noWrap/>
            <w:vAlign w:val="center"/>
          </w:tcPr>
          <w:p w14:paraId="1FADD9F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42.04</w:t>
            </w:r>
          </w:p>
        </w:tc>
        <w:tc>
          <w:tcPr>
            <w:tcW w:w="1291" w:type="pct"/>
            <w:shd w:val="clear" w:color="auto" w:fill="auto"/>
            <w:noWrap/>
            <w:vAlign w:val="center"/>
          </w:tcPr>
          <w:p w14:paraId="6B8FEBB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0.28%</w:t>
            </w:r>
          </w:p>
        </w:tc>
      </w:tr>
      <w:tr w:rsidR="000A0ACD" w14:paraId="0E49B309" w14:textId="77777777">
        <w:trPr>
          <w:trHeight w:val="397"/>
        </w:trPr>
        <w:tc>
          <w:tcPr>
            <w:tcW w:w="5000" w:type="pct"/>
            <w:gridSpan w:val="3"/>
            <w:shd w:val="clear" w:color="auto" w:fill="auto"/>
            <w:noWrap/>
            <w:vAlign w:val="center"/>
          </w:tcPr>
          <w:p w14:paraId="21492629" w14:textId="77777777" w:rsidR="000A0ACD" w:rsidRDefault="00362A99">
            <w:pPr>
              <w:jc w:val="center"/>
              <w:rPr>
                <w:rFonts w:ascii="Times New Roman" w:hAnsi="Times New Roman" w:cs="Times New Roman"/>
                <w:b/>
                <w:bCs/>
                <w:sz w:val="21"/>
                <w:szCs w:val="21"/>
              </w:rPr>
            </w:pPr>
            <w:r>
              <w:rPr>
                <w:rFonts w:ascii="Times New Roman" w:hAnsi="Times New Roman" w:cs="Times New Roman"/>
                <w:b/>
                <w:bCs/>
                <w:sz w:val="21"/>
                <w:szCs w:val="21"/>
              </w:rPr>
              <w:t>2019</w:t>
            </w:r>
            <w:r>
              <w:rPr>
                <w:rFonts w:ascii="Times New Roman" w:hAnsi="Times New Roman" w:cs="Times New Roman" w:hint="eastAsia"/>
                <w:b/>
                <w:bCs/>
                <w:sz w:val="21"/>
                <w:szCs w:val="21"/>
              </w:rPr>
              <w:t>年度</w:t>
            </w:r>
          </w:p>
        </w:tc>
      </w:tr>
      <w:tr w:rsidR="000A0ACD" w14:paraId="2FF3889E" w14:textId="77777777">
        <w:trPr>
          <w:trHeight w:val="397"/>
        </w:trPr>
        <w:tc>
          <w:tcPr>
            <w:tcW w:w="2398" w:type="pct"/>
            <w:shd w:val="clear" w:color="auto" w:fill="auto"/>
            <w:noWrap/>
            <w:vAlign w:val="center"/>
          </w:tcPr>
          <w:p w14:paraId="3C662654"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青岛胶南海尔洗衣机有限公司</w:t>
            </w:r>
          </w:p>
        </w:tc>
        <w:tc>
          <w:tcPr>
            <w:tcW w:w="1311" w:type="pct"/>
            <w:shd w:val="clear" w:color="auto" w:fill="auto"/>
            <w:noWrap/>
            <w:vAlign w:val="center"/>
          </w:tcPr>
          <w:p w14:paraId="35D937FD"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2,249.38</w:t>
            </w:r>
          </w:p>
        </w:tc>
        <w:tc>
          <w:tcPr>
            <w:tcW w:w="1291" w:type="pct"/>
            <w:shd w:val="clear" w:color="auto" w:fill="auto"/>
            <w:noWrap/>
            <w:vAlign w:val="center"/>
          </w:tcPr>
          <w:p w14:paraId="6945A5B9"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21.78%</w:t>
            </w:r>
          </w:p>
        </w:tc>
      </w:tr>
      <w:tr w:rsidR="000A0ACD" w14:paraId="7C174200" w14:textId="77777777">
        <w:trPr>
          <w:trHeight w:val="397"/>
        </w:trPr>
        <w:tc>
          <w:tcPr>
            <w:tcW w:w="2398" w:type="pct"/>
            <w:shd w:val="clear" w:color="auto" w:fill="auto"/>
            <w:noWrap/>
            <w:vAlign w:val="center"/>
          </w:tcPr>
          <w:p w14:paraId="2CCCEA25"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青岛海尔智慧电器设备有限公司</w:t>
            </w:r>
          </w:p>
        </w:tc>
        <w:tc>
          <w:tcPr>
            <w:tcW w:w="1311" w:type="pct"/>
            <w:shd w:val="clear" w:color="auto" w:fill="auto"/>
            <w:noWrap/>
            <w:vAlign w:val="center"/>
          </w:tcPr>
          <w:p w14:paraId="4C3F51A0"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1,423.28</w:t>
            </w:r>
          </w:p>
        </w:tc>
        <w:tc>
          <w:tcPr>
            <w:tcW w:w="1291" w:type="pct"/>
            <w:shd w:val="clear" w:color="auto" w:fill="auto"/>
            <w:noWrap/>
            <w:vAlign w:val="center"/>
          </w:tcPr>
          <w:p w14:paraId="342B4C34"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13.78%</w:t>
            </w:r>
          </w:p>
        </w:tc>
      </w:tr>
      <w:tr w:rsidR="000A0ACD" w14:paraId="26301B88" w14:textId="77777777">
        <w:trPr>
          <w:trHeight w:val="397"/>
        </w:trPr>
        <w:tc>
          <w:tcPr>
            <w:tcW w:w="2398" w:type="pct"/>
            <w:shd w:val="clear" w:color="auto" w:fill="auto"/>
            <w:noWrap/>
            <w:vAlign w:val="center"/>
          </w:tcPr>
          <w:p w14:paraId="234BF569"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青岛海尔特种制冷电器有限公司</w:t>
            </w:r>
          </w:p>
        </w:tc>
        <w:tc>
          <w:tcPr>
            <w:tcW w:w="1311" w:type="pct"/>
            <w:shd w:val="clear" w:color="auto" w:fill="auto"/>
            <w:noWrap/>
            <w:vAlign w:val="center"/>
          </w:tcPr>
          <w:p w14:paraId="341276EA"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990.52</w:t>
            </w:r>
          </w:p>
        </w:tc>
        <w:tc>
          <w:tcPr>
            <w:tcW w:w="1291" w:type="pct"/>
            <w:shd w:val="clear" w:color="auto" w:fill="auto"/>
            <w:noWrap/>
            <w:vAlign w:val="center"/>
          </w:tcPr>
          <w:p w14:paraId="4368CA92"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9.59%</w:t>
            </w:r>
          </w:p>
        </w:tc>
      </w:tr>
      <w:tr w:rsidR="000A0ACD" w14:paraId="568B44BF" w14:textId="77777777">
        <w:trPr>
          <w:trHeight w:val="397"/>
        </w:trPr>
        <w:tc>
          <w:tcPr>
            <w:tcW w:w="2398" w:type="pct"/>
            <w:shd w:val="clear" w:color="auto" w:fill="auto"/>
            <w:noWrap/>
            <w:vAlign w:val="center"/>
          </w:tcPr>
          <w:p w14:paraId="1E9CF7BE"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青岛海尔电冰箱有限公司</w:t>
            </w:r>
          </w:p>
        </w:tc>
        <w:tc>
          <w:tcPr>
            <w:tcW w:w="1311" w:type="pct"/>
            <w:shd w:val="clear" w:color="auto" w:fill="auto"/>
            <w:noWrap/>
            <w:vAlign w:val="center"/>
          </w:tcPr>
          <w:p w14:paraId="06D8E482"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845.44</w:t>
            </w:r>
          </w:p>
        </w:tc>
        <w:tc>
          <w:tcPr>
            <w:tcW w:w="1291" w:type="pct"/>
            <w:shd w:val="clear" w:color="auto" w:fill="auto"/>
            <w:noWrap/>
            <w:vAlign w:val="center"/>
          </w:tcPr>
          <w:p w14:paraId="49C2F058"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8.19%</w:t>
            </w:r>
          </w:p>
        </w:tc>
      </w:tr>
      <w:tr w:rsidR="000A0ACD" w14:paraId="1D5B9D92" w14:textId="77777777">
        <w:trPr>
          <w:trHeight w:val="397"/>
        </w:trPr>
        <w:tc>
          <w:tcPr>
            <w:tcW w:w="2398" w:type="pct"/>
            <w:shd w:val="clear" w:color="auto" w:fill="auto"/>
            <w:noWrap/>
            <w:vAlign w:val="center"/>
          </w:tcPr>
          <w:p w14:paraId="37D938FE"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青岛海尔洗碗机有限公司</w:t>
            </w:r>
          </w:p>
        </w:tc>
        <w:tc>
          <w:tcPr>
            <w:tcW w:w="1311" w:type="pct"/>
            <w:shd w:val="clear" w:color="auto" w:fill="auto"/>
            <w:noWrap/>
            <w:vAlign w:val="center"/>
          </w:tcPr>
          <w:p w14:paraId="236C2771"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758.62</w:t>
            </w:r>
          </w:p>
        </w:tc>
        <w:tc>
          <w:tcPr>
            <w:tcW w:w="1291" w:type="pct"/>
            <w:shd w:val="clear" w:color="auto" w:fill="auto"/>
            <w:noWrap/>
            <w:vAlign w:val="center"/>
          </w:tcPr>
          <w:p w14:paraId="0731D240"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7.35%</w:t>
            </w:r>
          </w:p>
        </w:tc>
      </w:tr>
      <w:tr w:rsidR="000A0ACD" w14:paraId="6352D63D" w14:textId="77777777">
        <w:trPr>
          <w:trHeight w:val="397"/>
        </w:trPr>
        <w:tc>
          <w:tcPr>
            <w:tcW w:w="2398" w:type="pct"/>
            <w:shd w:val="clear" w:color="auto" w:fill="auto"/>
            <w:noWrap/>
            <w:vAlign w:val="center"/>
          </w:tcPr>
          <w:p w14:paraId="5EB8A5FB"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郑州海尔空调器有限公司</w:t>
            </w:r>
          </w:p>
        </w:tc>
        <w:tc>
          <w:tcPr>
            <w:tcW w:w="1311" w:type="pct"/>
            <w:shd w:val="clear" w:color="auto" w:fill="auto"/>
            <w:noWrap/>
            <w:vAlign w:val="center"/>
          </w:tcPr>
          <w:p w14:paraId="6CC47402"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507.76</w:t>
            </w:r>
          </w:p>
        </w:tc>
        <w:tc>
          <w:tcPr>
            <w:tcW w:w="1291" w:type="pct"/>
            <w:shd w:val="clear" w:color="auto" w:fill="auto"/>
            <w:noWrap/>
            <w:vAlign w:val="center"/>
          </w:tcPr>
          <w:p w14:paraId="47A36B29"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4.92%</w:t>
            </w:r>
          </w:p>
        </w:tc>
      </w:tr>
      <w:tr w:rsidR="000A0ACD" w14:paraId="2CE0B828" w14:textId="77777777">
        <w:trPr>
          <w:trHeight w:val="397"/>
        </w:trPr>
        <w:tc>
          <w:tcPr>
            <w:tcW w:w="2398" w:type="pct"/>
            <w:shd w:val="clear" w:color="auto" w:fill="auto"/>
            <w:noWrap/>
            <w:vAlign w:val="center"/>
          </w:tcPr>
          <w:p w14:paraId="7BF1D3E6"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青岛海尔新能源电器有限公司</w:t>
            </w:r>
          </w:p>
        </w:tc>
        <w:tc>
          <w:tcPr>
            <w:tcW w:w="1311" w:type="pct"/>
            <w:shd w:val="clear" w:color="auto" w:fill="auto"/>
            <w:noWrap/>
            <w:vAlign w:val="center"/>
          </w:tcPr>
          <w:p w14:paraId="075B146C"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451.72</w:t>
            </w:r>
          </w:p>
        </w:tc>
        <w:tc>
          <w:tcPr>
            <w:tcW w:w="1291" w:type="pct"/>
            <w:shd w:val="clear" w:color="auto" w:fill="auto"/>
            <w:noWrap/>
            <w:vAlign w:val="center"/>
          </w:tcPr>
          <w:p w14:paraId="4C2B1C12"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4.37%</w:t>
            </w:r>
          </w:p>
        </w:tc>
      </w:tr>
      <w:tr w:rsidR="000A0ACD" w14:paraId="6EB756C8" w14:textId="77777777">
        <w:trPr>
          <w:trHeight w:val="397"/>
        </w:trPr>
        <w:tc>
          <w:tcPr>
            <w:tcW w:w="2398" w:type="pct"/>
            <w:shd w:val="clear" w:color="auto" w:fill="auto"/>
            <w:noWrap/>
            <w:vAlign w:val="center"/>
          </w:tcPr>
          <w:p w14:paraId="4405934C"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重庆海尔洗衣机有限公司</w:t>
            </w:r>
          </w:p>
        </w:tc>
        <w:tc>
          <w:tcPr>
            <w:tcW w:w="1311" w:type="pct"/>
            <w:shd w:val="clear" w:color="auto" w:fill="auto"/>
            <w:noWrap/>
            <w:vAlign w:val="center"/>
          </w:tcPr>
          <w:p w14:paraId="24F0B05D"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434.48</w:t>
            </w:r>
          </w:p>
        </w:tc>
        <w:tc>
          <w:tcPr>
            <w:tcW w:w="1291" w:type="pct"/>
            <w:shd w:val="clear" w:color="auto" w:fill="auto"/>
            <w:noWrap/>
            <w:vAlign w:val="center"/>
          </w:tcPr>
          <w:p w14:paraId="40AAACE3"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4.21%</w:t>
            </w:r>
          </w:p>
        </w:tc>
      </w:tr>
      <w:tr w:rsidR="000A0ACD" w14:paraId="40D949ED" w14:textId="77777777">
        <w:trPr>
          <w:trHeight w:val="397"/>
        </w:trPr>
        <w:tc>
          <w:tcPr>
            <w:tcW w:w="2398" w:type="pct"/>
            <w:shd w:val="clear" w:color="auto" w:fill="auto"/>
            <w:noWrap/>
            <w:vAlign w:val="center"/>
          </w:tcPr>
          <w:p w14:paraId="0A891A1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重庆海尔制冷电器有限公司</w:t>
            </w:r>
          </w:p>
        </w:tc>
        <w:tc>
          <w:tcPr>
            <w:tcW w:w="1311" w:type="pct"/>
            <w:shd w:val="clear" w:color="auto" w:fill="auto"/>
            <w:noWrap/>
            <w:vAlign w:val="center"/>
          </w:tcPr>
          <w:p w14:paraId="48BA9954"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391.81</w:t>
            </w:r>
          </w:p>
        </w:tc>
        <w:tc>
          <w:tcPr>
            <w:tcW w:w="1291" w:type="pct"/>
            <w:shd w:val="clear" w:color="auto" w:fill="auto"/>
            <w:noWrap/>
            <w:vAlign w:val="center"/>
          </w:tcPr>
          <w:p w14:paraId="39991577"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3.79%</w:t>
            </w:r>
          </w:p>
        </w:tc>
      </w:tr>
      <w:tr w:rsidR="000A0ACD" w14:paraId="1CB3CF15" w14:textId="77777777">
        <w:trPr>
          <w:trHeight w:val="397"/>
        </w:trPr>
        <w:tc>
          <w:tcPr>
            <w:tcW w:w="2398" w:type="pct"/>
            <w:shd w:val="clear" w:color="auto" w:fill="auto"/>
            <w:noWrap/>
            <w:vAlign w:val="center"/>
          </w:tcPr>
          <w:p w14:paraId="6AF5DED0"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青岛好品海智信息技术有限公司</w:t>
            </w:r>
          </w:p>
        </w:tc>
        <w:tc>
          <w:tcPr>
            <w:tcW w:w="1311" w:type="pct"/>
            <w:shd w:val="clear" w:color="auto" w:fill="auto"/>
            <w:noWrap/>
            <w:vAlign w:val="center"/>
          </w:tcPr>
          <w:p w14:paraId="7571C9F8"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356.31</w:t>
            </w:r>
          </w:p>
        </w:tc>
        <w:tc>
          <w:tcPr>
            <w:tcW w:w="1291" w:type="pct"/>
            <w:shd w:val="clear" w:color="auto" w:fill="auto"/>
            <w:noWrap/>
            <w:vAlign w:val="center"/>
          </w:tcPr>
          <w:p w14:paraId="295E2B67"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3.45%</w:t>
            </w:r>
          </w:p>
        </w:tc>
      </w:tr>
      <w:tr w:rsidR="000A0ACD" w14:paraId="17CCCE9A" w14:textId="77777777">
        <w:trPr>
          <w:trHeight w:val="397"/>
        </w:trPr>
        <w:tc>
          <w:tcPr>
            <w:tcW w:w="2398" w:type="pct"/>
            <w:shd w:val="clear" w:color="auto" w:fill="auto"/>
            <w:noWrap/>
            <w:vAlign w:val="center"/>
          </w:tcPr>
          <w:p w14:paraId="391C291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青岛海尔股份有限公司</w:t>
            </w:r>
          </w:p>
        </w:tc>
        <w:tc>
          <w:tcPr>
            <w:tcW w:w="1311" w:type="pct"/>
            <w:shd w:val="clear" w:color="auto" w:fill="auto"/>
            <w:noWrap/>
            <w:vAlign w:val="center"/>
          </w:tcPr>
          <w:p w14:paraId="0861A76F"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344.66</w:t>
            </w:r>
          </w:p>
        </w:tc>
        <w:tc>
          <w:tcPr>
            <w:tcW w:w="1291" w:type="pct"/>
            <w:shd w:val="clear" w:color="auto" w:fill="auto"/>
            <w:noWrap/>
            <w:vAlign w:val="center"/>
          </w:tcPr>
          <w:p w14:paraId="256110C3"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3.34%</w:t>
            </w:r>
          </w:p>
        </w:tc>
      </w:tr>
      <w:tr w:rsidR="000A0ACD" w14:paraId="0A2BE9DE" w14:textId="77777777">
        <w:trPr>
          <w:trHeight w:val="397"/>
        </w:trPr>
        <w:tc>
          <w:tcPr>
            <w:tcW w:w="2398" w:type="pct"/>
            <w:shd w:val="clear" w:color="auto" w:fill="auto"/>
            <w:noWrap/>
            <w:vAlign w:val="center"/>
          </w:tcPr>
          <w:p w14:paraId="271EA18B"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青岛海尔机器人有限公司</w:t>
            </w:r>
          </w:p>
        </w:tc>
        <w:tc>
          <w:tcPr>
            <w:tcW w:w="1311" w:type="pct"/>
            <w:shd w:val="clear" w:color="auto" w:fill="auto"/>
            <w:noWrap/>
            <w:vAlign w:val="center"/>
          </w:tcPr>
          <w:p w14:paraId="5D2822CB"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105.72</w:t>
            </w:r>
          </w:p>
        </w:tc>
        <w:tc>
          <w:tcPr>
            <w:tcW w:w="1291" w:type="pct"/>
            <w:shd w:val="clear" w:color="auto" w:fill="auto"/>
            <w:noWrap/>
            <w:vAlign w:val="center"/>
          </w:tcPr>
          <w:p w14:paraId="67CBA2A8"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1.02%</w:t>
            </w:r>
          </w:p>
        </w:tc>
      </w:tr>
      <w:tr w:rsidR="000A0ACD" w14:paraId="2465920A" w14:textId="77777777">
        <w:trPr>
          <w:trHeight w:val="397"/>
        </w:trPr>
        <w:tc>
          <w:tcPr>
            <w:tcW w:w="2398" w:type="pct"/>
            <w:shd w:val="clear" w:color="auto" w:fill="auto"/>
            <w:noWrap/>
            <w:vAlign w:val="center"/>
          </w:tcPr>
          <w:p w14:paraId="51B78D2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青岛海尔电子塑胶有限公司</w:t>
            </w:r>
          </w:p>
        </w:tc>
        <w:tc>
          <w:tcPr>
            <w:tcW w:w="1311" w:type="pct"/>
            <w:shd w:val="clear" w:color="auto" w:fill="auto"/>
            <w:noWrap/>
            <w:vAlign w:val="center"/>
          </w:tcPr>
          <w:p w14:paraId="09AF61D9"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47.33</w:t>
            </w:r>
          </w:p>
        </w:tc>
        <w:tc>
          <w:tcPr>
            <w:tcW w:w="1291" w:type="pct"/>
            <w:shd w:val="clear" w:color="auto" w:fill="auto"/>
            <w:noWrap/>
            <w:vAlign w:val="center"/>
          </w:tcPr>
          <w:p w14:paraId="2849704A"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0.46%</w:t>
            </w:r>
          </w:p>
        </w:tc>
      </w:tr>
      <w:tr w:rsidR="000A0ACD" w14:paraId="73721068" w14:textId="77777777">
        <w:trPr>
          <w:trHeight w:val="397"/>
        </w:trPr>
        <w:tc>
          <w:tcPr>
            <w:tcW w:w="2398" w:type="pct"/>
            <w:shd w:val="clear" w:color="auto" w:fill="auto"/>
            <w:noWrap/>
            <w:vAlign w:val="center"/>
          </w:tcPr>
          <w:p w14:paraId="67A0443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青岛海尔机器人</w:t>
            </w:r>
          </w:p>
        </w:tc>
        <w:tc>
          <w:tcPr>
            <w:tcW w:w="1311" w:type="pct"/>
            <w:shd w:val="clear" w:color="auto" w:fill="auto"/>
            <w:noWrap/>
            <w:vAlign w:val="center"/>
          </w:tcPr>
          <w:p w14:paraId="0A664090"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24.91</w:t>
            </w:r>
          </w:p>
        </w:tc>
        <w:tc>
          <w:tcPr>
            <w:tcW w:w="1291" w:type="pct"/>
            <w:shd w:val="clear" w:color="auto" w:fill="auto"/>
            <w:noWrap/>
            <w:vAlign w:val="center"/>
          </w:tcPr>
          <w:p w14:paraId="0FC77F79"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0.24%</w:t>
            </w:r>
          </w:p>
        </w:tc>
      </w:tr>
      <w:tr w:rsidR="000A0ACD" w14:paraId="7C8FEC2F" w14:textId="77777777">
        <w:trPr>
          <w:trHeight w:val="397"/>
        </w:trPr>
        <w:tc>
          <w:tcPr>
            <w:tcW w:w="5000" w:type="pct"/>
            <w:gridSpan w:val="3"/>
            <w:shd w:val="clear" w:color="auto" w:fill="auto"/>
            <w:noWrap/>
            <w:vAlign w:val="center"/>
          </w:tcPr>
          <w:p w14:paraId="79EC629C" w14:textId="77777777" w:rsidR="000A0ACD" w:rsidRDefault="00362A99">
            <w:pPr>
              <w:jc w:val="center"/>
              <w:rPr>
                <w:rFonts w:ascii="Times New Roman" w:hAnsi="Times New Roman" w:cs="Times New Roman"/>
                <w:b/>
                <w:bCs/>
                <w:sz w:val="21"/>
                <w:szCs w:val="21"/>
              </w:rPr>
            </w:pPr>
            <w:r>
              <w:rPr>
                <w:rFonts w:ascii="Times New Roman" w:hAnsi="Times New Roman" w:cs="Times New Roman"/>
                <w:b/>
                <w:bCs/>
                <w:sz w:val="21"/>
                <w:szCs w:val="21"/>
              </w:rPr>
              <w:t>2018</w:t>
            </w:r>
            <w:r>
              <w:rPr>
                <w:rFonts w:ascii="Times New Roman" w:hAnsi="Times New Roman" w:cs="Times New Roman" w:hint="eastAsia"/>
                <w:b/>
                <w:bCs/>
                <w:sz w:val="21"/>
                <w:szCs w:val="21"/>
              </w:rPr>
              <w:t>年度</w:t>
            </w:r>
          </w:p>
        </w:tc>
      </w:tr>
      <w:tr w:rsidR="000A0ACD" w14:paraId="6A3E1557" w14:textId="77777777">
        <w:trPr>
          <w:trHeight w:val="397"/>
        </w:trPr>
        <w:tc>
          <w:tcPr>
            <w:tcW w:w="2398" w:type="pct"/>
            <w:shd w:val="clear" w:color="auto" w:fill="auto"/>
            <w:noWrap/>
            <w:vAlign w:val="center"/>
          </w:tcPr>
          <w:p w14:paraId="3864CE78"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青岛好品海智信息技术有限公司</w:t>
            </w:r>
          </w:p>
        </w:tc>
        <w:tc>
          <w:tcPr>
            <w:tcW w:w="1311" w:type="pct"/>
            <w:shd w:val="clear" w:color="auto" w:fill="auto"/>
            <w:noWrap/>
            <w:vAlign w:val="center"/>
          </w:tcPr>
          <w:p w14:paraId="0E51B42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2,148.25</w:t>
            </w:r>
          </w:p>
        </w:tc>
        <w:tc>
          <w:tcPr>
            <w:tcW w:w="1291" w:type="pct"/>
            <w:shd w:val="clear" w:color="auto" w:fill="auto"/>
            <w:noWrap/>
            <w:vAlign w:val="center"/>
          </w:tcPr>
          <w:p w14:paraId="6F7803F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35.18%</w:t>
            </w:r>
          </w:p>
        </w:tc>
      </w:tr>
      <w:tr w:rsidR="000A0ACD" w14:paraId="3A755835" w14:textId="77777777">
        <w:trPr>
          <w:trHeight w:val="397"/>
        </w:trPr>
        <w:tc>
          <w:tcPr>
            <w:tcW w:w="2398" w:type="pct"/>
            <w:shd w:val="clear" w:color="auto" w:fill="auto"/>
            <w:noWrap/>
            <w:vAlign w:val="center"/>
          </w:tcPr>
          <w:p w14:paraId="6AC5A45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青岛海尔洗碗机有限公司</w:t>
            </w:r>
          </w:p>
        </w:tc>
        <w:tc>
          <w:tcPr>
            <w:tcW w:w="1311" w:type="pct"/>
            <w:shd w:val="clear" w:color="auto" w:fill="auto"/>
            <w:noWrap/>
            <w:vAlign w:val="center"/>
          </w:tcPr>
          <w:p w14:paraId="3B3F63F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597.44</w:t>
            </w:r>
          </w:p>
        </w:tc>
        <w:tc>
          <w:tcPr>
            <w:tcW w:w="1291" w:type="pct"/>
            <w:shd w:val="clear" w:color="auto" w:fill="auto"/>
            <w:noWrap/>
            <w:vAlign w:val="center"/>
          </w:tcPr>
          <w:p w14:paraId="09EBE9C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9.78%</w:t>
            </w:r>
          </w:p>
        </w:tc>
      </w:tr>
      <w:tr w:rsidR="000A0ACD" w14:paraId="7318F9FF" w14:textId="77777777">
        <w:trPr>
          <w:trHeight w:val="397"/>
        </w:trPr>
        <w:tc>
          <w:tcPr>
            <w:tcW w:w="2398" w:type="pct"/>
            <w:shd w:val="clear" w:color="auto" w:fill="auto"/>
            <w:noWrap/>
            <w:vAlign w:val="center"/>
          </w:tcPr>
          <w:p w14:paraId="42C5B0F6"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合肥海尔滚筒洗衣机有限公司</w:t>
            </w:r>
          </w:p>
        </w:tc>
        <w:tc>
          <w:tcPr>
            <w:tcW w:w="1311" w:type="pct"/>
            <w:shd w:val="clear" w:color="auto" w:fill="auto"/>
            <w:noWrap/>
            <w:vAlign w:val="center"/>
          </w:tcPr>
          <w:p w14:paraId="3522A0B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542.24</w:t>
            </w:r>
          </w:p>
        </w:tc>
        <w:tc>
          <w:tcPr>
            <w:tcW w:w="1291" w:type="pct"/>
            <w:shd w:val="clear" w:color="auto" w:fill="auto"/>
            <w:noWrap/>
            <w:vAlign w:val="center"/>
          </w:tcPr>
          <w:p w14:paraId="0C7B592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8.88%</w:t>
            </w:r>
          </w:p>
        </w:tc>
      </w:tr>
      <w:tr w:rsidR="000A0ACD" w14:paraId="38D288E0" w14:textId="77777777">
        <w:trPr>
          <w:trHeight w:val="397"/>
        </w:trPr>
        <w:tc>
          <w:tcPr>
            <w:tcW w:w="2398" w:type="pct"/>
            <w:shd w:val="clear" w:color="auto" w:fill="auto"/>
            <w:noWrap/>
            <w:vAlign w:val="center"/>
          </w:tcPr>
          <w:p w14:paraId="203BA5FF"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青岛海尔电子塑胶有限公司</w:t>
            </w:r>
          </w:p>
        </w:tc>
        <w:tc>
          <w:tcPr>
            <w:tcW w:w="1311" w:type="pct"/>
            <w:shd w:val="clear" w:color="auto" w:fill="auto"/>
            <w:noWrap/>
            <w:vAlign w:val="center"/>
          </w:tcPr>
          <w:p w14:paraId="2B5BF2F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297.41</w:t>
            </w:r>
          </w:p>
        </w:tc>
        <w:tc>
          <w:tcPr>
            <w:tcW w:w="1291" w:type="pct"/>
            <w:shd w:val="clear" w:color="auto" w:fill="auto"/>
            <w:noWrap/>
            <w:vAlign w:val="center"/>
          </w:tcPr>
          <w:p w14:paraId="0183D01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4.87%</w:t>
            </w:r>
          </w:p>
        </w:tc>
      </w:tr>
      <w:tr w:rsidR="000A0ACD" w14:paraId="47C5B835" w14:textId="77777777">
        <w:trPr>
          <w:trHeight w:val="397"/>
        </w:trPr>
        <w:tc>
          <w:tcPr>
            <w:tcW w:w="2398" w:type="pct"/>
            <w:shd w:val="clear" w:color="auto" w:fill="auto"/>
            <w:noWrap/>
            <w:vAlign w:val="center"/>
          </w:tcPr>
          <w:p w14:paraId="7FD9CBA5"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青岛海尔机器人有限公司</w:t>
            </w:r>
          </w:p>
        </w:tc>
        <w:tc>
          <w:tcPr>
            <w:tcW w:w="1311" w:type="pct"/>
            <w:shd w:val="clear" w:color="auto" w:fill="auto"/>
            <w:noWrap/>
            <w:vAlign w:val="center"/>
          </w:tcPr>
          <w:p w14:paraId="61666F2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254.31</w:t>
            </w:r>
          </w:p>
        </w:tc>
        <w:tc>
          <w:tcPr>
            <w:tcW w:w="1291" w:type="pct"/>
            <w:shd w:val="clear" w:color="auto" w:fill="auto"/>
            <w:noWrap/>
            <w:vAlign w:val="center"/>
          </w:tcPr>
          <w:p w14:paraId="31C40377"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4.16%</w:t>
            </w:r>
          </w:p>
        </w:tc>
      </w:tr>
      <w:tr w:rsidR="000A0ACD" w14:paraId="7C809E20" w14:textId="77777777">
        <w:trPr>
          <w:trHeight w:val="397"/>
        </w:trPr>
        <w:tc>
          <w:tcPr>
            <w:tcW w:w="2398" w:type="pct"/>
            <w:shd w:val="clear" w:color="auto" w:fill="auto"/>
            <w:noWrap/>
            <w:vAlign w:val="center"/>
          </w:tcPr>
          <w:p w14:paraId="0738AA24"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青岛胶南海尔洗衣机有限公司</w:t>
            </w:r>
          </w:p>
        </w:tc>
        <w:tc>
          <w:tcPr>
            <w:tcW w:w="1311" w:type="pct"/>
            <w:shd w:val="clear" w:color="auto" w:fill="auto"/>
            <w:noWrap/>
            <w:vAlign w:val="center"/>
          </w:tcPr>
          <w:p w14:paraId="23E3D53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252.14</w:t>
            </w:r>
          </w:p>
        </w:tc>
        <w:tc>
          <w:tcPr>
            <w:tcW w:w="1291" w:type="pct"/>
            <w:shd w:val="clear" w:color="auto" w:fill="auto"/>
            <w:noWrap/>
            <w:vAlign w:val="center"/>
          </w:tcPr>
          <w:p w14:paraId="7678347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4.13%</w:t>
            </w:r>
          </w:p>
        </w:tc>
      </w:tr>
    </w:tbl>
    <w:p w14:paraId="6D3F3220"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根据相关要求，受同一实际控制人控制的销售客户，应当合并计算销售额，因而海尔集团公司下属各个子公司合并计算。而在业务经营实践中，北洋天青与海尔集团公司下属各个子公司（以合肥海尔电冰箱有限公司、青岛海尔空调电子有限公司、青岛海尔电冰箱有限公司等为代表）单独直接签订销售合同，各个子公司之间相对独立，不存在直接关系。若不采用合并口径计算，北洋天青的客户集中度将有所下降。</w:t>
      </w:r>
    </w:p>
    <w:p w14:paraId="2C72E33F"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综上所述，海尔集团公司既是第一大客户又是第一大供应商具有商业合理性。</w:t>
      </w:r>
    </w:p>
    <w:p w14:paraId="4E84B7D6"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五、补充披露情况</w:t>
      </w:r>
    </w:p>
    <w:p w14:paraId="548D5F50"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上市公司已在《重组报告书》“第四节</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交易标的基本情况”之“五、主营业务发展情况”之“（十）标的公司与海尔集团公司销售及采购情况”进行了补充披露。</w:t>
      </w:r>
    </w:p>
    <w:p w14:paraId="4E8E6058"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六、中介机构核查意见</w:t>
      </w:r>
    </w:p>
    <w:p w14:paraId="4712F978" w14:textId="665C9A72"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经核查，独立财务顾问和会计师认为：北洋天青的采购、生产、销售均按照严格的内部控制制度执行。报告期内，海尔集团公司均为北洋天青第一大客户，主要受我国家电行业品牌集中度高、家电生产厂商所在区域比较集中等因素影响，且标的公司地处青岛，相比其他地区竞争对手可以更好地为本地家电企业提供服务，因此也更容易获得本地家电企业的订单。北洋天青从海尔集团公司采购产品的主要原因系其下属青岛好品海智信息技术有限公司拥有工业服务物联网电商平台</w:t>
      </w:r>
      <w:r w:rsidR="0027553D">
        <w:rPr>
          <w:rFonts w:ascii="Times New Roman" w:hAnsi="Times New Roman" w:cs="Times New Roman" w:hint="eastAsia"/>
          <w:bCs/>
          <w:color w:val="000000"/>
          <w:szCs w:val="21"/>
          <w:lang w:val="en-GB"/>
        </w:rPr>
        <w:t>“</w:t>
      </w:r>
      <w:r>
        <w:rPr>
          <w:rFonts w:ascii="Times New Roman" w:hAnsi="Times New Roman" w:cs="Times New Roman" w:hint="eastAsia"/>
          <w:bCs/>
          <w:color w:val="000000"/>
          <w:szCs w:val="21"/>
          <w:lang w:val="en-GB"/>
        </w:rPr>
        <w:t>好品海智</w:t>
      </w:r>
      <w:r w:rsidR="0027553D">
        <w:rPr>
          <w:rFonts w:ascii="Times New Roman" w:hAnsi="Times New Roman" w:cs="Times New Roman" w:hint="eastAsia"/>
          <w:bCs/>
          <w:color w:val="000000"/>
          <w:szCs w:val="21"/>
          <w:lang w:val="en-GB"/>
        </w:rPr>
        <w:t>”</w:t>
      </w:r>
      <w:r>
        <w:rPr>
          <w:rFonts w:ascii="Times New Roman" w:hAnsi="Times New Roman" w:cs="Times New Roman" w:hint="eastAsia"/>
          <w:bCs/>
          <w:color w:val="000000"/>
          <w:szCs w:val="21"/>
          <w:lang w:val="en-GB"/>
        </w:rPr>
        <w:t>，当</w:t>
      </w:r>
      <w:r w:rsidR="0027553D">
        <w:rPr>
          <w:rFonts w:ascii="Times New Roman" w:hAnsi="Times New Roman" w:cs="Times New Roman" w:hint="eastAsia"/>
          <w:bCs/>
          <w:color w:val="000000"/>
          <w:szCs w:val="21"/>
          <w:lang w:val="en-GB"/>
        </w:rPr>
        <w:t>“</w:t>
      </w:r>
      <w:r>
        <w:rPr>
          <w:rFonts w:ascii="Times New Roman" w:hAnsi="Times New Roman" w:cs="Times New Roman" w:hint="eastAsia"/>
          <w:bCs/>
          <w:color w:val="000000"/>
          <w:szCs w:val="21"/>
          <w:lang w:val="en-GB"/>
        </w:rPr>
        <w:t>好品海智</w:t>
      </w:r>
      <w:r w:rsidR="0027553D">
        <w:rPr>
          <w:rFonts w:ascii="Times New Roman" w:hAnsi="Times New Roman" w:cs="Times New Roman" w:hint="eastAsia"/>
          <w:bCs/>
          <w:color w:val="000000"/>
          <w:szCs w:val="21"/>
          <w:lang w:val="en-GB"/>
        </w:rPr>
        <w:t>”</w:t>
      </w:r>
      <w:r>
        <w:rPr>
          <w:rFonts w:ascii="Times New Roman" w:hAnsi="Times New Roman" w:cs="Times New Roman" w:hint="eastAsia"/>
          <w:bCs/>
          <w:color w:val="000000"/>
          <w:szCs w:val="21"/>
          <w:lang w:val="en-GB"/>
        </w:rPr>
        <w:t>电商平台在产品品质、交付期和价格等方面具备优势时，北洋天青选择在</w:t>
      </w:r>
      <w:r w:rsidR="0027553D">
        <w:rPr>
          <w:rFonts w:ascii="Times New Roman" w:hAnsi="Times New Roman" w:cs="Times New Roman" w:hint="eastAsia"/>
          <w:bCs/>
          <w:color w:val="000000"/>
          <w:szCs w:val="21"/>
          <w:lang w:val="en-GB"/>
        </w:rPr>
        <w:t>“</w:t>
      </w:r>
      <w:r>
        <w:rPr>
          <w:rFonts w:ascii="Times New Roman" w:hAnsi="Times New Roman" w:cs="Times New Roman" w:hint="eastAsia"/>
          <w:bCs/>
          <w:color w:val="000000"/>
          <w:szCs w:val="21"/>
          <w:lang w:val="en-GB"/>
        </w:rPr>
        <w:t>好品海智</w:t>
      </w:r>
      <w:r w:rsidR="0027553D">
        <w:rPr>
          <w:rFonts w:ascii="Times New Roman" w:hAnsi="Times New Roman" w:cs="Times New Roman" w:hint="eastAsia"/>
          <w:bCs/>
          <w:color w:val="000000"/>
          <w:szCs w:val="21"/>
          <w:lang w:val="en-GB"/>
        </w:rPr>
        <w:t>”</w:t>
      </w:r>
      <w:r>
        <w:rPr>
          <w:rFonts w:ascii="Times New Roman" w:hAnsi="Times New Roman" w:cs="Times New Roman" w:hint="eastAsia"/>
          <w:bCs/>
          <w:color w:val="000000"/>
          <w:szCs w:val="21"/>
          <w:lang w:val="en-GB"/>
        </w:rPr>
        <w:t>电商平台采购原材料。因此，海尔集团公司既是第一大客户又是第一大供应商具有商业合理性。</w:t>
      </w:r>
    </w:p>
    <w:p w14:paraId="3DF940D8"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）补充披露北洋天青是否在采购、销售、技术和生产等方面对海尔集团公司存在较大依赖。</w:t>
      </w:r>
    </w:p>
    <w:p w14:paraId="1E39668D"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一、北洋天青在采购、销售、技术和生产等方面对海尔集团公司不存在较大依赖</w:t>
      </w:r>
    </w:p>
    <w:p w14:paraId="1B1FFF06"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（一）北洋天青在采购方面对海尔集团公司不存在较大依赖</w:t>
      </w:r>
    </w:p>
    <w:p w14:paraId="35874DD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bookmarkStart w:id="26" w:name="_Hlk49790695"/>
      <w:r>
        <w:rPr>
          <w:rFonts w:ascii="Times New Roman" w:hAnsi="Times New Roman" w:cs="Times New Roman" w:hint="eastAsia"/>
          <w:bCs/>
          <w:color w:val="000000"/>
          <w:szCs w:val="21"/>
          <w:lang w:val="en-GB"/>
        </w:rPr>
        <w:t>报告期内，北洋天青前五大供应商对应的采购金额及占采购总额的比例情况如下：</w:t>
      </w:r>
    </w:p>
    <w:p w14:paraId="22C10D17"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60"/>
        <w:gridCol w:w="3700"/>
        <w:gridCol w:w="2695"/>
        <w:gridCol w:w="1467"/>
      </w:tblGrid>
      <w:tr w:rsidR="000A0ACD" w14:paraId="44285806" w14:textId="77777777">
        <w:trPr>
          <w:trHeight w:val="397"/>
          <w:tblHeader/>
        </w:trPr>
        <w:tc>
          <w:tcPr>
            <w:tcW w:w="387" w:type="pct"/>
            <w:tcBorders>
              <w:top w:val="single" w:sz="12" w:space="0" w:color="auto"/>
              <w:bottom w:val="single" w:sz="4" w:space="0" w:color="auto"/>
              <w:right w:val="single" w:sz="4" w:space="0" w:color="auto"/>
            </w:tcBorders>
            <w:shd w:val="clear" w:color="auto" w:fill="auto"/>
            <w:vAlign w:val="center"/>
          </w:tcPr>
          <w:bookmarkEnd w:id="26"/>
          <w:p w14:paraId="631FEDBD" w14:textId="77777777" w:rsidR="000A0ACD" w:rsidRDefault="00362A99">
            <w:pPr>
              <w:keepNext/>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序号</w:t>
            </w:r>
          </w:p>
        </w:tc>
        <w:tc>
          <w:tcPr>
            <w:tcW w:w="2171" w:type="pct"/>
            <w:tcBorders>
              <w:top w:val="single" w:sz="12" w:space="0" w:color="auto"/>
              <w:left w:val="single" w:sz="4" w:space="0" w:color="auto"/>
              <w:bottom w:val="single" w:sz="4" w:space="0" w:color="auto"/>
              <w:right w:val="single" w:sz="4" w:space="0" w:color="auto"/>
            </w:tcBorders>
            <w:shd w:val="clear" w:color="auto" w:fill="auto"/>
            <w:vAlign w:val="center"/>
          </w:tcPr>
          <w:p w14:paraId="5AF06950" w14:textId="77777777" w:rsidR="000A0ACD" w:rsidRDefault="00362A99">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公司名称</w:t>
            </w:r>
          </w:p>
        </w:tc>
        <w:tc>
          <w:tcPr>
            <w:tcW w:w="1581" w:type="pct"/>
            <w:tcBorders>
              <w:top w:val="single" w:sz="12" w:space="0" w:color="auto"/>
              <w:left w:val="single" w:sz="4" w:space="0" w:color="auto"/>
              <w:bottom w:val="single" w:sz="4" w:space="0" w:color="auto"/>
              <w:right w:val="single" w:sz="4" w:space="0" w:color="auto"/>
            </w:tcBorders>
            <w:shd w:val="clear" w:color="auto" w:fill="auto"/>
            <w:vAlign w:val="center"/>
          </w:tcPr>
          <w:p w14:paraId="5405135A" w14:textId="77777777" w:rsidR="000A0ACD" w:rsidRDefault="00362A99">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采购金额</w:t>
            </w:r>
          </w:p>
        </w:tc>
        <w:tc>
          <w:tcPr>
            <w:tcW w:w="861" w:type="pct"/>
            <w:tcBorders>
              <w:top w:val="single" w:sz="12" w:space="0" w:color="auto"/>
              <w:left w:val="single" w:sz="4" w:space="0" w:color="auto"/>
              <w:bottom w:val="single" w:sz="4" w:space="0" w:color="auto"/>
            </w:tcBorders>
            <w:shd w:val="clear" w:color="auto" w:fill="auto"/>
            <w:vAlign w:val="center"/>
          </w:tcPr>
          <w:p w14:paraId="61C4561C" w14:textId="77777777" w:rsidR="000A0ACD" w:rsidRDefault="00362A99">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占当期采购总额的比重</w:t>
            </w:r>
          </w:p>
        </w:tc>
      </w:tr>
      <w:tr w:rsidR="000A0ACD" w14:paraId="6CC739C8" w14:textId="77777777">
        <w:trPr>
          <w:trHeight w:val="397"/>
        </w:trPr>
        <w:tc>
          <w:tcPr>
            <w:tcW w:w="5000" w:type="pct"/>
            <w:gridSpan w:val="4"/>
            <w:tcBorders>
              <w:top w:val="single" w:sz="4" w:space="0" w:color="auto"/>
            </w:tcBorders>
            <w:shd w:val="clear" w:color="auto" w:fill="auto"/>
            <w:vAlign w:val="center"/>
          </w:tcPr>
          <w:p w14:paraId="5AC5AE94" w14:textId="77777777" w:rsidR="000A0ACD" w:rsidRDefault="00362A99">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年度</w:t>
            </w:r>
          </w:p>
        </w:tc>
      </w:tr>
      <w:tr w:rsidR="000A0ACD" w14:paraId="3454CD7A" w14:textId="77777777">
        <w:trPr>
          <w:trHeight w:val="397"/>
        </w:trPr>
        <w:tc>
          <w:tcPr>
            <w:tcW w:w="387" w:type="pct"/>
            <w:shd w:val="clear" w:color="auto" w:fill="auto"/>
            <w:vAlign w:val="center"/>
          </w:tcPr>
          <w:p w14:paraId="32009B94"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2171" w:type="pct"/>
            <w:shd w:val="clear" w:color="auto" w:fill="auto"/>
            <w:vAlign w:val="center"/>
          </w:tcPr>
          <w:p w14:paraId="5C5D4239"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沃得精机（中国）有限公司</w:t>
            </w:r>
          </w:p>
        </w:tc>
        <w:tc>
          <w:tcPr>
            <w:tcW w:w="1581" w:type="pct"/>
            <w:shd w:val="clear" w:color="auto" w:fill="auto"/>
            <w:vAlign w:val="center"/>
          </w:tcPr>
          <w:p w14:paraId="00C26D29"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rPr>
              <w:t>1,851.90</w:t>
            </w:r>
          </w:p>
        </w:tc>
        <w:tc>
          <w:tcPr>
            <w:tcW w:w="861" w:type="pct"/>
            <w:shd w:val="clear" w:color="auto" w:fill="auto"/>
            <w:vAlign w:val="center"/>
          </w:tcPr>
          <w:p w14:paraId="3DE27950" w14:textId="77777777" w:rsidR="000A0ACD" w:rsidRDefault="00362A99">
            <w:pPr>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lang w:bidi="ar"/>
              </w:rPr>
              <w:t>13.48%</w:t>
            </w:r>
          </w:p>
        </w:tc>
      </w:tr>
      <w:tr w:rsidR="000A0ACD" w14:paraId="3A20925A" w14:textId="77777777">
        <w:trPr>
          <w:trHeight w:val="397"/>
        </w:trPr>
        <w:tc>
          <w:tcPr>
            <w:tcW w:w="387" w:type="pct"/>
            <w:shd w:val="clear" w:color="auto" w:fill="auto"/>
            <w:vAlign w:val="center"/>
          </w:tcPr>
          <w:p w14:paraId="345B9757"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2171" w:type="pct"/>
            <w:shd w:val="clear" w:color="auto" w:fill="auto"/>
            <w:vAlign w:val="center"/>
          </w:tcPr>
          <w:p w14:paraId="38C9AC2A"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北京机械工业自动化研究所有限公司</w:t>
            </w:r>
          </w:p>
        </w:tc>
        <w:tc>
          <w:tcPr>
            <w:tcW w:w="1581" w:type="pct"/>
            <w:shd w:val="clear" w:color="auto" w:fill="auto"/>
            <w:vAlign w:val="center"/>
          </w:tcPr>
          <w:p w14:paraId="2BDE8CA5"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rPr>
              <w:t>1,235.00</w:t>
            </w:r>
          </w:p>
        </w:tc>
        <w:tc>
          <w:tcPr>
            <w:tcW w:w="861" w:type="pct"/>
            <w:shd w:val="clear" w:color="auto" w:fill="auto"/>
            <w:vAlign w:val="center"/>
          </w:tcPr>
          <w:p w14:paraId="13C65110" w14:textId="77777777" w:rsidR="000A0ACD" w:rsidRDefault="00362A99">
            <w:pPr>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lang w:bidi="ar"/>
              </w:rPr>
              <w:t>8.99%</w:t>
            </w:r>
          </w:p>
        </w:tc>
      </w:tr>
      <w:tr w:rsidR="000A0ACD" w14:paraId="28B59352" w14:textId="77777777">
        <w:trPr>
          <w:trHeight w:val="397"/>
        </w:trPr>
        <w:tc>
          <w:tcPr>
            <w:tcW w:w="387" w:type="pct"/>
            <w:shd w:val="clear" w:color="auto" w:fill="auto"/>
            <w:vAlign w:val="center"/>
          </w:tcPr>
          <w:p w14:paraId="0E9B61BD"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2171" w:type="pct"/>
            <w:shd w:val="clear" w:color="auto" w:fill="auto"/>
            <w:vAlign w:val="center"/>
          </w:tcPr>
          <w:p w14:paraId="7A01375E"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海尔集团公司</w:t>
            </w:r>
          </w:p>
        </w:tc>
        <w:tc>
          <w:tcPr>
            <w:tcW w:w="1581" w:type="pct"/>
            <w:shd w:val="clear" w:color="auto" w:fill="auto"/>
            <w:vAlign w:val="center"/>
          </w:tcPr>
          <w:p w14:paraId="1BB61BB2"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rPr>
              <w:t>687.67</w:t>
            </w:r>
          </w:p>
        </w:tc>
        <w:tc>
          <w:tcPr>
            <w:tcW w:w="861" w:type="pct"/>
            <w:shd w:val="clear" w:color="auto" w:fill="auto"/>
            <w:vAlign w:val="center"/>
          </w:tcPr>
          <w:p w14:paraId="34512999" w14:textId="77777777" w:rsidR="000A0ACD" w:rsidRDefault="00362A99">
            <w:pPr>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lang w:bidi="ar"/>
              </w:rPr>
              <w:t>5.01%</w:t>
            </w:r>
          </w:p>
        </w:tc>
      </w:tr>
      <w:tr w:rsidR="000A0ACD" w14:paraId="57C25755" w14:textId="77777777">
        <w:trPr>
          <w:trHeight w:val="397"/>
        </w:trPr>
        <w:tc>
          <w:tcPr>
            <w:tcW w:w="387" w:type="pct"/>
            <w:shd w:val="clear" w:color="auto" w:fill="auto"/>
            <w:vAlign w:val="center"/>
          </w:tcPr>
          <w:p w14:paraId="58E1883B"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2171" w:type="pct"/>
            <w:shd w:val="clear" w:color="auto" w:fill="auto"/>
            <w:vAlign w:val="center"/>
          </w:tcPr>
          <w:p w14:paraId="5F34184C"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昆山欧赛斯悬挂输送系统有限公司</w:t>
            </w:r>
          </w:p>
        </w:tc>
        <w:tc>
          <w:tcPr>
            <w:tcW w:w="1581" w:type="pct"/>
            <w:shd w:val="clear" w:color="auto" w:fill="auto"/>
            <w:vAlign w:val="center"/>
          </w:tcPr>
          <w:p w14:paraId="6C9505C8"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rPr>
              <w:t>686.50</w:t>
            </w:r>
          </w:p>
        </w:tc>
        <w:tc>
          <w:tcPr>
            <w:tcW w:w="861" w:type="pct"/>
            <w:shd w:val="clear" w:color="auto" w:fill="auto"/>
            <w:vAlign w:val="center"/>
          </w:tcPr>
          <w:p w14:paraId="2C0BB242" w14:textId="77777777" w:rsidR="000A0ACD" w:rsidRDefault="00362A99">
            <w:pPr>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lang w:bidi="ar"/>
              </w:rPr>
              <w:t>5.00%</w:t>
            </w:r>
          </w:p>
        </w:tc>
      </w:tr>
      <w:tr w:rsidR="000A0ACD" w14:paraId="49C00E27" w14:textId="77777777">
        <w:trPr>
          <w:trHeight w:val="397"/>
        </w:trPr>
        <w:tc>
          <w:tcPr>
            <w:tcW w:w="387" w:type="pct"/>
            <w:shd w:val="clear" w:color="auto" w:fill="auto"/>
            <w:vAlign w:val="center"/>
          </w:tcPr>
          <w:p w14:paraId="559D2B0C"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2171" w:type="pct"/>
            <w:shd w:val="clear" w:color="auto" w:fill="auto"/>
            <w:vAlign w:val="center"/>
          </w:tcPr>
          <w:p w14:paraId="09895D07"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青岛海西鸿皓源机电有限公司</w:t>
            </w:r>
          </w:p>
        </w:tc>
        <w:tc>
          <w:tcPr>
            <w:tcW w:w="1581" w:type="pct"/>
            <w:shd w:val="clear" w:color="auto" w:fill="auto"/>
            <w:vAlign w:val="center"/>
          </w:tcPr>
          <w:p w14:paraId="75C29E12"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rPr>
              <w:t>586.67</w:t>
            </w:r>
          </w:p>
        </w:tc>
        <w:tc>
          <w:tcPr>
            <w:tcW w:w="861" w:type="pct"/>
            <w:shd w:val="clear" w:color="auto" w:fill="auto"/>
            <w:vAlign w:val="center"/>
          </w:tcPr>
          <w:p w14:paraId="46371226" w14:textId="77777777" w:rsidR="000A0ACD" w:rsidRDefault="00362A99">
            <w:pPr>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lang w:bidi="ar"/>
              </w:rPr>
              <w:t>4.27%</w:t>
            </w:r>
          </w:p>
        </w:tc>
      </w:tr>
      <w:tr w:rsidR="000A0ACD" w14:paraId="0749081E" w14:textId="77777777">
        <w:trPr>
          <w:trHeight w:val="397"/>
        </w:trPr>
        <w:tc>
          <w:tcPr>
            <w:tcW w:w="387" w:type="pct"/>
            <w:shd w:val="clear" w:color="auto" w:fill="auto"/>
            <w:vAlign w:val="center"/>
          </w:tcPr>
          <w:p w14:paraId="67EBB98B" w14:textId="77777777" w:rsidR="000A0ACD" w:rsidRDefault="000A0ACD">
            <w:pPr>
              <w:adjustRightInd w:val="0"/>
              <w:snapToGrid w:val="0"/>
              <w:jc w:val="center"/>
              <w:rPr>
                <w:rFonts w:ascii="Times New Roman" w:hAnsi="Times New Roman" w:cs="Times New Roman"/>
                <w:b/>
                <w:sz w:val="21"/>
                <w:szCs w:val="21"/>
              </w:rPr>
            </w:pPr>
          </w:p>
        </w:tc>
        <w:tc>
          <w:tcPr>
            <w:tcW w:w="2171" w:type="pct"/>
            <w:shd w:val="clear" w:color="auto" w:fill="auto"/>
            <w:vAlign w:val="center"/>
          </w:tcPr>
          <w:p w14:paraId="5939FF5B" w14:textId="77777777" w:rsidR="000A0ACD" w:rsidRDefault="00362A99">
            <w:pPr>
              <w:jc w:val="center"/>
              <w:textAlignment w:val="center"/>
              <w:rPr>
                <w:rFonts w:ascii="Times New Roman" w:hAnsi="Times New Roman" w:cs="Times New Roman"/>
                <w:b/>
                <w:bCs/>
                <w:sz w:val="21"/>
                <w:szCs w:val="21"/>
              </w:rPr>
            </w:pPr>
            <w:r>
              <w:rPr>
                <w:rFonts w:hint="eastAsia"/>
                <w:b/>
                <w:bCs/>
                <w:color w:val="000000"/>
                <w:sz w:val="21"/>
                <w:szCs w:val="21"/>
                <w:lang w:bidi="ar"/>
              </w:rPr>
              <w:t>合计</w:t>
            </w:r>
          </w:p>
        </w:tc>
        <w:tc>
          <w:tcPr>
            <w:tcW w:w="1581" w:type="pct"/>
            <w:shd w:val="clear" w:color="auto" w:fill="auto"/>
            <w:vAlign w:val="center"/>
          </w:tcPr>
          <w:p w14:paraId="21063B8C" w14:textId="77777777" w:rsidR="000A0ACD" w:rsidRDefault="00362A99">
            <w:pPr>
              <w:jc w:val="right"/>
              <w:textAlignment w:val="center"/>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lang w:bidi="ar"/>
              </w:rPr>
              <w:t>5,047.74</w:t>
            </w:r>
          </w:p>
        </w:tc>
        <w:tc>
          <w:tcPr>
            <w:tcW w:w="861" w:type="pct"/>
            <w:shd w:val="clear" w:color="auto" w:fill="auto"/>
            <w:vAlign w:val="center"/>
          </w:tcPr>
          <w:p w14:paraId="07273C82" w14:textId="77777777" w:rsidR="000A0ACD" w:rsidRDefault="00362A99">
            <w:pPr>
              <w:jc w:val="right"/>
              <w:textAlignment w:val="center"/>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lang w:bidi="ar"/>
              </w:rPr>
              <w:t>36.75%</w:t>
            </w:r>
          </w:p>
        </w:tc>
      </w:tr>
      <w:tr w:rsidR="000A0ACD" w14:paraId="1AC052A2" w14:textId="77777777">
        <w:trPr>
          <w:trHeight w:val="397"/>
        </w:trPr>
        <w:tc>
          <w:tcPr>
            <w:tcW w:w="5000" w:type="pct"/>
            <w:gridSpan w:val="4"/>
            <w:shd w:val="clear" w:color="auto" w:fill="auto"/>
            <w:vAlign w:val="center"/>
          </w:tcPr>
          <w:p w14:paraId="17C925EA"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年度</w:t>
            </w:r>
          </w:p>
        </w:tc>
      </w:tr>
      <w:tr w:rsidR="000A0ACD" w14:paraId="22403369" w14:textId="77777777">
        <w:trPr>
          <w:trHeight w:val="397"/>
        </w:trPr>
        <w:tc>
          <w:tcPr>
            <w:tcW w:w="387" w:type="pct"/>
            <w:shd w:val="clear" w:color="auto" w:fill="auto"/>
            <w:vAlign w:val="center"/>
          </w:tcPr>
          <w:p w14:paraId="5F2ED569"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2171" w:type="pct"/>
            <w:shd w:val="clear" w:color="auto" w:fill="auto"/>
            <w:vAlign w:val="center"/>
          </w:tcPr>
          <w:p w14:paraId="22BDFEB4"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海尔集团公司</w:t>
            </w:r>
          </w:p>
        </w:tc>
        <w:tc>
          <w:tcPr>
            <w:tcW w:w="1581" w:type="pct"/>
            <w:shd w:val="clear" w:color="auto" w:fill="auto"/>
            <w:vAlign w:val="center"/>
          </w:tcPr>
          <w:p w14:paraId="6DE105E5"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2,156.84</w:t>
            </w:r>
          </w:p>
        </w:tc>
        <w:tc>
          <w:tcPr>
            <w:tcW w:w="861" w:type="pct"/>
            <w:shd w:val="clear" w:color="auto" w:fill="auto"/>
            <w:vAlign w:val="center"/>
          </w:tcPr>
          <w:p w14:paraId="6CAC1F78"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28.57%</w:t>
            </w:r>
          </w:p>
        </w:tc>
      </w:tr>
      <w:tr w:rsidR="000A0ACD" w14:paraId="45850574" w14:textId="77777777">
        <w:trPr>
          <w:trHeight w:val="397"/>
        </w:trPr>
        <w:tc>
          <w:tcPr>
            <w:tcW w:w="387" w:type="pct"/>
            <w:shd w:val="clear" w:color="auto" w:fill="auto"/>
            <w:vAlign w:val="center"/>
          </w:tcPr>
          <w:p w14:paraId="1400FD84"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2171" w:type="pct"/>
            <w:shd w:val="clear" w:color="auto" w:fill="auto"/>
            <w:vAlign w:val="center"/>
          </w:tcPr>
          <w:p w14:paraId="050A778A"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沃得精机（中国）有限公司</w:t>
            </w:r>
          </w:p>
        </w:tc>
        <w:tc>
          <w:tcPr>
            <w:tcW w:w="1581" w:type="pct"/>
            <w:shd w:val="clear" w:color="auto" w:fill="auto"/>
            <w:vAlign w:val="center"/>
          </w:tcPr>
          <w:p w14:paraId="7D98A0A7"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476.92</w:t>
            </w:r>
          </w:p>
        </w:tc>
        <w:tc>
          <w:tcPr>
            <w:tcW w:w="861" w:type="pct"/>
            <w:shd w:val="clear" w:color="auto" w:fill="auto"/>
            <w:vAlign w:val="center"/>
          </w:tcPr>
          <w:p w14:paraId="6358175C"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6.32%</w:t>
            </w:r>
          </w:p>
        </w:tc>
      </w:tr>
      <w:tr w:rsidR="000A0ACD" w14:paraId="5F17A40C" w14:textId="77777777">
        <w:trPr>
          <w:trHeight w:val="397"/>
        </w:trPr>
        <w:tc>
          <w:tcPr>
            <w:tcW w:w="387" w:type="pct"/>
            <w:shd w:val="clear" w:color="auto" w:fill="auto"/>
            <w:vAlign w:val="center"/>
          </w:tcPr>
          <w:p w14:paraId="1B2F1599"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2171" w:type="pct"/>
            <w:shd w:val="clear" w:color="auto" w:fill="auto"/>
            <w:vAlign w:val="center"/>
          </w:tcPr>
          <w:p w14:paraId="785C5BFB"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上海</w:t>
            </w:r>
            <w:r>
              <w:rPr>
                <w:rFonts w:ascii="Times New Roman" w:hAnsi="Times New Roman" w:cs="Times New Roman" w:hint="eastAsia"/>
                <w:color w:val="000000"/>
                <w:sz w:val="21"/>
                <w:szCs w:val="21"/>
              </w:rPr>
              <w:t>ABB</w:t>
            </w:r>
            <w:r>
              <w:rPr>
                <w:rFonts w:ascii="Times New Roman" w:hAnsi="Times New Roman" w:cs="Times New Roman" w:hint="eastAsia"/>
                <w:color w:val="000000"/>
                <w:sz w:val="21"/>
                <w:szCs w:val="21"/>
              </w:rPr>
              <w:t>工程有限公司</w:t>
            </w:r>
          </w:p>
        </w:tc>
        <w:tc>
          <w:tcPr>
            <w:tcW w:w="1581" w:type="pct"/>
            <w:shd w:val="clear" w:color="auto" w:fill="auto"/>
            <w:vAlign w:val="center"/>
          </w:tcPr>
          <w:p w14:paraId="0A419E61"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315.26</w:t>
            </w:r>
          </w:p>
        </w:tc>
        <w:tc>
          <w:tcPr>
            <w:tcW w:w="861" w:type="pct"/>
            <w:shd w:val="clear" w:color="auto" w:fill="auto"/>
            <w:vAlign w:val="center"/>
          </w:tcPr>
          <w:p w14:paraId="12659BD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4.18%</w:t>
            </w:r>
          </w:p>
        </w:tc>
      </w:tr>
      <w:tr w:rsidR="000A0ACD" w14:paraId="2D928DE9" w14:textId="77777777">
        <w:trPr>
          <w:trHeight w:val="397"/>
        </w:trPr>
        <w:tc>
          <w:tcPr>
            <w:tcW w:w="387" w:type="pct"/>
            <w:shd w:val="clear" w:color="auto" w:fill="auto"/>
            <w:vAlign w:val="center"/>
          </w:tcPr>
          <w:p w14:paraId="28FD5B9E"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2171" w:type="pct"/>
            <w:shd w:val="clear" w:color="auto" w:fill="auto"/>
            <w:vAlign w:val="center"/>
          </w:tcPr>
          <w:p w14:paraId="1AB08E86"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青岛宏标机械有限公司</w:t>
            </w:r>
          </w:p>
        </w:tc>
        <w:tc>
          <w:tcPr>
            <w:tcW w:w="1581" w:type="pct"/>
            <w:shd w:val="clear" w:color="auto" w:fill="auto"/>
            <w:vAlign w:val="center"/>
          </w:tcPr>
          <w:p w14:paraId="02586128"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248.51</w:t>
            </w:r>
          </w:p>
        </w:tc>
        <w:tc>
          <w:tcPr>
            <w:tcW w:w="861" w:type="pct"/>
            <w:shd w:val="clear" w:color="auto" w:fill="auto"/>
            <w:vAlign w:val="center"/>
          </w:tcPr>
          <w:p w14:paraId="1393F108"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3.29%</w:t>
            </w:r>
          </w:p>
        </w:tc>
      </w:tr>
      <w:tr w:rsidR="000A0ACD" w14:paraId="799389E4" w14:textId="77777777">
        <w:trPr>
          <w:trHeight w:val="397"/>
        </w:trPr>
        <w:tc>
          <w:tcPr>
            <w:tcW w:w="387" w:type="pct"/>
            <w:shd w:val="clear" w:color="auto" w:fill="auto"/>
            <w:vAlign w:val="center"/>
          </w:tcPr>
          <w:p w14:paraId="6A5AF17E"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2171" w:type="pct"/>
            <w:shd w:val="clear" w:color="auto" w:fill="auto"/>
            <w:vAlign w:val="center"/>
          </w:tcPr>
          <w:p w14:paraId="3DEF6469"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南京埃斯顿机器人工程有限公司</w:t>
            </w:r>
          </w:p>
        </w:tc>
        <w:tc>
          <w:tcPr>
            <w:tcW w:w="1581" w:type="pct"/>
            <w:shd w:val="clear" w:color="auto" w:fill="auto"/>
            <w:vAlign w:val="center"/>
          </w:tcPr>
          <w:p w14:paraId="23EBF0BB"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238.50</w:t>
            </w:r>
          </w:p>
        </w:tc>
        <w:tc>
          <w:tcPr>
            <w:tcW w:w="861" w:type="pct"/>
            <w:shd w:val="clear" w:color="auto" w:fill="auto"/>
            <w:vAlign w:val="center"/>
          </w:tcPr>
          <w:p w14:paraId="2D7EEE95"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3.16%</w:t>
            </w:r>
          </w:p>
        </w:tc>
      </w:tr>
      <w:tr w:rsidR="000A0ACD" w14:paraId="5D9A8E90" w14:textId="77777777">
        <w:trPr>
          <w:trHeight w:val="397"/>
        </w:trPr>
        <w:tc>
          <w:tcPr>
            <w:tcW w:w="387" w:type="pct"/>
            <w:shd w:val="clear" w:color="auto" w:fill="auto"/>
            <w:vAlign w:val="center"/>
          </w:tcPr>
          <w:p w14:paraId="2C1DDFC6" w14:textId="77777777" w:rsidR="000A0ACD" w:rsidRDefault="000A0ACD">
            <w:pPr>
              <w:adjustRightInd w:val="0"/>
              <w:snapToGrid w:val="0"/>
              <w:jc w:val="center"/>
              <w:rPr>
                <w:rFonts w:ascii="Times New Roman" w:hAnsi="Times New Roman" w:cs="Times New Roman"/>
                <w:b/>
                <w:sz w:val="21"/>
                <w:szCs w:val="21"/>
              </w:rPr>
            </w:pPr>
          </w:p>
        </w:tc>
        <w:tc>
          <w:tcPr>
            <w:tcW w:w="2171" w:type="pct"/>
            <w:shd w:val="clear" w:color="auto" w:fill="auto"/>
            <w:vAlign w:val="center"/>
          </w:tcPr>
          <w:p w14:paraId="111E70CB"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color w:val="000000"/>
                <w:sz w:val="21"/>
                <w:szCs w:val="21"/>
              </w:rPr>
              <w:t>合计</w:t>
            </w:r>
          </w:p>
        </w:tc>
        <w:tc>
          <w:tcPr>
            <w:tcW w:w="1581" w:type="pct"/>
            <w:shd w:val="clear" w:color="auto" w:fill="auto"/>
            <w:vAlign w:val="center"/>
          </w:tcPr>
          <w:p w14:paraId="57D9E89F"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3,436.03</w:t>
            </w:r>
          </w:p>
        </w:tc>
        <w:tc>
          <w:tcPr>
            <w:tcW w:w="861" w:type="pct"/>
            <w:shd w:val="clear" w:color="auto" w:fill="auto"/>
            <w:vAlign w:val="center"/>
          </w:tcPr>
          <w:p w14:paraId="5DBE0389"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color w:val="000000"/>
                <w:sz w:val="21"/>
                <w:szCs w:val="21"/>
              </w:rPr>
              <w:t>45.52%</w:t>
            </w:r>
          </w:p>
        </w:tc>
      </w:tr>
      <w:tr w:rsidR="000A0ACD" w14:paraId="1E239D53" w14:textId="77777777">
        <w:trPr>
          <w:trHeight w:val="397"/>
        </w:trPr>
        <w:tc>
          <w:tcPr>
            <w:tcW w:w="5000" w:type="pct"/>
            <w:gridSpan w:val="4"/>
            <w:shd w:val="clear" w:color="auto" w:fill="auto"/>
            <w:vAlign w:val="center"/>
          </w:tcPr>
          <w:p w14:paraId="0D5C0474"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年度</w:t>
            </w:r>
          </w:p>
        </w:tc>
      </w:tr>
      <w:tr w:rsidR="000A0ACD" w14:paraId="65C520AC" w14:textId="77777777">
        <w:trPr>
          <w:trHeight w:val="397"/>
        </w:trPr>
        <w:tc>
          <w:tcPr>
            <w:tcW w:w="387" w:type="pct"/>
            <w:shd w:val="clear" w:color="auto" w:fill="auto"/>
            <w:vAlign w:val="center"/>
          </w:tcPr>
          <w:p w14:paraId="5757420E"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2171" w:type="pct"/>
            <w:shd w:val="clear" w:color="auto" w:fill="auto"/>
            <w:vAlign w:val="center"/>
          </w:tcPr>
          <w:p w14:paraId="498E092C"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上海</w:t>
            </w:r>
            <w:r>
              <w:rPr>
                <w:rFonts w:ascii="Times New Roman" w:hAnsi="Times New Roman" w:cs="Times New Roman" w:hint="eastAsia"/>
                <w:color w:val="000000"/>
                <w:sz w:val="21"/>
                <w:szCs w:val="21"/>
              </w:rPr>
              <w:t>ABB</w:t>
            </w:r>
            <w:r>
              <w:rPr>
                <w:rFonts w:ascii="Times New Roman" w:hAnsi="Times New Roman" w:cs="Times New Roman" w:hint="eastAsia"/>
                <w:color w:val="000000"/>
                <w:sz w:val="21"/>
                <w:szCs w:val="21"/>
              </w:rPr>
              <w:t>工程有限公司</w:t>
            </w:r>
          </w:p>
        </w:tc>
        <w:tc>
          <w:tcPr>
            <w:tcW w:w="1581" w:type="pct"/>
            <w:shd w:val="clear" w:color="auto" w:fill="auto"/>
            <w:vAlign w:val="center"/>
          </w:tcPr>
          <w:p w14:paraId="6902C103"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3,268.84</w:t>
            </w:r>
          </w:p>
        </w:tc>
        <w:tc>
          <w:tcPr>
            <w:tcW w:w="861" w:type="pct"/>
            <w:shd w:val="clear" w:color="auto" w:fill="auto"/>
            <w:vAlign w:val="center"/>
          </w:tcPr>
          <w:p w14:paraId="29B37CBD"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49.51%</w:t>
            </w:r>
          </w:p>
        </w:tc>
      </w:tr>
      <w:tr w:rsidR="000A0ACD" w14:paraId="62682741" w14:textId="77777777">
        <w:trPr>
          <w:trHeight w:val="397"/>
        </w:trPr>
        <w:tc>
          <w:tcPr>
            <w:tcW w:w="387" w:type="pct"/>
            <w:shd w:val="clear" w:color="auto" w:fill="auto"/>
            <w:vAlign w:val="center"/>
          </w:tcPr>
          <w:p w14:paraId="5683414C"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2171" w:type="pct"/>
            <w:shd w:val="clear" w:color="auto" w:fill="auto"/>
            <w:vAlign w:val="center"/>
          </w:tcPr>
          <w:p w14:paraId="046CE026"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海尔集团公司</w:t>
            </w:r>
          </w:p>
        </w:tc>
        <w:tc>
          <w:tcPr>
            <w:tcW w:w="1581" w:type="pct"/>
            <w:shd w:val="clear" w:color="auto" w:fill="auto"/>
            <w:vAlign w:val="center"/>
          </w:tcPr>
          <w:p w14:paraId="5FDFB59E"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856.44</w:t>
            </w:r>
          </w:p>
        </w:tc>
        <w:tc>
          <w:tcPr>
            <w:tcW w:w="861" w:type="pct"/>
            <w:shd w:val="clear" w:color="auto" w:fill="auto"/>
            <w:vAlign w:val="center"/>
          </w:tcPr>
          <w:p w14:paraId="244767DC"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12.97%</w:t>
            </w:r>
          </w:p>
        </w:tc>
      </w:tr>
      <w:tr w:rsidR="000A0ACD" w14:paraId="29606763" w14:textId="77777777">
        <w:trPr>
          <w:trHeight w:val="397"/>
        </w:trPr>
        <w:tc>
          <w:tcPr>
            <w:tcW w:w="387" w:type="pct"/>
            <w:shd w:val="clear" w:color="auto" w:fill="auto"/>
            <w:vAlign w:val="center"/>
          </w:tcPr>
          <w:p w14:paraId="50B6DBA1"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2171" w:type="pct"/>
            <w:shd w:val="clear" w:color="auto" w:fill="auto"/>
            <w:vAlign w:val="center"/>
          </w:tcPr>
          <w:p w14:paraId="1214825D"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青岛海诚达物资有限公司</w:t>
            </w:r>
          </w:p>
        </w:tc>
        <w:tc>
          <w:tcPr>
            <w:tcW w:w="1581" w:type="pct"/>
            <w:shd w:val="clear" w:color="auto" w:fill="auto"/>
            <w:vAlign w:val="center"/>
          </w:tcPr>
          <w:p w14:paraId="37D9D937"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220.28</w:t>
            </w:r>
          </w:p>
        </w:tc>
        <w:tc>
          <w:tcPr>
            <w:tcW w:w="861" w:type="pct"/>
            <w:shd w:val="clear" w:color="auto" w:fill="auto"/>
            <w:vAlign w:val="center"/>
          </w:tcPr>
          <w:p w14:paraId="3B6EEBFF"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3.34%</w:t>
            </w:r>
          </w:p>
        </w:tc>
      </w:tr>
      <w:tr w:rsidR="000A0ACD" w14:paraId="1F8EF0F3" w14:textId="77777777">
        <w:trPr>
          <w:trHeight w:val="397"/>
        </w:trPr>
        <w:tc>
          <w:tcPr>
            <w:tcW w:w="387" w:type="pct"/>
            <w:shd w:val="clear" w:color="auto" w:fill="auto"/>
            <w:vAlign w:val="center"/>
          </w:tcPr>
          <w:p w14:paraId="726AFAF5"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2171" w:type="pct"/>
            <w:shd w:val="clear" w:color="auto" w:fill="auto"/>
            <w:vAlign w:val="center"/>
          </w:tcPr>
          <w:p w14:paraId="0D2A797A"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青岛金海东工贸有限公司</w:t>
            </w:r>
          </w:p>
        </w:tc>
        <w:tc>
          <w:tcPr>
            <w:tcW w:w="1581" w:type="pct"/>
            <w:shd w:val="clear" w:color="auto" w:fill="auto"/>
            <w:vAlign w:val="center"/>
          </w:tcPr>
          <w:p w14:paraId="3182E329"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156.08</w:t>
            </w:r>
          </w:p>
        </w:tc>
        <w:tc>
          <w:tcPr>
            <w:tcW w:w="861" w:type="pct"/>
            <w:shd w:val="clear" w:color="auto" w:fill="auto"/>
            <w:vAlign w:val="center"/>
          </w:tcPr>
          <w:p w14:paraId="05516B5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2.36%</w:t>
            </w:r>
          </w:p>
        </w:tc>
      </w:tr>
      <w:tr w:rsidR="000A0ACD" w14:paraId="06D7F224" w14:textId="77777777">
        <w:trPr>
          <w:trHeight w:val="397"/>
        </w:trPr>
        <w:tc>
          <w:tcPr>
            <w:tcW w:w="387" w:type="pct"/>
            <w:shd w:val="clear" w:color="auto" w:fill="auto"/>
            <w:vAlign w:val="center"/>
          </w:tcPr>
          <w:p w14:paraId="49BE4AAE"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2171" w:type="pct"/>
            <w:shd w:val="clear" w:color="auto" w:fill="auto"/>
            <w:vAlign w:val="center"/>
          </w:tcPr>
          <w:p w14:paraId="2443DC17" w14:textId="77777777" w:rsidR="000A0ACD" w:rsidRDefault="00362A99">
            <w:pPr>
              <w:adjustRightInd w:val="0"/>
              <w:snapToGrid w:val="0"/>
              <w:jc w:val="center"/>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青岛海纳鑫机电设备有限公司</w:t>
            </w:r>
          </w:p>
        </w:tc>
        <w:tc>
          <w:tcPr>
            <w:tcW w:w="1581" w:type="pct"/>
            <w:shd w:val="clear" w:color="auto" w:fill="auto"/>
            <w:vAlign w:val="center"/>
          </w:tcPr>
          <w:p w14:paraId="5A5F20E4" w14:textId="77777777" w:rsidR="000A0ACD" w:rsidRDefault="00362A99">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104.66</w:t>
            </w:r>
          </w:p>
        </w:tc>
        <w:tc>
          <w:tcPr>
            <w:tcW w:w="861" w:type="pct"/>
            <w:shd w:val="clear" w:color="auto" w:fill="auto"/>
            <w:vAlign w:val="center"/>
          </w:tcPr>
          <w:p w14:paraId="0E7DB00F"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1.59%</w:t>
            </w:r>
          </w:p>
        </w:tc>
      </w:tr>
      <w:tr w:rsidR="000A0ACD" w14:paraId="110F044C" w14:textId="77777777">
        <w:trPr>
          <w:trHeight w:val="397"/>
        </w:trPr>
        <w:tc>
          <w:tcPr>
            <w:tcW w:w="387" w:type="pct"/>
            <w:shd w:val="clear" w:color="auto" w:fill="auto"/>
            <w:vAlign w:val="center"/>
          </w:tcPr>
          <w:p w14:paraId="2570F585" w14:textId="77777777" w:rsidR="000A0ACD" w:rsidRDefault="000A0ACD">
            <w:pPr>
              <w:adjustRightInd w:val="0"/>
              <w:snapToGrid w:val="0"/>
              <w:jc w:val="center"/>
              <w:rPr>
                <w:rFonts w:ascii="Times New Roman" w:hAnsi="Times New Roman" w:cs="Times New Roman"/>
                <w:b/>
                <w:sz w:val="21"/>
                <w:szCs w:val="21"/>
              </w:rPr>
            </w:pPr>
          </w:p>
        </w:tc>
        <w:tc>
          <w:tcPr>
            <w:tcW w:w="2171" w:type="pct"/>
            <w:shd w:val="clear" w:color="auto" w:fill="auto"/>
            <w:vAlign w:val="center"/>
          </w:tcPr>
          <w:p w14:paraId="7987A9C2"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color w:val="000000"/>
                <w:sz w:val="21"/>
                <w:szCs w:val="21"/>
              </w:rPr>
              <w:t>合计</w:t>
            </w:r>
          </w:p>
        </w:tc>
        <w:tc>
          <w:tcPr>
            <w:tcW w:w="1581" w:type="pct"/>
            <w:shd w:val="clear" w:color="auto" w:fill="auto"/>
            <w:vAlign w:val="center"/>
          </w:tcPr>
          <w:p w14:paraId="64886B64"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4,606.31</w:t>
            </w:r>
          </w:p>
        </w:tc>
        <w:tc>
          <w:tcPr>
            <w:tcW w:w="861" w:type="pct"/>
            <w:shd w:val="clear" w:color="auto" w:fill="auto"/>
            <w:vAlign w:val="center"/>
          </w:tcPr>
          <w:p w14:paraId="608CB52A"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color w:val="000000"/>
                <w:sz w:val="21"/>
                <w:szCs w:val="21"/>
              </w:rPr>
              <w:t>69.77%</w:t>
            </w:r>
          </w:p>
        </w:tc>
      </w:tr>
    </w:tbl>
    <w:p w14:paraId="08248AA4" w14:textId="77777777" w:rsidR="000A0ACD" w:rsidRDefault="00362A99">
      <w:pPr>
        <w:pStyle w:val="affffd"/>
        <w:spacing w:beforeLines="0" w:line="240" w:lineRule="auto"/>
        <w:ind w:firstLineChars="0" w:firstLine="0"/>
        <w:rPr>
          <w:sz w:val="21"/>
          <w:szCs w:val="18"/>
        </w:rPr>
      </w:pPr>
      <w:r>
        <w:rPr>
          <w:rFonts w:hint="eastAsia"/>
          <w:sz w:val="21"/>
          <w:szCs w:val="18"/>
        </w:rPr>
        <w:t>注：上表中对于受同一实际控制人控制的供应商，合并计算采购额。</w:t>
      </w:r>
    </w:p>
    <w:p w14:paraId="7CE75D70"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北洋天青通常会与选定的合格供应商建立战略合作，同时始终保持拥有两家较为稳定的供应商，以确保货源和价格的稳定。</w:t>
      </w:r>
      <w:r>
        <w:rPr>
          <w:rFonts w:ascii="Times New Roman" w:hAnsi="Times New Roman" w:cs="Times New Roman"/>
          <w:bCs/>
          <w:color w:val="000000"/>
          <w:szCs w:val="21"/>
          <w:lang w:val="en-GB"/>
        </w:rPr>
        <w:t>2018</w:t>
      </w:r>
      <w:r>
        <w:rPr>
          <w:rFonts w:ascii="Times New Roman" w:hAnsi="Times New Roman" w:cs="Times New Roman" w:hint="eastAsia"/>
          <w:bCs/>
          <w:color w:val="000000"/>
          <w:szCs w:val="21"/>
          <w:lang w:val="en-GB"/>
        </w:rPr>
        <w:t>年度、</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年度、</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年度，北洋天青前五大供应商的采购金额占当期采购总额的比重分别为</w:t>
      </w:r>
      <w:r>
        <w:rPr>
          <w:rFonts w:ascii="Times New Roman" w:hAnsi="Times New Roman" w:cs="Times New Roman"/>
          <w:bCs/>
          <w:color w:val="000000"/>
          <w:szCs w:val="21"/>
          <w:lang w:val="en-GB"/>
        </w:rPr>
        <w:t>69.77%</w:t>
      </w: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45.52%</w:t>
      </w: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36.75%</w:t>
      </w:r>
      <w:r>
        <w:rPr>
          <w:rFonts w:ascii="Times New Roman" w:hAnsi="Times New Roman" w:cs="Times New Roman" w:hint="eastAsia"/>
          <w:bCs/>
          <w:color w:val="000000"/>
          <w:szCs w:val="21"/>
          <w:lang w:val="en-GB"/>
        </w:rPr>
        <w:t>，供应商集中度逐渐降低，每年前五大供应商均有一定变化，不存在对单一供应商重大依赖的情形。</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年度，北洋天青向海尔集团公司的采购金额占当期采购总额的比重仅为</w:t>
      </w:r>
      <w:r>
        <w:rPr>
          <w:rFonts w:ascii="Times New Roman" w:hAnsi="Times New Roman" w:cs="Times New Roman"/>
          <w:bCs/>
          <w:color w:val="000000"/>
          <w:szCs w:val="21"/>
          <w:lang w:val="en-GB"/>
        </w:rPr>
        <w:t>5.01%</w:t>
      </w:r>
      <w:r>
        <w:rPr>
          <w:rFonts w:ascii="Times New Roman" w:hAnsi="Times New Roman" w:cs="Times New Roman" w:hint="eastAsia"/>
          <w:bCs/>
          <w:color w:val="000000"/>
          <w:szCs w:val="21"/>
          <w:lang w:val="en-GB"/>
        </w:rPr>
        <w:t>，标的公司自海尔集团公司采购的原材料亦可从其他供应商处进行采购，且北洋天青董事、监事、高级管理人员和核心技术人员及其他主要关联方、北洋天青控股股东在海尔集团公司不存在持有权益的情况。因此，北洋天青在采购方面对海尔集团公司不存在较大依赖。</w:t>
      </w:r>
    </w:p>
    <w:p w14:paraId="52F883CD" w14:textId="77777777" w:rsidR="000A0ACD" w:rsidRDefault="00362A99">
      <w:pPr>
        <w:suppressAutoHyphens/>
        <w:spacing w:beforeLines="50" w:before="156" w:line="360" w:lineRule="auto"/>
        <w:ind w:firstLineChars="200" w:firstLine="482"/>
        <w:jc w:val="both"/>
        <w:outlineLvl w:val="3"/>
        <w:rPr>
          <w:rFonts w:ascii="Times New Roman" w:hAnsi="Times New Roman" w:cs="Times New Roman"/>
          <w:b/>
          <w:color w:val="000000"/>
          <w:lang w:eastAsia="ar-SA"/>
        </w:rPr>
      </w:pPr>
      <w:r>
        <w:rPr>
          <w:rFonts w:ascii="Times New Roman" w:hAnsi="Times New Roman" w:cs="Times New Roman" w:hint="eastAsia"/>
          <w:b/>
          <w:color w:val="000000"/>
        </w:rPr>
        <w:t>（二）</w:t>
      </w:r>
      <w:r>
        <w:rPr>
          <w:rFonts w:ascii="Times New Roman" w:hAnsi="Times New Roman" w:cs="Times New Roman" w:hint="eastAsia"/>
          <w:b/>
          <w:color w:val="000000"/>
          <w:lang w:eastAsia="ar-SA"/>
        </w:rPr>
        <w:t>北洋天青在销售方面对海尔集团公司不存在较大依赖</w:t>
      </w:r>
    </w:p>
    <w:p w14:paraId="22E541E4"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工业自动化是制造业转型升级的动力，随着家电行业的高速增长，传统家电行业面临着诸多问题：从业人员流动性大、人员成本逐年增高、资金压力大等等。众多家电企业需要寻求全新的解决方案——自动化升级改造。国家产业政策的大力支持，给产业转型升级提供了政策导向，给自动化提供了很好的发展环境。</w:t>
      </w:r>
    </w:p>
    <w:p w14:paraId="501D895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一方面，标的公司深耕家电行业，凭借过硬的产品质量、丰富的行业经验、优质的服务团队和先进的技术理念，与海尔集团公司、澳柯玛股份有限公司、海信集团有限公司等众多家电行业优质下游客户保持了良好的合作关系。家电行业下游客户对于供应商的选定有着严格的标准和程序，标的公司深度掌握下游客户的技术改造需求和产品加工工艺，一旦合作关系确立，将不会轻易变更。此外，北洋天青同时也在积极开拓新的客户，加强自身在家电智能制造领域的优势。</w:t>
      </w:r>
    </w:p>
    <w:p w14:paraId="1829B8D4"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另一方面，标的公司在深耕家电行业的同时，也在积极拓展其他行业。在食品饮料领域，标的公司以现有技术及软件为基础，已经为青岛饮料集团有限公司提供了相应的自动化、企业信息化服务。在</w:t>
      </w:r>
      <w:r>
        <w:rPr>
          <w:rFonts w:ascii="Times New Roman" w:hAnsi="Times New Roman" w:cs="Times New Roman"/>
          <w:bCs/>
          <w:color w:val="000000"/>
          <w:szCs w:val="21"/>
          <w:lang w:val="en-GB"/>
        </w:rPr>
        <w:t>3C</w:t>
      </w:r>
      <w:r>
        <w:rPr>
          <w:rFonts w:ascii="Times New Roman" w:hAnsi="Times New Roman" w:cs="Times New Roman" w:hint="eastAsia"/>
          <w:bCs/>
          <w:color w:val="000000"/>
          <w:szCs w:val="21"/>
          <w:lang w:val="en-GB"/>
        </w:rPr>
        <w:t>领域，</w:t>
      </w:r>
      <w:r>
        <w:rPr>
          <w:rFonts w:ascii="Times New Roman" w:hAnsi="Times New Roman" w:cs="Times New Roman" w:hint="eastAsia"/>
          <w:bCs/>
          <w:color w:val="000000"/>
          <w:szCs w:val="21"/>
        </w:rPr>
        <w:t>标的公司</w:t>
      </w:r>
      <w:r>
        <w:rPr>
          <w:rFonts w:ascii="Times New Roman" w:hAnsi="Times New Roman" w:cs="Times New Roman" w:hint="eastAsia"/>
          <w:bCs/>
          <w:color w:val="000000"/>
          <w:szCs w:val="21"/>
          <w:lang w:val="en-GB"/>
        </w:rPr>
        <w:t>主要以现有的物流悬挂输送系统为切入的技术基础，以液晶显示器模组生产为主推市场，拟开发机器人视觉追踪应用技术，柔性部件组装技术、以及任意曲面屏组装技术，并引入行业内有资深自动化行业经验的高水平技术及管理人才，积极拓展</w:t>
      </w:r>
      <w:r>
        <w:rPr>
          <w:rFonts w:ascii="Times New Roman" w:hAnsi="Times New Roman" w:cs="Times New Roman"/>
          <w:bCs/>
          <w:color w:val="000000"/>
          <w:szCs w:val="21"/>
          <w:lang w:val="en-GB"/>
        </w:rPr>
        <w:t>3C</w:t>
      </w:r>
      <w:r>
        <w:rPr>
          <w:rFonts w:ascii="Times New Roman" w:hAnsi="Times New Roman" w:cs="Times New Roman" w:hint="eastAsia"/>
          <w:bCs/>
          <w:color w:val="000000"/>
          <w:szCs w:val="21"/>
          <w:lang w:val="en-GB"/>
        </w:rPr>
        <w:t>领域自动化市场。新能源电池作为我国及世界的发展方向，标的公司计划在未来进入新能源电池自动化领域拓展业务。在化工领域，标的公司与青岛海湾集团有限公司就智能工厂整体规划、企业信息化等业务展开初步接触。</w:t>
      </w:r>
    </w:p>
    <w:p w14:paraId="13A44CA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综上所述，从市场需求、行业趋势、标的公司发展战略等情况来看，标的公司的营业收入均具备可持续性，具备独立获取订单的能力，不存在对海尔集团公司的较大依赖。</w:t>
      </w:r>
    </w:p>
    <w:p w14:paraId="211E2A0B" w14:textId="77777777" w:rsidR="000A0ACD" w:rsidRDefault="00362A99">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（三）北洋天青在技术方面对海尔集团公司不存在较大依赖</w:t>
      </w:r>
    </w:p>
    <w:p w14:paraId="1D3FAD62"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围绕智能制造主线，以信息化赋能自动化设备，实现了信息化与自动化的深度融合与相互促进。北洋天青目前形成了七大技术产品线，即：工业机器人本体及系统集成、智能制造装备、机器视觉、测试系统集成、模具立体库自动换模系统、物流悬挂输送系统和企业信息化七大板块，相关技术均已在多个大型项目中实际应用。</w:t>
      </w:r>
    </w:p>
    <w:p w14:paraId="2EEB43B9"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业务涉及智能制造领域的全周期、全过程，在智能制造解决方案各个层面，均有自己的产品及其相关的集成应用。标的公司拥有数字化工厂的全集成优势，能为客户打造完全自主可控和定制化的智能制造及数字化工厂，以信息化技术为驱动核心，以定制化智能制造装备为基础，能为客户提供工业自动化、数字化、网络化、智能化的端到端、一站式产品和服务。标的公司作为工业自动化和智能制造领域的高新技术企业，是国内早期进行“智能制造全集成”布局的企业之一。</w:t>
      </w:r>
    </w:p>
    <w:p w14:paraId="1291CFC0"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北洋天青的各个技术产品涵盖了数字化工厂网络层、执行层及应用层各个层面，其中网络层产品包括企业信息化</w:t>
      </w:r>
      <w:r>
        <w:rPr>
          <w:rFonts w:ascii="Times New Roman" w:hAnsi="Times New Roman" w:cs="Times New Roman"/>
          <w:bCs/>
          <w:color w:val="000000"/>
          <w:szCs w:val="21"/>
          <w:lang w:val="en-GB"/>
        </w:rPr>
        <w:t>SCADA</w:t>
      </w:r>
      <w:r>
        <w:rPr>
          <w:rFonts w:ascii="Times New Roman" w:hAnsi="Times New Roman" w:cs="Times New Roman" w:hint="eastAsia"/>
          <w:bCs/>
          <w:color w:val="000000"/>
          <w:szCs w:val="21"/>
          <w:lang w:val="en-GB"/>
        </w:rPr>
        <w:t>等相关产品，执行层产品包括机器人执行方案及智能制造装备等产品，应用层产品包括依托综合集成应用能力形成的“自动化生产线智能工厂”等关键产品，能为客户提供系统集成及自动化生产解决方案等技术支持。</w:t>
      </w:r>
    </w:p>
    <w:p w14:paraId="7EDBAD6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拥有独立的研发机构和研发团队，采取自主研发的模式，其各项技术均为自主独立研发取得。北洋天青以项目为基础，以研发促进项目质量，具有一定的技术壁垒与产品竞争力，在项目实施和研发阶段逐渐形成多项专利和软件著作权。截至本回复出具日，北洋天青已获得专利</w:t>
      </w:r>
      <w:r>
        <w:rPr>
          <w:rFonts w:ascii="Times New Roman" w:hAnsi="Times New Roman" w:cs="Times New Roman"/>
          <w:bCs/>
          <w:color w:val="000000"/>
          <w:szCs w:val="21"/>
          <w:lang w:val="en-GB"/>
        </w:rPr>
        <w:t>3</w:t>
      </w:r>
      <w:r>
        <w:rPr>
          <w:rFonts w:ascii="Times New Roman" w:hAnsi="Times New Roman" w:cs="Times New Roman" w:hint="eastAsia"/>
          <w:bCs/>
          <w:color w:val="000000"/>
          <w:szCs w:val="21"/>
          <w:lang w:val="en-GB"/>
        </w:rPr>
        <w:t>项以及软件著作权</w:t>
      </w:r>
      <w:r>
        <w:rPr>
          <w:rFonts w:ascii="Times New Roman" w:hAnsi="Times New Roman" w:cs="Times New Roman"/>
          <w:bCs/>
          <w:color w:val="000000"/>
          <w:szCs w:val="21"/>
          <w:lang w:val="en-GB"/>
        </w:rPr>
        <w:t>8</w:t>
      </w:r>
      <w:r>
        <w:rPr>
          <w:rFonts w:ascii="Times New Roman" w:hAnsi="Times New Roman" w:cs="Times New Roman" w:hint="eastAsia"/>
          <w:bCs/>
          <w:color w:val="000000"/>
          <w:szCs w:val="21"/>
          <w:lang w:val="en-GB"/>
        </w:rPr>
        <w:t>项，同时正在申请的专利有</w:t>
      </w:r>
      <w:r>
        <w:rPr>
          <w:rFonts w:ascii="Times New Roman" w:hAnsi="Times New Roman" w:cs="Times New Roman"/>
          <w:bCs/>
          <w:color w:val="000000"/>
          <w:szCs w:val="21"/>
          <w:lang w:val="en-GB"/>
        </w:rPr>
        <w:t>20</w:t>
      </w:r>
      <w:r>
        <w:rPr>
          <w:rFonts w:ascii="Times New Roman" w:hAnsi="Times New Roman" w:cs="Times New Roman" w:hint="eastAsia"/>
          <w:bCs/>
          <w:color w:val="000000"/>
          <w:szCs w:val="21"/>
          <w:lang w:val="en-GB"/>
        </w:rPr>
        <w:t>项，不存在在技术方面对海尔集团公司较大依赖的情况。</w:t>
      </w:r>
    </w:p>
    <w:p w14:paraId="4C98FCAC" w14:textId="77777777" w:rsidR="000A0ACD" w:rsidRDefault="00362A99">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（四）北洋天青在生产方面对海尔集团公司不存在较大依赖</w:t>
      </w:r>
    </w:p>
    <w:p w14:paraId="242236D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深耕家电自动化领域，主要从事家电行业的生产线智能化、信息化建设、升级和改造。标的公司产品属于非标类产品，定制化要求较高，需要根据客户需求，按照不同的工艺要求及合同要求，分别进行研发、设计、制造和系统集成，因此主要采用“以销定产”的订单生产模式。一方面，北洋天青通过独立研发、设计与生产，向海尔集团公司提供智能化、信息化生产线和数字化生产车间的整体解决方案；另一方面，北洋天青将采购的原材料进行加工和系统集成，生产出与海尔集团公司的智能化、信息化生产线和数字化生产车间的整体解决方案相配套的智能制造装备。因此，北洋天青依靠多年的项目实施经验积累，形成了独有的生产模式，产品的生产过程均由北洋天青独立完成，在生产方面不存在对海尔集团公司的较大依赖。</w:t>
      </w:r>
    </w:p>
    <w:p w14:paraId="4F9DABB8"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二、补充披露情况</w:t>
      </w:r>
    </w:p>
    <w:p w14:paraId="6ED189BB"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上市公司已在《重组报告书》“第四节</w:t>
      </w:r>
      <w:r>
        <w:rPr>
          <w:rFonts w:ascii="Times New Roman" w:hAnsi="Times New Roman" w:cs="Times New Roman"/>
          <w:bCs/>
          <w:color w:val="000000"/>
          <w:szCs w:val="21"/>
          <w:lang w:val="en-GB"/>
        </w:rPr>
        <w:t xml:space="preserve"> </w:t>
      </w:r>
      <w:r>
        <w:rPr>
          <w:rFonts w:ascii="Times New Roman" w:hAnsi="Times New Roman" w:cs="Times New Roman" w:hint="eastAsia"/>
          <w:bCs/>
          <w:color w:val="000000"/>
          <w:szCs w:val="21"/>
          <w:lang w:val="en-GB"/>
        </w:rPr>
        <w:t>交易标的基本情况”之“五、主营业务发展情况”之“（十一）北洋天青在采购、销售、技术和生产等方面对海尔集团公司不存在较大依赖”进行了补充披露。</w:t>
      </w:r>
    </w:p>
    <w:p w14:paraId="779DCD9B"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三、中介机构核查意见</w:t>
      </w:r>
    </w:p>
    <w:p w14:paraId="7BE5AB1E" w14:textId="77777777" w:rsidR="000A0ACD" w:rsidRDefault="00362A99">
      <w:pPr>
        <w:spacing w:line="360" w:lineRule="auto"/>
        <w:ind w:firstLineChars="200" w:firstLine="480"/>
        <w:jc w:val="both"/>
        <w:rPr>
          <w:rFonts w:ascii="Times New Roman" w:hAnsi="Times New Roman" w:cs="Times New Roman"/>
          <w:bCs/>
        </w:rPr>
      </w:pPr>
      <w:r>
        <w:rPr>
          <w:rFonts w:ascii="Times New Roman" w:hAnsi="Times New Roman" w:cs="Times New Roman" w:hint="eastAsia"/>
          <w:bCs/>
          <w:color w:val="000000"/>
          <w:szCs w:val="21"/>
          <w:lang w:val="en-GB"/>
        </w:rPr>
        <w:t>经核查，独立财务顾问和会计师认为：北洋天青在采购、销售、技术和生产等方面对海尔集团公司均不存在较大依赖。</w:t>
      </w:r>
    </w:p>
    <w:p w14:paraId="34E288D2" w14:textId="77777777" w:rsidR="000A0ACD" w:rsidRDefault="000A0ACD">
      <w:pPr>
        <w:pStyle w:val="afffff"/>
        <w:sectPr w:rsidR="000A0ACD">
          <w:pgSz w:w="11906" w:h="16838"/>
          <w:pgMar w:top="1440" w:right="1800" w:bottom="1440" w:left="1800" w:header="851" w:footer="992" w:gutter="0"/>
          <w:cols w:space="425"/>
          <w:docGrid w:type="lines" w:linePitch="312"/>
        </w:sectPr>
      </w:pPr>
      <w:bookmarkStart w:id="27" w:name="_Toc69256870"/>
      <w:bookmarkStart w:id="28" w:name="_Toc69256850"/>
    </w:p>
    <w:p w14:paraId="71A7C1EB" w14:textId="77777777" w:rsidR="000A0ACD" w:rsidRDefault="00362A99">
      <w:pPr>
        <w:pStyle w:val="afffff"/>
      </w:pPr>
      <w:r>
        <w:rPr>
          <w:rFonts w:hint="eastAsia"/>
        </w:rPr>
        <w:t>第五题</w:t>
      </w:r>
      <w:bookmarkEnd w:id="27"/>
      <w:bookmarkEnd w:id="28"/>
    </w:p>
    <w:p w14:paraId="4BC74836"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）标的资产共有大学本科及以上学历人员</w:t>
      </w:r>
      <w:r>
        <w:rPr>
          <w:rFonts w:ascii="Times New Roman" w:eastAsia="黑体" w:hAnsi="Times New Roman" w:cs="Times New Roman" w:hint="eastAsia"/>
          <w:b/>
          <w:color w:val="000000"/>
          <w:szCs w:val="21"/>
        </w:rPr>
        <w:t>31</w:t>
      </w:r>
      <w:r>
        <w:rPr>
          <w:rFonts w:ascii="Times New Roman" w:eastAsia="黑体" w:hAnsi="Times New Roman" w:cs="Times New Roman" w:hint="eastAsia"/>
          <w:b/>
          <w:color w:val="000000"/>
          <w:szCs w:val="21"/>
        </w:rPr>
        <w:t>人，占全体人员比例的</w:t>
      </w:r>
      <w:r>
        <w:rPr>
          <w:rFonts w:ascii="Times New Roman" w:eastAsia="黑体" w:hAnsi="Times New Roman" w:cs="Times New Roman" w:hint="eastAsia"/>
          <w:b/>
          <w:color w:val="000000"/>
          <w:szCs w:val="21"/>
        </w:rPr>
        <w:t>18.67%</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）但</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9</w:t>
      </w:r>
      <w:r>
        <w:rPr>
          <w:rFonts w:ascii="Times New Roman" w:eastAsia="黑体" w:hAnsi="Times New Roman" w:cs="Times New Roman" w:hint="eastAsia"/>
          <w:b/>
          <w:color w:val="000000"/>
          <w:szCs w:val="21"/>
        </w:rPr>
        <w:t>月</w:t>
      </w:r>
      <w:r>
        <w:rPr>
          <w:rFonts w:ascii="Times New Roman" w:eastAsia="黑体" w:hAnsi="Times New Roman" w:cs="Times New Roman" w:hint="eastAsia"/>
          <w:b/>
          <w:color w:val="000000"/>
          <w:szCs w:val="21"/>
        </w:rPr>
        <w:t>22</w:t>
      </w:r>
      <w:r>
        <w:rPr>
          <w:rFonts w:ascii="Times New Roman" w:eastAsia="黑体" w:hAnsi="Times New Roman" w:cs="Times New Roman" w:hint="eastAsia"/>
          <w:b/>
          <w:color w:val="000000"/>
          <w:szCs w:val="21"/>
        </w:rPr>
        <w:t>日你公司披露标的资产研发人员约</w:t>
      </w:r>
      <w:r>
        <w:rPr>
          <w:rFonts w:ascii="Times New Roman" w:eastAsia="黑体" w:hAnsi="Times New Roman" w:cs="Times New Roman" w:hint="eastAsia"/>
          <w:b/>
          <w:color w:val="000000"/>
          <w:szCs w:val="21"/>
        </w:rPr>
        <w:t>50</w:t>
      </w:r>
      <w:r>
        <w:rPr>
          <w:rFonts w:ascii="Times New Roman" w:eastAsia="黑体" w:hAnsi="Times New Roman" w:cs="Times New Roman" w:hint="eastAsia"/>
          <w:b/>
          <w:color w:val="000000"/>
          <w:szCs w:val="21"/>
        </w:rPr>
        <w:t>人，均为大学本科以上学历，占标的资产人员比例约</w:t>
      </w:r>
      <w:r>
        <w:rPr>
          <w:rFonts w:ascii="Times New Roman" w:eastAsia="黑体" w:hAnsi="Times New Roman" w:cs="Times New Roman" w:hint="eastAsia"/>
          <w:b/>
          <w:color w:val="000000"/>
          <w:szCs w:val="21"/>
        </w:rPr>
        <w:t>30%</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）标的资产属于家电行业的领先企业，研发实力出色，截至</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9</w:t>
      </w:r>
      <w:r>
        <w:rPr>
          <w:rFonts w:ascii="Times New Roman" w:eastAsia="黑体" w:hAnsi="Times New Roman" w:cs="Times New Roman" w:hint="eastAsia"/>
          <w:b/>
          <w:color w:val="000000"/>
          <w:szCs w:val="21"/>
        </w:rPr>
        <w:t>月</w:t>
      </w:r>
      <w:r>
        <w:rPr>
          <w:rFonts w:ascii="Times New Roman" w:eastAsia="黑体" w:hAnsi="Times New Roman" w:cs="Times New Roman" w:hint="eastAsia"/>
          <w:b/>
          <w:color w:val="000000"/>
          <w:szCs w:val="21"/>
        </w:rPr>
        <w:t>30</w:t>
      </w:r>
      <w:r>
        <w:rPr>
          <w:rFonts w:ascii="Times New Roman" w:eastAsia="黑体" w:hAnsi="Times New Roman" w:cs="Times New Roman" w:hint="eastAsia"/>
          <w:b/>
          <w:color w:val="000000"/>
          <w:szCs w:val="21"/>
        </w:rPr>
        <w:t>日，共有技术人员</w:t>
      </w:r>
      <w:r>
        <w:rPr>
          <w:rFonts w:ascii="Times New Roman" w:eastAsia="黑体" w:hAnsi="Times New Roman" w:cs="Times New Roman" w:hint="eastAsia"/>
          <w:b/>
          <w:color w:val="000000"/>
          <w:szCs w:val="21"/>
        </w:rPr>
        <w:t>44</w:t>
      </w:r>
      <w:r>
        <w:rPr>
          <w:rFonts w:ascii="Times New Roman" w:eastAsia="黑体" w:hAnsi="Times New Roman" w:cs="Times New Roman" w:hint="eastAsia"/>
          <w:b/>
          <w:color w:val="000000"/>
          <w:szCs w:val="21"/>
        </w:rPr>
        <w:t>人，核心技术人员</w:t>
      </w:r>
      <w:r>
        <w:rPr>
          <w:rFonts w:ascii="Times New Roman" w:eastAsia="黑体" w:hAnsi="Times New Roman" w:cs="Times New Roman" w:hint="eastAsia"/>
          <w:b/>
          <w:color w:val="000000"/>
          <w:szCs w:val="21"/>
        </w:rPr>
        <w:t>5</w:t>
      </w:r>
      <w:r>
        <w:rPr>
          <w:rFonts w:ascii="Times New Roman" w:eastAsia="黑体" w:hAnsi="Times New Roman" w:cs="Times New Roman" w:hint="eastAsia"/>
          <w:b/>
          <w:color w:val="000000"/>
          <w:szCs w:val="21"/>
        </w:rPr>
        <w:t>人，拥有实用新型专利</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项，正在申请中的专利</w:t>
      </w:r>
      <w:r>
        <w:rPr>
          <w:rFonts w:ascii="Times New Roman" w:eastAsia="黑体" w:hAnsi="Times New Roman" w:cs="Times New Roman" w:hint="eastAsia"/>
          <w:b/>
          <w:color w:val="000000"/>
          <w:szCs w:val="21"/>
        </w:rPr>
        <w:t>11</w:t>
      </w:r>
      <w:r>
        <w:rPr>
          <w:rFonts w:ascii="Times New Roman" w:eastAsia="黑体" w:hAnsi="Times New Roman" w:cs="Times New Roman" w:hint="eastAsia"/>
          <w:b/>
          <w:color w:val="000000"/>
          <w:szCs w:val="21"/>
        </w:rPr>
        <w:t>项，其中</w:t>
      </w:r>
      <w:r>
        <w:rPr>
          <w:rFonts w:ascii="Times New Roman" w:eastAsia="黑体" w:hAnsi="Times New Roman" w:cs="Times New Roman" w:hint="eastAsia"/>
          <w:b/>
          <w:color w:val="000000"/>
          <w:szCs w:val="21"/>
        </w:rPr>
        <w:t>9</w:t>
      </w:r>
      <w:r>
        <w:rPr>
          <w:rFonts w:ascii="Times New Roman" w:eastAsia="黑体" w:hAnsi="Times New Roman" w:cs="Times New Roman" w:hint="eastAsia"/>
          <w:b/>
          <w:color w:val="000000"/>
          <w:szCs w:val="21"/>
        </w:rPr>
        <w:t>项从</w:t>
      </w:r>
      <w:r>
        <w:rPr>
          <w:rFonts w:ascii="Times New Roman" w:eastAsia="黑体" w:hAnsi="Times New Roman" w:cs="Times New Roman" w:hint="eastAsia"/>
          <w:b/>
          <w:color w:val="000000"/>
          <w:szCs w:val="21"/>
        </w:rPr>
        <w:t>2018</w:t>
      </w:r>
      <w:r>
        <w:rPr>
          <w:rFonts w:ascii="Times New Roman" w:eastAsia="黑体" w:hAnsi="Times New Roman" w:cs="Times New Roman" w:hint="eastAsia"/>
          <w:b/>
          <w:color w:val="000000"/>
          <w:szCs w:val="21"/>
        </w:rPr>
        <w:t>年开始申请。请你公司：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标的资产技术人员准确数量和学历水平，研发费用占营业收入的比重，以及同行业可比公司的专利数量、技术储备、研发获奖情况、主要产品技术发展水平等，补充披露认定标的资产属于“家电行业的领先企业”、“研发实力出色”的依据是否充分。</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）标的资产</w:t>
      </w:r>
      <w:r>
        <w:rPr>
          <w:rFonts w:ascii="Times New Roman" w:eastAsia="黑体" w:hAnsi="Times New Roman" w:cs="Times New Roman" w:hint="eastAsia"/>
          <w:b/>
          <w:color w:val="000000"/>
          <w:szCs w:val="21"/>
        </w:rPr>
        <w:t>11</w:t>
      </w:r>
      <w:r>
        <w:rPr>
          <w:rFonts w:ascii="Times New Roman" w:eastAsia="黑体" w:hAnsi="Times New Roman" w:cs="Times New Roman" w:hint="eastAsia"/>
          <w:b/>
          <w:color w:val="000000"/>
          <w:szCs w:val="21"/>
        </w:rPr>
        <w:t>项专利申请的最新进展，全部或部分专利尚未申请成功的原因。</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）标的资产核心技术人员在其他企事业单位任职或投资情况（如有）及其原因，该等行为是否违反与标的资产签订的竞业限制等相关协议。</w:t>
      </w:r>
      <w:r>
        <w:rPr>
          <w:rFonts w:ascii="Times New Roman" w:eastAsia="黑体" w:hAnsi="Times New Roman" w:cs="Times New Roman" w:hint="eastAsia"/>
          <w:b/>
          <w:color w:val="000000"/>
          <w:szCs w:val="21"/>
        </w:rPr>
        <w:t>4</w:t>
      </w:r>
      <w:r>
        <w:rPr>
          <w:rFonts w:ascii="Times New Roman" w:eastAsia="黑体" w:hAnsi="Times New Roman" w:cs="Times New Roman" w:hint="eastAsia"/>
          <w:b/>
          <w:color w:val="000000"/>
          <w:szCs w:val="21"/>
        </w:rPr>
        <w:t>）报告期内标的资产技术人员离职情况，防止交易完成后核心技术人员流失的措施及其充分性。请独立财务顾问和律师核查并发表明确意见。</w:t>
      </w:r>
    </w:p>
    <w:p w14:paraId="372A1290" w14:textId="77777777" w:rsidR="000A0ACD" w:rsidRDefault="00362A99">
      <w:pPr>
        <w:pStyle w:val="affffd"/>
        <w:spacing w:before="156"/>
        <w:ind w:firstLine="482"/>
        <w:rPr>
          <w:b/>
        </w:rPr>
      </w:pPr>
      <w:r>
        <w:rPr>
          <w:rFonts w:hint="eastAsia"/>
          <w:b/>
        </w:rPr>
        <w:t>【回复说明】</w:t>
      </w:r>
    </w:p>
    <w:p w14:paraId="6416FB12"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标的资产技术人员准确数量和学历水平，研发费用占营业收入的比重，以及同行业可比公司的专利数量、技术储备、研发获奖情况、主要产品技术发展水平等，补充披露认定标的资产属于“家电行业的领先企业”、“研发实力出色”的依据是否充分。</w:t>
      </w:r>
    </w:p>
    <w:p w14:paraId="60AADCCB"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一、标的资产技术人员及研发情况</w:t>
      </w:r>
    </w:p>
    <w:p w14:paraId="15E5503C"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（一）标的公司技术人员情况</w:t>
      </w:r>
    </w:p>
    <w:p w14:paraId="1943C446"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bookmarkStart w:id="29" w:name="_Hlk66958172"/>
      <w:r>
        <w:rPr>
          <w:rFonts w:ascii="Times New Roman" w:hAnsi="Times New Roman" w:cs="Times New Roman" w:hint="eastAsia"/>
          <w:bCs/>
          <w:color w:val="000000"/>
          <w:szCs w:val="21"/>
          <w:lang w:val="en-GB"/>
        </w:rPr>
        <w:t>截至</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w:t>
      </w:r>
      <w:r>
        <w:rPr>
          <w:rFonts w:ascii="Times New Roman" w:hAnsi="Times New Roman" w:cs="Times New Roman"/>
          <w:bCs/>
          <w:color w:val="000000"/>
          <w:szCs w:val="21"/>
          <w:lang w:val="en-GB"/>
        </w:rPr>
        <w:t>9</w:t>
      </w:r>
      <w:r>
        <w:rPr>
          <w:rFonts w:ascii="Times New Roman" w:hAnsi="Times New Roman" w:cs="Times New Roman" w:hint="eastAsia"/>
          <w:bCs/>
          <w:color w:val="000000"/>
          <w:szCs w:val="21"/>
          <w:lang w:val="en-GB"/>
        </w:rPr>
        <w:t>月</w:t>
      </w:r>
      <w:r>
        <w:rPr>
          <w:rFonts w:ascii="Times New Roman" w:hAnsi="Times New Roman" w:cs="Times New Roman"/>
          <w:bCs/>
          <w:color w:val="000000"/>
          <w:szCs w:val="21"/>
          <w:lang w:val="en-GB"/>
        </w:rPr>
        <w:t>30</w:t>
      </w:r>
      <w:r>
        <w:rPr>
          <w:rFonts w:ascii="Times New Roman" w:hAnsi="Times New Roman" w:cs="Times New Roman" w:hint="eastAsia"/>
          <w:bCs/>
          <w:color w:val="000000"/>
          <w:szCs w:val="21"/>
          <w:lang w:val="en-GB"/>
        </w:rPr>
        <w:t>日及</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w:t>
      </w:r>
      <w:r>
        <w:rPr>
          <w:rFonts w:ascii="Times New Roman" w:hAnsi="Times New Roman" w:cs="Times New Roman"/>
          <w:bCs/>
          <w:color w:val="000000"/>
          <w:szCs w:val="21"/>
          <w:lang w:val="en-GB"/>
        </w:rPr>
        <w:t>12</w:t>
      </w:r>
      <w:r>
        <w:rPr>
          <w:rFonts w:ascii="Times New Roman" w:hAnsi="Times New Roman" w:cs="Times New Roman" w:hint="eastAsia"/>
          <w:bCs/>
          <w:color w:val="000000"/>
          <w:szCs w:val="21"/>
          <w:lang w:val="en-GB"/>
        </w:rPr>
        <w:t>月</w:t>
      </w:r>
      <w:r>
        <w:rPr>
          <w:rFonts w:ascii="Times New Roman" w:hAnsi="Times New Roman" w:cs="Times New Roman"/>
          <w:bCs/>
          <w:color w:val="000000"/>
          <w:szCs w:val="21"/>
          <w:lang w:val="en-GB"/>
        </w:rPr>
        <w:t>31</w:t>
      </w:r>
      <w:r>
        <w:rPr>
          <w:rFonts w:ascii="Times New Roman" w:hAnsi="Times New Roman" w:cs="Times New Roman" w:hint="eastAsia"/>
          <w:bCs/>
          <w:color w:val="000000"/>
          <w:szCs w:val="21"/>
          <w:lang w:val="en-GB"/>
        </w:rPr>
        <w:t>日，标的公司任职结构及教育程度情况如下：</w:t>
      </w:r>
    </w:p>
    <w:p w14:paraId="57CD66ED"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1</w:t>
      </w:r>
      <w:r>
        <w:rPr>
          <w:rFonts w:ascii="Times New Roman" w:hAnsi="Times New Roman" w:cs="Times New Roman" w:hint="eastAsia"/>
          <w:bCs/>
          <w:color w:val="000000"/>
          <w:szCs w:val="21"/>
          <w:lang w:val="en-GB"/>
        </w:rPr>
        <w:t>）任职结构</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25"/>
        <w:gridCol w:w="1560"/>
        <w:gridCol w:w="1861"/>
        <w:gridCol w:w="1745"/>
        <w:gridCol w:w="1831"/>
      </w:tblGrid>
      <w:tr w:rsidR="000A0ACD" w14:paraId="6896A725" w14:textId="77777777">
        <w:trPr>
          <w:trHeight w:val="397"/>
          <w:tblHeader/>
          <w:jc w:val="center"/>
        </w:trPr>
        <w:tc>
          <w:tcPr>
            <w:tcW w:w="895" w:type="pct"/>
            <w:tcBorders>
              <w:top w:val="single" w:sz="12" w:space="0" w:color="auto"/>
              <w:left w:val="nil"/>
              <w:bottom w:val="single" w:sz="4" w:space="0" w:color="auto"/>
              <w:right w:val="single" w:sz="4" w:space="0" w:color="auto"/>
            </w:tcBorders>
            <w:vAlign w:val="center"/>
          </w:tcPr>
          <w:p w14:paraId="7DF28675" w14:textId="77777777" w:rsidR="000A0ACD" w:rsidRDefault="00362A99">
            <w:pPr>
              <w:snapToGrid w:val="0"/>
              <w:jc w:val="center"/>
              <w:rPr>
                <w:rFonts w:ascii="Times New Roman" w:hAnsi="Times New Roman" w:cs="Times New Roman"/>
                <w:b/>
                <w:sz w:val="21"/>
                <w:szCs w:val="21"/>
              </w:rPr>
            </w:pPr>
            <w:r>
              <w:rPr>
                <w:rFonts w:ascii="Times New Roman" w:hAnsi="Times New Roman" w:cs="Times New Roman" w:hint="eastAsia"/>
                <w:b/>
                <w:sz w:val="21"/>
                <w:szCs w:val="21"/>
              </w:rPr>
              <w:t>类别</w:t>
            </w:r>
          </w:p>
        </w:tc>
        <w:tc>
          <w:tcPr>
            <w:tcW w:w="915" w:type="pct"/>
            <w:tcBorders>
              <w:top w:val="single" w:sz="12" w:space="0" w:color="auto"/>
              <w:left w:val="single" w:sz="4" w:space="0" w:color="auto"/>
              <w:bottom w:val="single" w:sz="4" w:space="0" w:color="auto"/>
              <w:right w:val="single" w:sz="4" w:space="0" w:color="auto"/>
            </w:tcBorders>
            <w:vAlign w:val="center"/>
          </w:tcPr>
          <w:p w14:paraId="5C1D3A14" w14:textId="77777777" w:rsidR="000A0ACD" w:rsidRDefault="00362A99">
            <w:pPr>
              <w:snapToGrid w:val="0"/>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日人数</w:t>
            </w:r>
          </w:p>
        </w:tc>
        <w:tc>
          <w:tcPr>
            <w:tcW w:w="1092" w:type="pct"/>
            <w:tcBorders>
              <w:top w:val="single" w:sz="12" w:space="0" w:color="auto"/>
              <w:left w:val="single" w:sz="4" w:space="0" w:color="auto"/>
              <w:bottom w:val="single" w:sz="4" w:space="0" w:color="auto"/>
              <w:right w:val="single" w:sz="4" w:space="0" w:color="auto"/>
            </w:tcBorders>
            <w:vAlign w:val="center"/>
          </w:tcPr>
          <w:p w14:paraId="6849E99B" w14:textId="77777777" w:rsidR="000A0ACD" w:rsidRDefault="00362A99">
            <w:pPr>
              <w:snapToGrid w:val="0"/>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日占员工总数比例</w:t>
            </w:r>
          </w:p>
        </w:tc>
        <w:tc>
          <w:tcPr>
            <w:tcW w:w="1024" w:type="pct"/>
            <w:tcBorders>
              <w:top w:val="single" w:sz="12" w:space="0" w:color="auto"/>
              <w:left w:val="single" w:sz="4" w:space="0" w:color="auto"/>
              <w:bottom w:val="single" w:sz="4" w:space="0" w:color="auto"/>
              <w:right w:val="single" w:sz="4" w:space="0" w:color="auto"/>
            </w:tcBorders>
            <w:vAlign w:val="center"/>
          </w:tcPr>
          <w:p w14:paraId="7693BF10" w14:textId="77777777" w:rsidR="000A0ACD" w:rsidRDefault="00362A99">
            <w:pPr>
              <w:snapToGrid w:val="0"/>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日人数</w:t>
            </w:r>
          </w:p>
        </w:tc>
        <w:tc>
          <w:tcPr>
            <w:tcW w:w="1075" w:type="pct"/>
            <w:tcBorders>
              <w:top w:val="single" w:sz="12" w:space="0" w:color="auto"/>
              <w:left w:val="single" w:sz="4" w:space="0" w:color="auto"/>
              <w:bottom w:val="single" w:sz="4" w:space="0" w:color="auto"/>
              <w:right w:val="nil"/>
            </w:tcBorders>
            <w:vAlign w:val="center"/>
          </w:tcPr>
          <w:p w14:paraId="1D15CE43" w14:textId="77777777" w:rsidR="000A0ACD" w:rsidRDefault="00362A99">
            <w:pPr>
              <w:snapToGrid w:val="0"/>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日占员工总数比例</w:t>
            </w:r>
          </w:p>
        </w:tc>
      </w:tr>
      <w:tr w:rsidR="000A0ACD" w14:paraId="2071FF74"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7697293B" w14:textId="77777777" w:rsidR="000A0ACD" w:rsidRDefault="00362A99">
            <w:pPr>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综合管理部</w:t>
            </w:r>
          </w:p>
        </w:tc>
        <w:tc>
          <w:tcPr>
            <w:tcW w:w="915" w:type="pct"/>
            <w:tcBorders>
              <w:top w:val="single" w:sz="4" w:space="0" w:color="auto"/>
              <w:left w:val="single" w:sz="4" w:space="0" w:color="auto"/>
              <w:bottom w:val="single" w:sz="4" w:space="0" w:color="auto"/>
              <w:right w:val="single" w:sz="4" w:space="0" w:color="auto"/>
            </w:tcBorders>
            <w:vAlign w:val="center"/>
          </w:tcPr>
          <w:p w14:paraId="2015A0C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092" w:type="pct"/>
            <w:tcBorders>
              <w:top w:val="single" w:sz="4" w:space="0" w:color="auto"/>
              <w:left w:val="single" w:sz="4" w:space="0" w:color="auto"/>
              <w:bottom w:val="single" w:sz="4" w:space="0" w:color="auto"/>
              <w:right w:val="single" w:sz="4" w:space="0" w:color="auto"/>
            </w:tcBorders>
            <w:vAlign w:val="center"/>
          </w:tcPr>
          <w:p w14:paraId="78C53B11"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1.81%</w:t>
            </w:r>
          </w:p>
        </w:tc>
        <w:tc>
          <w:tcPr>
            <w:tcW w:w="1024" w:type="pct"/>
            <w:tcBorders>
              <w:top w:val="single" w:sz="4" w:space="0" w:color="auto"/>
              <w:left w:val="single" w:sz="4" w:space="0" w:color="auto"/>
              <w:bottom w:val="single" w:sz="4" w:space="0" w:color="auto"/>
              <w:right w:val="single" w:sz="4" w:space="0" w:color="auto"/>
            </w:tcBorders>
            <w:vAlign w:val="center"/>
          </w:tcPr>
          <w:p w14:paraId="41780066"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075" w:type="pct"/>
            <w:tcBorders>
              <w:top w:val="single" w:sz="4" w:space="0" w:color="auto"/>
              <w:left w:val="single" w:sz="4" w:space="0" w:color="auto"/>
              <w:bottom w:val="single" w:sz="4" w:space="0" w:color="auto"/>
              <w:right w:val="nil"/>
            </w:tcBorders>
            <w:vAlign w:val="center"/>
          </w:tcPr>
          <w:p w14:paraId="33B42165"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4.73%</w:t>
            </w:r>
          </w:p>
        </w:tc>
      </w:tr>
      <w:tr w:rsidR="000A0ACD" w14:paraId="70C232BA"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5061BDDC" w14:textId="77777777" w:rsidR="000A0ACD" w:rsidRDefault="00362A99">
            <w:pPr>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采购部</w:t>
            </w:r>
          </w:p>
        </w:tc>
        <w:tc>
          <w:tcPr>
            <w:tcW w:w="915" w:type="pct"/>
            <w:tcBorders>
              <w:top w:val="single" w:sz="4" w:space="0" w:color="auto"/>
              <w:left w:val="single" w:sz="4" w:space="0" w:color="auto"/>
              <w:bottom w:val="single" w:sz="4" w:space="0" w:color="auto"/>
              <w:right w:val="single" w:sz="4" w:space="0" w:color="auto"/>
            </w:tcBorders>
            <w:vAlign w:val="center"/>
          </w:tcPr>
          <w:p w14:paraId="50BD8E0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092" w:type="pct"/>
            <w:tcBorders>
              <w:top w:val="single" w:sz="4" w:space="0" w:color="auto"/>
              <w:left w:val="single" w:sz="4" w:space="0" w:color="auto"/>
              <w:bottom w:val="single" w:sz="4" w:space="0" w:color="auto"/>
              <w:right w:val="single" w:sz="4" w:space="0" w:color="auto"/>
            </w:tcBorders>
            <w:vAlign w:val="center"/>
          </w:tcPr>
          <w:p w14:paraId="12FE1B47"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3.01%</w:t>
            </w:r>
          </w:p>
        </w:tc>
        <w:tc>
          <w:tcPr>
            <w:tcW w:w="1024" w:type="pct"/>
            <w:tcBorders>
              <w:top w:val="single" w:sz="4" w:space="0" w:color="auto"/>
              <w:left w:val="single" w:sz="4" w:space="0" w:color="auto"/>
              <w:bottom w:val="single" w:sz="4" w:space="0" w:color="auto"/>
              <w:right w:val="single" w:sz="4" w:space="0" w:color="auto"/>
            </w:tcBorders>
            <w:vAlign w:val="center"/>
          </w:tcPr>
          <w:p w14:paraId="396934E1"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075" w:type="pct"/>
            <w:tcBorders>
              <w:top w:val="single" w:sz="4" w:space="0" w:color="auto"/>
              <w:left w:val="single" w:sz="4" w:space="0" w:color="auto"/>
              <w:bottom w:val="single" w:sz="4" w:space="0" w:color="auto"/>
              <w:right w:val="nil"/>
            </w:tcBorders>
            <w:vAlign w:val="center"/>
          </w:tcPr>
          <w:p w14:paraId="141E7D86"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3.55%</w:t>
            </w:r>
          </w:p>
        </w:tc>
      </w:tr>
      <w:tr w:rsidR="000A0ACD" w14:paraId="7FD6EFC3"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6520FA7C" w14:textId="77777777" w:rsidR="000A0ACD" w:rsidRDefault="00362A99">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财务部</w:t>
            </w:r>
          </w:p>
        </w:tc>
        <w:tc>
          <w:tcPr>
            <w:tcW w:w="915" w:type="pct"/>
            <w:tcBorders>
              <w:top w:val="single" w:sz="4" w:space="0" w:color="auto"/>
              <w:left w:val="single" w:sz="4" w:space="0" w:color="auto"/>
              <w:bottom w:val="single" w:sz="4" w:space="0" w:color="auto"/>
              <w:right w:val="single" w:sz="4" w:space="0" w:color="auto"/>
            </w:tcBorders>
            <w:vAlign w:val="center"/>
          </w:tcPr>
          <w:p w14:paraId="3D365D0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092" w:type="pct"/>
            <w:tcBorders>
              <w:top w:val="single" w:sz="4" w:space="0" w:color="auto"/>
              <w:left w:val="single" w:sz="4" w:space="0" w:color="auto"/>
              <w:bottom w:val="single" w:sz="4" w:space="0" w:color="auto"/>
              <w:right w:val="single" w:sz="4" w:space="0" w:color="auto"/>
            </w:tcBorders>
            <w:vAlign w:val="center"/>
          </w:tcPr>
          <w:p w14:paraId="699CE582"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3.61%</w:t>
            </w:r>
          </w:p>
        </w:tc>
        <w:tc>
          <w:tcPr>
            <w:tcW w:w="1024" w:type="pct"/>
            <w:tcBorders>
              <w:top w:val="single" w:sz="4" w:space="0" w:color="auto"/>
              <w:left w:val="single" w:sz="4" w:space="0" w:color="auto"/>
              <w:bottom w:val="single" w:sz="4" w:space="0" w:color="auto"/>
              <w:right w:val="single" w:sz="4" w:space="0" w:color="auto"/>
            </w:tcBorders>
            <w:vAlign w:val="center"/>
          </w:tcPr>
          <w:p w14:paraId="431D9CFE"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075" w:type="pct"/>
            <w:tcBorders>
              <w:top w:val="single" w:sz="4" w:space="0" w:color="auto"/>
              <w:left w:val="single" w:sz="4" w:space="0" w:color="auto"/>
              <w:bottom w:val="single" w:sz="4" w:space="0" w:color="auto"/>
              <w:right w:val="nil"/>
            </w:tcBorders>
            <w:vAlign w:val="center"/>
          </w:tcPr>
          <w:p w14:paraId="621CA446"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2.96%</w:t>
            </w:r>
          </w:p>
        </w:tc>
      </w:tr>
      <w:tr w:rsidR="000A0ACD" w14:paraId="673C1A31"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73B8FFFA" w14:textId="77777777" w:rsidR="000A0ACD" w:rsidRDefault="00362A99">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软件开发部</w:t>
            </w:r>
          </w:p>
        </w:tc>
        <w:tc>
          <w:tcPr>
            <w:tcW w:w="915" w:type="pct"/>
            <w:tcBorders>
              <w:top w:val="single" w:sz="4" w:space="0" w:color="auto"/>
              <w:left w:val="single" w:sz="4" w:space="0" w:color="auto"/>
              <w:bottom w:val="single" w:sz="4" w:space="0" w:color="auto"/>
              <w:right w:val="single" w:sz="4" w:space="0" w:color="auto"/>
            </w:tcBorders>
            <w:vAlign w:val="center"/>
          </w:tcPr>
          <w:p w14:paraId="1B4108A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092" w:type="pct"/>
            <w:tcBorders>
              <w:top w:val="single" w:sz="4" w:space="0" w:color="auto"/>
              <w:left w:val="single" w:sz="4" w:space="0" w:color="auto"/>
              <w:bottom w:val="single" w:sz="4" w:space="0" w:color="auto"/>
              <w:right w:val="single" w:sz="4" w:space="0" w:color="auto"/>
            </w:tcBorders>
            <w:vAlign w:val="center"/>
          </w:tcPr>
          <w:p w14:paraId="28F547EF"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4.22%</w:t>
            </w:r>
          </w:p>
        </w:tc>
        <w:tc>
          <w:tcPr>
            <w:tcW w:w="1024" w:type="pct"/>
            <w:tcBorders>
              <w:top w:val="single" w:sz="4" w:space="0" w:color="auto"/>
              <w:left w:val="single" w:sz="4" w:space="0" w:color="auto"/>
              <w:bottom w:val="single" w:sz="4" w:space="0" w:color="auto"/>
              <w:right w:val="single" w:sz="4" w:space="0" w:color="auto"/>
            </w:tcBorders>
            <w:vAlign w:val="center"/>
          </w:tcPr>
          <w:p w14:paraId="64D552D2"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075" w:type="pct"/>
            <w:tcBorders>
              <w:top w:val="single" w:sz="4" w:space="0" w:color="auto"/>
              <w:left w:val="single" w:sz="4" w:space="0" w:color="auto"/>
              <w:bottom w:val="single" w:sz="4" w:space="0" w:color="auto"/>
              <w:right w:val="nil"/>
            </w:tcBorders>
            <w:vAlign w:val="center"/>
          </w:tcPr>
          <w:p w14:paraId="66D72890"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4.73%</w:t>
            </w:r>
          </w:p>
        </w:tc>
      </w:tr>
      <w:tr w:rsidR="000A0ACD" w14:paraId="30EDCC6D"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07C5A9A3" w14:textId="77777777" w:rsidR="000A0ACD" w:rsidRDefault="00362A99">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业务规划部</w:t>
            </w:r>
          </w:p>
        </w:tc>
        <w:tc>
          <w:tcPr>
            <w:tcW w:w="915" w:type="pct"/>
            <w:tcBorders>
              <w:top w:val="single" w:sz="4" w:space="0" w:color="auto"/>
              <w:left w:val="single" w:sz="4" w:space="0" w:color="auto"/>
              <w:bottom w:val="single" w:sz="4" w:space="0" w:color="auto"/>
              <w:right w:val="single" w:sz="4" w:space="0" w:color="auto"/>
            </w:tcBorders>
            <w:vAlign w:val="center"/>
          </w:tcPr>
          <w:p w14:paraId="450991E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1092" w:type="pct"/>
            <w:tcBorders>
              <w:top w:val="single" w:sz="4" w:space="0" w:color="auto"/>
              <w:left w:val="single" w:sz="4" w:space="0" w:color="auto"/>
              <w:bottom w:val="single" w:sz="4" w:space="0" w:color="auto"/>
              <w:right w:val="single" w:sz="4" w:space="0" w:color="auto"/>
            </w:tcBorders>
            <w:vAlign w:val="center"/>
          </w:tcPr>
          <w:p w14:paraId="1B2F33E5"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6.63%</w:t>
            </w:r>
          </w:p>
        </w:tc>
        <w:tc>
          <w:tcPr>
            <w:tcW w:w="1024" w:type="pct"/>
            <w:tcBorders>
              <w:top w:val="single" w:sz="4" w:space="0" w:color="auto"/>
              <w:left w:val="single" w:sz="4" w:space="0" w:color="auto"/>
              <w:bottom w:val="single" w:sz="4" w:space="0" w:color="auto"/>
              <w:right w:val="single" w:sz="4" w:space="0" w:color="auto"/>
            </w:tcBorders>
            <w:vAlign w:val="center"/>
          </w:tcPr>
          <w:p w14:paraId="7CE69E05"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075" w:type="pct"/>
            <w:tcBorders>
              <w:top w:val="single" w:sz="4" w:space="0" w:color="auto"/>
              <w:left w:val="single" w:sz="4" w:space="0" w:color="auto"/>
              <w:bottom w:val="single" w:sz="4" w:space="0" w:color="auto"/>
              <w:right w:val="nil"/>
            </w:tcBorders>
            <w:vAlign w:val="center"/>
          </w:tcPr>
          <w:p w14:paraId="3649311C"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4.73%</w:t>
            </w:r>
          </w:p>
        </w:tc>
      </w:tr>
      <w:tr w:rsidR="000A0ACD" w14:paraId="10536F77"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2DC82F7D" w14:textId="77777777" w:rsidR="000A0ACD" w:rsidRDefault="00362A99">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悬挂链事业部</w:t>
            </w:r>
          </w:p>
        </w:tc>
        <w:tc>
          <w:tcPr>
            <w:tcW w:w="915" w:type="pct"/>
            <w:tcBorders>
              <w:top w:val="single" w:sz="4" w:space="0" w:color="auto"/>
              <w:left w:val="single" w:sz="4" w:space="0" w:color="auto"/>
              <w:bottom w:val="single" w:sz="4" w:space="0" w:color="auto"/>
              <w:right w:val="single" w:sz="4" w:space="0" w:color="auto"/>
            </w:tcBorders>
            <w:vAlign w:val="center"/>
          </w:tcPr>
          <w:p w14:paraId="73D2A99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26</w:t>
            </w:r>
          </w:p>
        </w:tc>
        <w:tc>
          <w:tcPr>
            <w:tcW w:w="1092" w:type="pct"/>
            <w:tcBorders>
              <w:top w:val="single" w:sz="4" w:space="0" w:color="auto"/>
              <w:left w:val="single" w:sz="4" w:space="0" w:color="auto"/>
              <w:bottom w:val="single" w:sz="4" w:space="0" w:color="auto"/>
              <w:right w:val="single" w:sz="4" w:space="0" w:color="auto"/>
            </w:tcBorders>
            <w:vAlign w:val="center"/>
          </w:tcPr>
          <w:p w14:paraId="73C12E97"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15.66%</w:t>
            </w:r>
          </w:p>
        </w:tc>
        <w:tc>
          <w:tcPr>
            <w:tcW w:w="1024" w:type="pct"/>
            <w:tcBorders>
              <w:top w:val="single" w:sz="4" w:space="0" w:color="auto"/>
              <w:left w:val="single" w:sz="4" w:space="0" w:color="auto"/>
              <w:bottom w:val="single" w:sz="4" w:space="0" w:color="auto"/>
              <w:right w:val="single" w:sz="4" w:space="0" w:color="auto"/>
            </w:tcBorders>
            <w:vAlign w:val="center"/>
          </w:tcPr>
          <w:p w14:paraId="55255928"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075" w:type="pct"/>
            <w:tcBorders>
              <w:top w:val="single" w:sz="4" w:space="0" w:color="auto"/>
              <w:left w:val="single" w:sz="4" w:space="0" w:color="auto"/>
              <w:bottom w:val="single" w:sz="4" w:space="0" w:color="auto"/>
              <w:right w:val="nil"/>
            </w:tcBorders>
            <w:vAlign w:val="center"/>
          </w:tcPr>
          <w:p w14:paraId="14DA2894"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0A0ACD" w14:paraId="066AFC20"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6BE7D675" w14:textId="77777777" w:rsidR="000A0ACD" w:rsidRDefault="00362A99">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技术部</w:t>
            </w:r>
          </w:p>
        </w:tc>
        <w:tc>
          <w:tcPr>
            <w:tcW w:w="915" w:type="pct"/>
            <w:tcBorders>
              <w:top w:val="single" w:sz="4" w:space="0" w:color="auto"/>
              <w:left w:val="single" w:sz="4" w:space="0" w:color="auto"/>
              <w:bottom w:val="single" w:sz="4" w:space="0" w:color="auto"/>
              <w:right w:val="single" w:sz="4" w:space="0" w:color="auto"/>
            </w:tcBorders>
            <w:vAlign w:val="center"/>
          </w:tcPr>
          <w:p w14:paraId="381B497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32</w:t>
            </w:r>
          </w:p>
        </w:tc>
        <w:tc>
          <w:tcPr>
            <w:tcW w:w="1092" w:type="pct"/>
            <w:tcBorders>
              <w:top w:val="single" w:sz="4" w:space="0" w:color="auto"/>
              <w:left w:val="single" w:sz="4" w:space="0" w:color="auto"/>
              <w:bottom w:val="single" w:sz="4" w:space="0" w:color="auto"/>
              <w:right w:val="single" w:sz="4" w:space="0" w:color="auto"/>
            </w:tcBorders>
            <w:vAlign w:val="center"/>
          </w:tcPr>
          <w:p w14:paraId="09DEBAA5"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19.28%</w:t>
            </w:r>
          </w:p>
        </w:tc>
        <w:tc>
          <w:tcPr>
            <w:tcW w:w="1024" w:type="pct"/>
            <w:tcBorders>
              <w:top w:val="single" w:sz="4" w:space="0" w:color="auto"/>
              <w:left w:val="single" w:sz="4" w:space="0" w:color="auto"/>
              <w:bottom w:val="single" w:sz="4" w:space="0" w:color="auto"/>
              <w:right w:val="single" w:sz="4" w:space="0" w:color="auto"/>
            </w:tcBorders>
            <w:vAlign w:val="center"/>
          </w:tcPr>
          <w:p w14:paraId="40AAFFF1"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40</w:t>
            </w:r>
          </w:p>
        </w:tc>
        <w:tc>
          <w:tcPr>
            <w:tcW w:w="1075" w:type="pct"/>
            <w:tcBorders>
              <w:top w:val="single" w:sz="4" w:space="0" w:color="auto"/>
              <w:left w:val="single" w:sz="4" w:space="0" w:color="auto"/>
              <w:bottom w:val="single" w:sz="4" w:space="0" w:color="auto"/>
              <w:right w:val="nil"/>
            </w:tcBorders>
            <w:vAlign w:val="center"/>
          </w:tcPr>
          <w:p w14:paraId="7B299CA2"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23.67%</w:t>
            </w:r>
          </w:p>
        </w:tc>
      </w:tr>
      <w:tr w:rsidR="000A0ACD" w14:paraId="4CD4F74D"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5157021C" w14:textId="77777777" w:rsidR="000A0ACD" w:rsidRDefault="00362A99">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生产部</w:t>
            </w:r>
          </w:p>
        </w:tc>
        <w:tc>
          <w:tcPr>
            <w:tcW w:w="915" w:type="pct"/>
            <w:tcBorders>
              <w:top w:val="single" w:sz="4" w:space="0" w:color="auto"/>
              <w:left w:val="single" w:sz="4" w:space="0" w:color="auto"/>
              <w:bottom w:val="single" w:sz="4" w:space="0" w:color="auto"/>
              <w:right w:val="single" w:sz="4" w:space="0" w:color="auto"/>
            </w:tcBorders>
            <w:vAlign w:val="center"/>
          </w:tcPr>
          <w:p w14:paraId="11F8C5A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76</w:t>
            </w:r>
          </w:p>
        </w:tc>
        <w:tc>
          <w:tcPr>
            <w:tcW w:w="1092" w:type="pct"/>
            <w:tcBorders>
              <w:top w:val="single" w:sz="4" w:space="0" w:color="auto"/>
              <w:left w:val="single" w:sz="4" w:space="0" w:color="auto"/>
              <w:bottom w:val="single" w:sz="4" w:space="0" w:color="auto"/>
              <w:right w:val="single" w:sz="4" w:space="0" w:color="auto"/>
            </w:tcBorders>
            <w:vAlign w:val="center"/>
          </w:tcPr>
          <w:p w14:paraId="0FC2D369" w14:textId="77777777" w:rsidR="000A0ACD" w:rsidRDefault="00362A99">
            <w:pPr>
              <w:jc w:val="right"/>
              <w:textAlignment w:val="center"/>
              <w:rPr>
                <w:rFonts w:ascii="Times New Roman" w:hAnsi="Times New Roman" w:cs="Times New Roman"/>
                <w:color w:val="000000"/>
                <w:sz w:val="21"/>
                <w:szCs w:val="21"/>
                <w:lang w:bidi="ar"/>
              </w:rPr>
            </w:pPr>
            <w:r>
              <w:rPr>
                <w:rFonts w:ascii="Times New Roman" w:hAnsi="Times New Roman" w:cs="Times New Roman"/>
                <w:color w:val="000000"/>
                <w:sz w:val="21"/>
                <w:szCs w:val="21"/>
              </w:rPr>
              <w:t>45.78%</w:t>
            </w:r>
          </w:p>
        </w:tc>
        <w:tc>
          <w:tcPr>
            <w:tcW w:w="1024" w:type="pct"/>
            <w:tcBorders>
              <w:top w:val="single" w:sz="4" w:space="0" w:color="auto"/>
              <w:left w:val="single" w:sz="4" w:space="0" w:color="auto"/>
              <w:bottom w:val="single" w:sz="4" w:space="0" w:color="auto"/>
              <w:right w:val="single" w:sz="4" w:space="0" w:color="auto"/>
            </w:tcBorders>
            <w:vAlign w:val="center"/>
          </w:tcPr>
          <w:p w14:paraId="40352AC7"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94</w:t>
            </w:r>
          </w:p>
        </w:tc>
        <w:tc>
          <w:tcPr>
            <w:tcW w:w="1075" w:type="pct"/>
            <w:tcBorders>
              <w:top w:val="single" w:sz="4" w:space="0" w:color="auto"/>
              <w:left w:val="single" w:sz="4" w:space="0" w:color="auto"/>
              <w:bottom w:val="single" w:sz="4" w:space="0" w:color="auto"/>
              <w:right w:val="nil"/>
            </w:tcBorders>
            <w:vAlign w:val="center"/>
          </w:tcPr>
          <w:p w14:paraId="52B6E0A5"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55.62%</w:t>
            </w:r>
          </w:p>
        </w:tc>
      </w:tr>
      <w:tr w:rsidR="000A0ACD" w14:paraId="52689E09" w14:textId="77777777">
        <w:trPr>
          <w:trHeight w:val="397"/>
          <w:jc w:val="center"/>
        </w:trPr>
        <w:tc>
          <w:tcPr>
            <w:tcW w:w="895" w:type="pct"/>
            <w:tcBorders>
              <w:top w:val="single" w:sz="4" w:space="0" w:color="auto"/>
              <w:left w:val="nil"/>
              <w:bottom w:val="single" w:sz="12" w:space="0" w:color="auto"/>
              <w:right w:val="single" w:sz="4" w:space="0" w:color="auto"/>
            </w:tcBorders>
            <w:vAlign w:val="center"/>
          </w:tcPr>
          <w:p w14:paraId="21202B41" w14:textId="77777777" w:rsidR="000A0ACD" w:rsidRDefault="00362A99">
            <w:pPr>
              <w:snapToGrid w:val="0"/>
              <w:jc w:val="center"/>
              <w:rPr>
                <w:rFonts w:ascii="Times New Roman" w:hAnsi="Times New Roman" w:cs="Times New Roman"/>
                <w:b/>
                <w:sz w:val="21"/>
                <w:szCs w:val="21"/>
              </w:rPr>
            </w:pPr>
            <w:r>
              <w:rPr>
                <w:rFonts w:ascii="Times New Roman" w:hAnsi="Times New Roman" w:cs="Times New Roman" w:hint="eastAsia"/>
                <w:b/>
                <w:color w:val="000000"/>
                <w:sz w:val="21"/>
                <w:szCs w:val="21"/>
              </w:rPr>
              <w:t>合计</w:t>
            </w:r>
          </w:p>
        </w:tc>
        <w:tc>
          <w:tcPr>
            <w:tcW w:w="915" w:type="pct"/>
            <w:tcBorders>
              <w:top w:val="single" w:sz="4" w:space="0" w:color="auto"/>
              <w:left w:val="single" w:sz="4" w:space="0" w:color="auto"/>
              <w:bottom w:val="single" w:sz="12" w:space="0" w:color="auto"/>
              <w:right w:val="single" w:sz="4" w:space="0" w:color="auto"/>
            </w:tcBorders>
            <w:vAlign w:val="center"/>
          </w:tcPr>
          <w:p w14:paraId="6A280DC4" w14:textId="77777777" w:rsidR="000A0ACD" w:rsidRDefault="00362A99">
            <w:pPr>
              <w:jc w:val="right"/>
              <w:rPr>
                <w:rFonts w:ascii="Times New Roman" w:hAnsi="Times New Roman" w:cs="Times New Roman"/>
                <w:b/>
                <w:color w:val="000000"/>
                <w:sz w:val="21"/>
                <w:szCs w:val="21"/>
              </w:rPr>
            </w:pPr>
            <w:r>
              <w:rPr>
                <w:rFonts w:ascii="Times New Roman" w:hAnsi="Times New Roman" w:cs="Times New Roman"/>
                <w:b/>
                <w:color w:val="000000"/>
                <w:sz w:val="21"/>
                <w:szCs w:val="21"/>
              </w:rPr>
              <w:t>166</w:t>
            </w:r>
          </w:p>
        </w:tc>
        <w:tc>
          <w:tcPr>
            <w:tcW w:w="1092" w:type="pct"/>
            <w:tcBorders>
              <w:top w:val="single" w:sz="4" w:space="0" w:color="auto"/>
              <w:left w:val="single" w:sz="4" w:space="0" w:color="auto"/>
              <w:bottom w:val="single" w:sz="12" w:space="0" w:color="auto"/>
              <w:right w:val="single" w:sz="4" w:space="0" w:color="auto"/>
            </w:tcBorders>
            <w:vAlign w:val="center"/>
          </w:tcPr>
          <w:p w14:paraId="1DA4F80A" w14:textId="77777777" w:rsidR="000A0ACD" w:rsidRDefault="00362A99">
            <w:pPr>
              <w:jc w:val="right"/>
              <w:rPr>
                <w:rFonts w:ascii="Times New Roman" w:hAnsi="Times New Roman" w:cs="Times New Roman"/>
                <w:b/>
                <w:color w:val="000000"/>
                <w:sz w:val="21"/>
                <w:szCs w:val="21"/>
              </w:rPr>
            </w:pPr>
            <w:r>
              <w:rPr>
                <w:rFonts w:ascii="Times New Roman" w:hAnsi="Times New Roman" w:cs="Times New Roman"/>
                <w:b/>
                <w:color w:val="000000"/>
                <w:sz w:val="21"/>
                <w:szCs w:val="21"/>
              </w:rPr>
              <w:t>100.00%</w:t>
            </w:r>
          </w:p>
        </w:tc>
        <w:tc>
          <w:tcPr>
            <w:tcW w:w="1024" w:type="pct"/>
            <w:tcBorders>
              <w:top w:val="single" w:sz="4" w:space="0" w:color="auto"/>
              <w:left w:val="single" w:sz="4" w:space="0" w:color="auto"/>
              <w:bottom w:val="single" w:sz="12" w:space="0" w:color="auto"/>
              <w:right w:val="single" w:sz="4" w:space="0" w:color="auto"/>
            </w:tcBorders>
            <w:vAlign w:val="center"/>
          </w:tcPr>
          <w:p w14:paraId="5CCC5752" w14:textId="77777777" w:rsidR="000A0ACD" w:rsidRDefault="00362A99">
            <w:pPr>
              <w:jc w:val="right"/>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169</w:t>
            </w:r>
          </w:p>
        </w:tc>
        <w:tc>
          <w:tcPr>
            <w:tcW w:w="1075" w:type="pct"/>
            <w:tcBorders>
              <w:top w:val="single" w:sz="4" w:space="0" w:color="auto"/>
              <w:left w:val="single" w:sz="4" w:space="0" w:color="auto"/>
              <w:bottom w:val="single" w:sz="12" w:space="0" w:color="auto"/>
              <w:right w:val="nil"/>
            </w:tcBorders>
            <w:vAlign w:val="center"/>
          </w:tcPr>
          <w:p w14:paraId="263ECDC4" w14:textId="77777777" w:rsidR="000A0ACD" w:rsidRDefault="00362A99">
            <w:pPr>
              <w:jc w:val="right"/>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r>
    </w:tbl>
    <w:p w14:paraId="1283A433" w14:textId="77777777" w:rsidR="000A0ACD" w:rsidRDefault="00362A99">
      <w:pPr>
        <w:pStyle w:val="affffd"/>
        <w:spacing w:beforeLines="0" w:line="240" w:lineRule="auto"/>
        <w:ind w:firstLineChars="0" w:firstLine="0"/>
        <w:rPr>
          <w:sz w:val="21"/>
          <w:szCs w:val="18"/>
        </w:rPr>
      </w:pPr>
      <w:bookmarkStart w:id="30" w:name="_Hlk63424652"/>
      <w:r>
        <w:rPr>
          <w:rFonts w:hint="eastAsia"/>
          <w:sz w:val="21"/>
          <w:szCs w:val="18"/>
        </w:rPr>
        <w:t>注：</w:t>
      </w:r>
      <w:r>
        <w:rPr>
          <w:sz w:val="21"/>
          <w:szCs w:val="18"/>
        </w:rPr>
        <w:t>2020</w:t>
      </w:r>
      <w:r>
        <w:rPr>
          <w:rFonts w:hint="eastAsia"/>
          <w:sz w:val="21"/>
          <w:szCs w:val="18"/>
        </w:rPr>
        <w:t>年</w:t>
      </w:r>
      <w:r>
        <w:rPr>
          <w:sz w:val="21"/>
          <w:szCs w:val="18"/>
        </w:rPr>
        <w:t>11</w:t>
      </w:r>
      <w:r>
        <w:rPr>
          <w:rFonts w:hint="eastAsia"/>
          <w:sz w:val="21"/>
          <w:szCs w:val="18"/>
        </w:rPr>
        <w:t>月，北洋天青进行部门调整，将悬挂链事业部人员调整至其他部门。</w:t>
      </w:r>
      <w:bookmarkEnd w:id="30"/>
    </w:p>
    <w:bookmarkEnd w:id="29"/>
    <w:p w14:paraId="5F3F05B4"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2</w:t>
      </w:r>
      <w:r>
        <w:rPr>
          <w:rFonts w:ascii="Times New Roman" w:hAnsi="Times New Roman" w:cs="Times New Roman" w:hint="eastAsia"/>
          <w:bCs/>
          <w:color w:val="000000"/>
          <w:szCs w:val="21"/>
          <w:lang w:val="en-GB"/>
        </w:rPr>
        <w:t>）教育程度情况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26"/>
        <w:gridCol w:w="1560"/>
        <w:gridCol w:w="1861"/>
        <w:gridCol w:w="1733"/>
        <w:gridCol w:w="1842"/>
      </w:tblGrid>
      <w:tr w:rsidR="000A0ACD" w14:paraId="5851C336" w14:textId="77777777">
        <w:trPr>
          <w:trHeight w:val="397"/>
          <w:tblHeader/>
          <w:jc w:val="center"/>
        </w:trPr>
        <w:tc>
          <w:tcPr>
            <w:tcW w:w="895" w:type="pct"/>
            <w:tcBorders>
              <w:top w:val="single" w:sz="12" w:space="0" w:color="auto"/>
              <w:left w:val="nil"/>
              <w:bottom w:val="single" w:sz="4" w:space="0" w:color="auto"/>
              <w:right w:val="single" w:sz="4" w:space="0" w:color="auto"/>
            </w:tcBorders>
            <w:vAlign w:val="center"/>
          </w:tcPr>
          <w:p w14:paraId="0FCAA7AE" w14:textId="77777777" w:rsidR="000A0ACD" w:rsidRDefault="00362A99">
            <w:pPr>
              <w:jc w:val="center"/>
              <w:rPr>
                <w:rFonts w:ascii="Times New Roman" w:hAnsi="Times New Roman" w:cs="Times New Roman"/>
                <w:b/>
                <w:sz w:val="21"/>
                <w:szCs w:val="21"/>
              </w:rPr>
            </w:pPr>
            <w:r>
              <w:rPr>
                <w:rFonts w:ascii="Times New Roman" w:hAnsi="Times New Roman" w:cs="Times New Roman" w:hint="eastAsia"/>
                <w:b/>
                <w:sz w:val="21"/>
                <w:szCs w:val="21"/>
              </w:rPr>
              <w:t>学历</w:t>
            </w:r>
          </w:p>
        </w:tc>
        <w:tc>
          <w:tcPr>
            <w:tcW w:w="915" w:type="pct"/>
            <w:tcBorders>
              <w:top w:val="single" w:sz="12" w:space="0" w:color="auto"/>
              <w:left w:val="single" w:sz="4" w:space="0" w:color="auto"/>
              <w:bottom w:val="single" w:sz="4" w:space="0" w:color="auto"/>
              <w:right w:val="single" w:sz="4" w:space="0" w:color="auto"/>
            </w:tcBorders>
            <w:vAlign w:val="center"/>
          </w:tcPr>
          <w:p w14:paraId="6C8F7727" w14:textId="77777777" w:rsidR="000A0ACD" w:rsidRDefault="00362A99">
            <w:pPr>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日人数</w:t>
            </w:r>
          </w:p>
        </w:tc>
        <w:tc>
          <w:tcPr>
            <w:tcW w:w="1092" w:type="pct"/>
            <w:tcBorders>
              <w:top w:val="single" w:sz="12" w:space="0" w:color="auto"/>
              <w:left w:val="single" w:sz="4" w:space="0" w:color="auto"/>
              <w:bottom w:val="single" w:sz="4" w:space="0" w:color="auto"/>
              <w:right w:val="single" w:sz="4" w:space="0" w:color="auto"/>
            </w:tcBorders>
            <w:vAlign w:val="center"/>
          </w:tcPr>
          <w:p w14:paraId="56DB152B" w14:textId="77777777" w:rsidR="000A0ACD" w:rsidRDefault="00362A99">
            <w:pPr>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日占员工总数比例</w:t>
            </w:r>
          </w:p>
        </w:tc>
        <w:tc>
          <w:tcPr>
            <w:tcW w:w="1017" w:type="pct"/>
            <w:tcBorders>
              <w:top w:val="single" w:sz="12" w:space="0" w:color="auto"/>
              <w:left w:val="single" w:sz="4" w:space="0" w:color="auto"/>
              <w:bottom w:val="single" w:sz="4" w:space="0" w:color="auto"/>
              <w:right w:val="single" w:sz="4" w:space="0" w:color="auto"/>
            </w:tcBorders>
            <w:vAlign w:val="center"/>
          </w:tcPr>
          <w:p w14:paraId="2DC7F228" w14:textId="77777777" w:rsidR="000A0ACD" w:rsidRDefault="00362A99">
            <w:pPr>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日人数</w:t>
            </w:r>
          </w:p>
        </w:tc>
        <w:tc>
          <w:tcPr>
            <w:tcW w:w="1081" w:type="pct"/>
            <w:tcBorders>
              <w:top w:val="single" w:sz="12" w:space="0" w:color="auto"/>
              <w:left w:val="single" w:sz="4" w:space="0" w:color="auto"/>
              <w:bottom w:val="single" w:sz="4" w:space="0" w:color="auto"/>
              <w:right w:val="nil"/>
            </w:tcBorders>
            <w:vAlign w:val="center"/>
          </w:tcPr>
          <w:p w14:paraId="6AA1B2B5" w14:textId="77777777" w:rsidR="000A0ACD" w:rsidRDefault="00362A99">
            <w:pPr>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日占员工总数比例</w:t>
            </w:r>
          </w:p>
        </w:tc>
      </w:tr>
      <w:tr w:rsidR="000A0ACD" w14:paraId="22E44346"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53BAD95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硕士及以上</w:t>
            </w:r>
          </w:p>
        </w:tc>
        <w:tc>
          <w:tcPr>
            <w:tcW w:w="915" w:type="pct"/>
            <w:tcBorders>
              <w:top w:val="single" w:sz="4" w:space="0" w:color="auto"/>
              <w:left w:val="single" w:sz="4" w:space="0" w:color="auto"/>
              <w:bottom w:val="single" w:sz="4" w:space="0" w:color="auto"/>
              <w:right w:val="single" w:sz="4" w:space="0" w:color="auto"/>
            </w:tcBorders>
            <w:vAlign w:val="center"/>
          </w:tcPr>
          <w:p w14:paraId="422FC51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092" w:type="pct"/>
            <w:tcBorders>
              <w:top w:val="single" w:sz="4" w:space="0" w:color="auto"/>
              <w:left w:val="single" w:sz="4" w:space="0" w:color="auto"/>
              <w:bottom w:val="single" w:sz="4" w:space="0" w:color="auto"/>
              <w:right w:val="single" w:sz="4" w:space="0" w:color="auto"/>
            </w:tcBorders>
            <w:vAlign w:val="center"/>
          </w:tcPr>
          <w:p w14:paraId="3DA8632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0.60%</w:t>
            </w:r>
          </w:p>
        </w:tc>
        <w:tc>
          <w:tcPr>
            <w:tcW w:w="1017" w:type="pct"/>
            <w:tcBorders>
              <w:top w:val="single" w:sz="4" w:space="0" w:color="auto"/>
              <w:left w:val="single" w:sz="4" w:space="0" w:color="auto"/>
              <w:bottom w:val="single" w:sz="4" w:space="0" w:color="auto"/>
              <w:right w:val="single" w:sz="4" w:space="0" w:color="auto"/>
            </w:tcBorders>
            <w:vAlign w:val="center"/>
          </w:tcPr>
          <w:p w14:paraId="7FF00B8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081" w:type="pct"/>
            <w:tcBorders>
              <w:top w:val="single" w:sz="4" w:space="0" w:color="auto"/>
              <w:left w:val="single" w:sz="4" w:space="0" w:color="auto"/>
              <w:bottom w:val="single" w:sz="4" w:space="0" w:color="auto"/>
              <w:right w:val="nil"/>
            </w:tcBorders>
            <w:vAlign w:val="center"/>
          </w:tcPr>
          <w:p w14:paraId="36F6533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0.59%</w:t>
            </w:r>
          </w:p>
        </w:tc>
      </w:tr>
      <w:tr w:rsidR="000A0ACD" w14:paraId="67ECC397"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29F58E6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大学本科</w:t>
            </w:r>
          </w:p>
        </w:tc>
        <w:tc>
          <w:tcPr>
            <w:tcW w:w="915" w:type="pct"/>
            <w:tcBorders>
              <w:top w:val="single" w:sz="4" w:space="0" w:color="auto"/>
              <w:left w:val="single" w:sz="4" w:space="0" w:color="auto"/>
              <w:bottom w:val="single" w:sz="4" w:space="0" w:color="auto"/>
              <w:right w:val="single" w:sz="4" w:space="0" w:color="auto"/>
            </w:tcBorders>
            <w:vAlign w:val="center"/>
          </w:tcPr>
          <w:p w14:paraId="4C65B5B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30</w:t>
            </w:r>
          </w:p>
        </w:tc>
        <w:tc>
          <w:tcPr>
            <w:tcW w:w="1092" w:type="pct"/>
            <w:tcBorders>
              <w:top w:val="single" w:sz="4" w:space="0" w:color="auto"/>
              <w:left w:val="single" w:sz="4" w:space="0" w:color="auto"/>
              <w:bottom w:val="single" w:sz="4" w:space="0" w:color="auto"/>
              <w:right w:val="single" w:sz="4" w:space="0" w:color="auto"/>
            </w:tcBorders>
            <w:vAlign w:val="center"/>
          </w:tcPr>
          <w:p w14:paraId="74F8868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18.07%</w:t>
            </w:r>
          </w:p>
        </w:tc>
        <w:tc>
          <w:tcPr>
            <w:tcW w:w="1017" w:type="pct"/>
            <w:tcBorders>
              <w:top w:val="single" w:sz="4" w:space="0" w:color="auto"/>
              <w:left w:val="single" w:sz="4" w:space="0" w:color="auto"/>
              <w:bottom w:val="single" w:sz="4" w:space="0" w:color="auto"/>
              <w:right w:val="single" w:sz="4" w:space="0" w:color="auto"/>
            </w:tcBorders>
            <w:vAlign w:val="center"/>
          </w:tcPr>
          <w:p w14:paraId="7D4D64C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31</w:t>
            </w:r>
          </w:p>
        </w:tc>
        <w:tc>
          <w:tcPr>
            <w:tcW w:w="1081" w:type="pct"/>
            <w:tcBorders>
              <w:top w:val="single" w:sz="4" w:space="0" w:color="auto"/>
              <w:left w:val="single" w:sz="4" w:space="0" w:color="auto"/>
              <w:bottom w:val="single" w:sz="4" w:space="0" w:color="auto"/>
              <w:right w:val="nil"/>
            </w:tcBorders>
            <w:vAlign w:val="center"/>
          </w:tcPr>
          <w:p w14:paraId="1D1FCC4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18.34%</w:t>
            </w:r>
          </w:p>
        </w:tc>
      </w:tr>
      <w:tr w:rsidR="000A0ACD" w14:paraId="54887DBE"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0118651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大学专科</w:t>
            </w:r>
          </w:p>
        </w:tc>
        <w:tc>
          <w:tcPr>
            <w:tcW w:w="915" w:type="pct"/>
            <w:tcBorders>
              <w:top w:val="single" w:sz="4" w:space="0" w:color="auto"/>
              <w:left w:val="single" w:sz="4" w:space="0" w:color="auto"/>
              <w:bottom w:val="single" w:sz="4" w:space="0" w:color="auto"/>
              <w:right w:val="single" w:sz="4" w:space="0" w:color="auto"/>
            </w:tcBorders>
            <w:vAlign w:val="center"/>
          </w:tcPr>
          <w:p w14:paraId="1FEB69D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59</w:t>
            </w:r>
          </w:p>
        </w:tc>
        <w:tc>
          <w:tcPr>
            <w:tcW w:w="1092" w:type="pct"/>
            <w:tcBorders>
              <w:top w:val="single" w:sz="4" w:space="0" w:color="auto"/>
              <w:left w:val="single" w:sz="4" w:space="0" w:color="auto"/>
              <w:bottom w:val="single" w:sz="4" w:space="0" w:color="auto"/>
              <w:right w:val="single" w:sz="4" w:space="0" w:color="auto"/>
            </w:tcBorders>
            <w:vAlign w:val="center"/>
          </w:tcPr>
          <w:p w14:paraId="25483D5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35.54%</w:t>
            </w:r>
          </w:p>
        </w:tc>
        <w:tc>
          <w:tcPr>
            <w:tcW w:w="1017" w:type="pct"/>
            <w:tcBorders>
              <w:top w:val="single" w:sz="4" w:space="0" w:color="auto"/>
              <w:left w:val="single" w:sz="4" w:space="0" w:color="auto"/>
              <w:bottom w:val="single" w:sz="4" w:space="0" w:color="auto"/>
              <w:right w:val="single" w:sz="4" w:space="0" w:color="auto"/>
            </w:tcBorders>
            <w:vAlign w:val="center"/>
          </w:tcPr>
          <w:p w14:paraId="5F65141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63</w:t>
            </w:r>
          </w:p>
        </w:tc>
        <w:tc>
          <w:tcPr>
            <w:tcW w:w="1081" w:type="pct"/>
            <w:tcBorders>
              <w:top w:val="single" w:sz="4" w:space="0" w:color="auto"/>
              <w:left w:val="single" w:sz="4" w:space="0" w:color="auto"/>
              <w:bottom w:val="single" w:sz="4" w:space="0" w:color="auto"/>
              <w:right w:val="nil"/>
            </w:tcBorders>
            <w:vAlign w:val="center"/>
          </w:tcPr>
          <w:p w14:paraId="43C0BFB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37.28%</w:t>
            </w:r>
          </w:p>
        </w:tc>
      </w:tr>
      <w:tr w:rsidR="000A0ACD" w14:paraId="7F330E4E"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134CB1D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中专及以下</w:t>
            </w:r>
          </w:p>
        </w:tc>
        <w:tc>
          <w:tcPr>
            <w:tcW w:w="915" w:type="pct"/>
            <w:tcBorders>
              <w:top w:val="single" w:sz="4" w:space="0" w:color="auto"/>
              <w:left w:val="single" w:sz="4" w:space="0" w:color="auto"/>
              <w:bottom w:val="single" w:sz="4" w:space="0" w:color="auto"/>
              <w:right w:val="single" w:sz="4" w:space="0" w:color="auto"/>
            </w:tcBorders>
            <w:vAlign w:val="center"/>
          </w:tcPr>
          <w:p w14:paraId="004EB04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76</w:t>
            </w:r>
          </w:p>
        </w:tc>
        <w:tc>
          <w:tcPr>
            <w:tcW w:w="1092" w:type="pct"/>
            <w:tcBorders>
              <w:top w:val="single" w:sz="4" w:space="0" w:color="auto"/>
              <w:left w:val="single" w:sz="4" w:space="0" w:color="auto"/>
              <w:bottom w:val="single" w:sz="4" w:space="0" w:color="auto"/>
              <w:right w:val="single" w:sz="4" w:space="0" w:color="auto"/>
            </w:tcBorders>
            <w:vAlign w:val="center"/>
          </w:tcPr>
          <w:p w14:paraId="65CDC90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45.78%</w:t>
            </w:r>
          </w:p>
        </w:tc>
        <w:tc>
          <w:tcPr>
            <w:tcW w:w="1017" w:type="pct"/>
            <w:tcBorders>
              <w:top w:val="single" w:sz="4" w:space="0" w:color="auto"/>
              <w:left w:val="single" w:sz="4" w:space="0" w:color="auto"/>
              <w:bottom w:val="single" w:sz="4" w:space="0" w:color="auto"/>
              <w:right w:val="single" w:sz="4" w:space="0" w:color="auto"/>
            </w:tcBorders>
            <w:vAlign w:val="center"/>
          </w:tcPr>
          <w:p w14:paraId="22A693C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74</w:t>
            </w:r>
          </w:p>
        </w:tc>
        <w:tc>
          <w:tcPr>
            <w:tcW w:w="1081" w:type="pct"/>
            <w:tcBorders>
              <w:top w:val="single" w:sz="4" w:space="0" w:color="auto"/>
              <w:left w:val="single" w:sz="4" w:space="0" w:color="auto"/>
              <w:bottom w:val="single" w:sz="4" w:space="0" w:color="auto"/>
              <w:right w:val="nil"/>
            </w:tcBorders>
            <w:vAlign w:val="center"/>
          </w:tcPr>
          <w:p w14:paraId="6B7EEC1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43.79%</w:t>
            </w:r>
          </w:p>
        </w:tc>
      </w:tr>
      <w:tr w:rsidR="000A0ACD" w14:paraId="13D80963" w14:textId="77777777">
        <w:trPr>
          <w:trHeight w:val="397"/>
          <w:jc w:val="center"/>
        </w:trPr>
        <w:tc>
          <w:tcPr>
            <w:tcW w:w="895" w:type="pct"/>
            <w:tcBorders>
              <w:top w:val="single" w:sz="4" w:space="0" w:color="auto"/>
              <w:left w:val="nil"/>
              <w:bottom w:val="single" w:sz="12" w:space="0" w:color="auto"/>
              <w:right w:val="single" w:sz="4" w:space="0" w:color="auto"/>
            </w:tcBorders>
            <w:vAlign w:val="center"/>
          </w:tcPr>
          <w:p w14:paraId="64B8C723"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color w:val="000000"/>
                <w:sz w:val="21"/>
                <w:szCs w:val="21"/>
              </w:rPr>
              <w:t>合计</w:t>
            </w:r>
          </w:p>
        </w:tc>
        <w:tc>
          <w:tcPr>
            <w:tcW w:w="915" w:type="pct"/>
            <w:tcBorders>
              <w:top w:val="single" w:sz="4" w:space="0" w:color="auto"/>
              <w:left w:val="single" w:sz="4" w:space="0" w:color="auto"/>
              <w:bottom w:val="single" w:sz="12" w:space="0" w:color="auto"/>
              <w:right w:val="single" w:sz="4" w:space="0" w:color="auto"/>
            </w:tcBorders>
            <w:vAlign w:val="center"/>
          </w:tcPr>
          <w:p w14:paraId="1FBC6CD9" w14:textId="77777777" w:rsidR="000A0ACD" w:rsidRDefault="00362A99">
            <w:pPr>
              <w:jc w:val="right"/>
              <w:rPr>
                <w:rFonts w:ascii="Times New Roman" w:hAnsi="Times New Roman" w:cs="Times New Roman"/>
                <w:b/>
                <w:color w:val="000000"/>
                <w:sz w:val="21"/>
                <w:szCs w:val="21"/>
              </w:rPr>
            </w:pPr>
            <w:r>
              <w:rPr>
                <w:rFonts w:ascii="Times New Roman" w:hAnsi="Times New Roman" w:cs="Times New Roman"/>
                <w:b/>
                <w:color w:val="000000"/>
                <w:sz w:val="21"/>
                <w:szCs w:val="21"/>
              </w:rPr>
              <w:t>166</w:t>
            </w:r>
          </w:p>
        </w:tc>
        <w:tc>
          <w:tcPr>
            <w:tcW w:w="1092" w:type="pct"/>
            <w:tcBorders>
              <w:top w:val="single" w:sz="4" w:space="0" w:color="auto"/>
              <w:left w:val="single" w:sz="4" w:space="0" w:color="auto"/>
              <w:bottom w:val="single" w:sz="12" w:space="0" w:color="auto"/>
              <w:right w:val="single" w:sz="4" w:space="0" w:color="auto"/>
            </w:tcBorders>
            <w:vAlign w:val="center"/>
          </w:tcPr>
          <w:p w14:paraId="1AA88039"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c>
          <w:tcPr>
            <w:tcW w:w="1017" w:type="pct"/>
            <w:tcBorders>
              <w:top w:val="single" w:sz="4" w:space="0" w:color="auto"/>
              <w:left w:val="single" w:sz="4" w:space="0" w:color="auto"/>
              <w:bottom w:val="single" w:sz="12" w:space="0" w:color="auto"/>
              <w:right w:val="single" w:sz="4" w:space="0" w:color="auto"/>
            </w:tcBorders>
            <w:vAlign w:val="center"/>
          </w:tcPr>
          <w:p w14:paraId="4D4BD7CF"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169</w:t>
            </w:r>
          </w:p>
        </w:tc>
        <w:tc>
          <w:tcPr>
            <w:tcW w:w="1081" w:type="pct"/>
            <w:tcBorders>
              <w:top w:val="single" w:sz="4" w:space="0" w:color="auto"/>
              <w:left w:val="single" w:sz="4" w:space="0" w:color="auto"/>
              <w:bottom w:val="single" w:sz="12" w:space="0" w:color="auto"/>
              <w:right w:val="nil"/>
            </w:tcBorders>
            <w:vAlign w:val="center"/>
          </w:tcPr>
          <w:p w14:paraId="71A2F684"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r>
    </w:tbl>
    <w:p w14:paraId="61ECCFF0"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3</w:t>
      </w:r>
      <w:r>
        <w:rPr>
          <w:rFonts w:ascii="Times New Roman" w:hAnsi="Times New Roman" w:cs="Times New Roman" w:hint="eastAsia"/>
          <w:bCs/>
          <w:color w:val="000000"/>
          <w:szCs w:val="21"/>
          <w:lang w:val="en-GB"/>
        </w:rPr>
        <w:t>）标的资产技术人员数量和学历情况</w:t>
      </w:r>
    </w:p>
    <w:tbl>
      <w:tblPr>
        <w:tblW w:w="5000" w:type="pct"/>
        <w:tblLook w:val="04A0" w:firstRow="1" w:lastRow="0" w:firstColumn="1" w:lastColumn="0" w:noHBand="0" w:noVBand="1"/>
      </w:tblPr>
      <w:tblGrid>
        <w:gridCol w:w="1476"/>
        <w:gridCol w:w="1686"/>
        <w:gridCol w:w="1674"/>
        <w:gridCol w:w="1004"/>
        <w:gridCol w:w="1678"/>
        <w:gridCol w:w="1004"/>
      </w:tblGrid>
      <w:tr w:rsidR="000A0ACD" w14:paraId="7CE92354" w14:textId="77777777">
        <w:trPr>
          <w:trHeight w:val="397"/>
          <w:tblHeader/>
        </w:trPr>
        <w:tc>
          <w:tcPr>
            <w:tcW w:w="1825" w:type="pct"/>
            <w:gridSpan w:val="2"/>
            <w:vMerge w:val="restart"/>
            <w:tcBorders>
              <w:top w:val="single" w:sz="12" w:space="0" w:color="auto"/>
              <w:left w:val="nil"/>
              <w:bottom w:val="single" w:sz="4" w:space="0" w:color="auto"/>
              <w:right w:val="single" w:sz="4" w:space="0" w:color="auto"/>
            </w:tcBorders>
            <w:noWrap/>
            <w:vAlign w:val="center"/>
          </w:tcPr>
          <w:p w14:paraId="54F21423"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1586" w:type="pct"/>
            <w:gridSpan w:val="2"/>
            <w:tcBorders>
              <w:top w:val="single" w:sz="12" w:space="0" w:color="auto"/>
              <w:left w:val="nil"/>
              <w:bottom w:val="single" w:sz="4" w:space="0" w:color="auto"/>
              <w:right w:val="single" w:sz="4" w:space="0" w:color="auto"/>
            </w:tcBorders>
            <w:noWrap/>
            <w:vAlign w:val="center"/>
          </w:tcPr>
          <w:p w14:paraId="65FB5668"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w:t>
            </w:r>
          </w:p>
        </w:tc>
        <w:tc>
          <w:tcPr>
            <w:tcW w:w="1589" w:type="pct"/>
            <w:gridSpan w:val="2"/>
            <w:tcBorders>
              <w:top w:val="single" w:sz="12" w:space="0" w:color="auto"/>
              <w:left w:val="nil"/>
              <w:bottom w:val="single" w:sz="4" w:space="0" w:color="auto"/>
              <w:right w:val="nil"/>
            </w:tcBorders>
            <w:noWrap/>
            <w:vAlign w:val="center"/>
          </w:tcPr>
          <w:p w14:paraId="762ECFDC"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w:t>
            </w:r>
          </w:p>
        </w:tc>
      </w:tr>
      <w:tr w:rsidR="000A0ACD" w14:paraId="07DB4896" w14:textId="77777777">
        <w:trPr>
          <w:trHeight w:val="397"/>
          <w:tblHeader/>
        </w:trPr>
        <w:tc>
          <w:tcPr>
            <w:tcW w:w="0" w:type="auto"/>
            <w:gridSpan w:val="2"/>
            <w:vMerge/>
            <w:tcBorders>
              <w:top w:val="single" w:sz="12" w:space="0" w:color="auto"/>
              <w:left w:val="nil"/>
              <w:bottom w:val="single" w:sz="4" w:space="0" w:color="auto"/>
              <w:right w:val="single" w:sz="4" w:space="0" w:color="auto"/>
            </w:tcBorders>
            <w:vAlign w:val="center"/>
          </w:tcPr>
          <w:p w14:paraId="16FD49D3" w14:textId="77777777" w:rsidR="000A0ACD" w:rsidRDefault="000A0ACD">
            <w:pPr>
              <w:rPr>
                <w:rFonts w:ascii="Times New Roman" w:hAnsi="Times New Roman" w:cs="Times New Roman"/>
                <w:b/>
                <w:bCs/>
                <w:sz w:val="21"/>
                <w:szCs w:val="21"/>
              </w:rPr>
            </w:pPr>
          </w:p>
        </w:tc>
        <w:tc>
          <w:tcPr>
            <w:tcW w:w="1005" w:type="pct"/>
            <w:tcBorders>
              <w:top w:val="nil"/>
              <w:left w:val="nil"/>
              <w:bottom w:val="single" w:sz="4" w:space="0" w:color="auto"/>
              <w:right w:val="single" w:sz="4" w:space="0" w:color="auto"/>
            </w:tcBorders>
            <w:noWrap/>
            <w:vAlign w:val="center"/>
          </w:tcPr>
          <w:p w14:paraId="0E05E452"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人数</w:t>
            </w:r>
          </w:p>
        </w:tc>
        <w:tc>
          <w:tcPr>
            <w:tcW w:w="582" w:type="pct"/>
            <w:tcBorders>
              <w:top w:val="nil"/>
              <w:left w:val="nil"/>
              <w:bottom w:val="single" w:sz="4" w:space="0" w:color="auto"/>
              <w:right w:val="single" w:sz="4" w:space="0" w:color="auto"/>
            </w:tcBorders>
            <w:noWrap/>
            <w:vAlign w:val="center"/>
          </w:tcPr>
          <w:p w14:paraId="1314C7E7"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占比</w:t>
            </w:r>
          </w:p>
        </w:tc>
        <w:tc>
          <w:tcPr>
            <w:tcW w:w="1007" w:type="pct"/>
            <w:tcBorders>
              <w:top w:val="nil"/>
              <w:left w:val="nil"/>
              <w:bottom w:val="single" w:sz="4" w:space="0" w:color="auto"/>
              <w:right w:val="single" w:sz="4" w:space="0" w:color="auto"/>
            </w:tcBorders>
            <w:noWrap/>
            <w:vAlign w:val="center"/>
          </w:tcPr>
          <w:p w14:paraId="1F459F8B"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人数</w:t>
            </w:r>
          </w:p>
        </w:tc>
        <w:tc>
          <w:tcPr>
            <w:tcW w:w="582" w:type="pct"/>
            <w:tcBorders>
              <w:top w:val="nil"/>
              <w:left w:val="nil"/>
              <w:bottom w:val="single" w:sz="4" w:space="0" w:color="auto"/>
              <w:right w:val="nil"/>
            </w:tcBorders>
            <w:noWrap/>
            <w:vAlign w:val="center"/>
          </w:tcPr>
          <w:p w14:paraId="4D065AEE"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占比</w:t>
            </w:r>
          </w:p>
        </w:tc>
      </w:tr>
      <w:tr w:rsidR="000A0ACD" w14:paraId="22EEB46A" w14:textId="77777777">
        <w:trPr>
          <w:trHeight w:val="397"/>
        </w:trPr>
        <w:tc>
          <w:tcPr>
            <w:tcW w:w="852" w:type="pct"/>
            <w:vMerge w:val="restart"/>
            <w:tcBorders>
              <w:top w:val="nil"/>
              <w:left w:val="nil"/>
              <w:bottom w:val="single" w:sz="4" w:space="0" w:color="auto"/>
              <w:right w:val="single" w:sz="4" w:space="0" w:color="auto"/>
            </w:tcBorders>
            <w:noWrap/>
            <w:vAlign w:val="center"/>
          </w:tcPr>
          <w:p w14:paraId="027C5A18"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业务部</w:t>
            </w:r>
          </w:p>
        </w:tc>
        <w:tc>
          <w:tcPr>
            <w:tcW w:w="973" w:type="pct"/>
            <w:tcBorders>
              <w:top w:val="nil"/>
              <w:left w:val="nil"/>
              <w:bottom w:val="single" w:sz="4" w:space="0" w:color="auto"/>
              <w:right w:val="single" w:sz="4" w:space="0" w:color="auto"/>
            </w:tcBorders>
            <w:noWrap/>
            <w:vAlign w:val="center"/>
          </w:tcPr>
          <w:p w14:paraId="7798F5A6"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4214E495"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w:t>
            </w:r>
          </w:p>
        </w:tc>
        <w:tc>
          <w:tcPr>
            <w:tcW w:w="582" w:type="pct"/>
            <w:tcBorders>
              <w:top w:val="nil"/>
              <w:left w:val="nil"/>
              <w:bottom w:val="single" w:sz="4" w:space="0" w:color="auto"/>
              <w:right w:val="single" w:sz="4" w:space="0" w:color="auto"/>
            </w:tcBorders>
            <w:noWrap/>
            <w:vAlign w:val="center"/>
          </w:tcPr>
          <w:p w14:paraId="3691FBAD"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4.55%</w:t>
            </w:r>
          </w:p>
        </w:tc>
        <w:tc>
          <w:tcPr>
            <w:tcW w:w="1007" w:type="pct"/>
            <w:tcBorders>
              <w:top w:val="nil"/>
              <w:left w:val="nil"/>
              <w:bottom w:val="single" w:sz="4" w:space="0" w:color="auto"/>
              <w:right w:val="single" w:sz="4" w:space="0" w:color="auto"/>
            </w:tcBorders>
            <w:noWrap/>
            <w:vAlign w:val="center"/>
          </w:tcPr>
          <w:p w14:paraId="1970E3A2"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1AD971C8"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r>
      <w:tr w:rsidR="000A0ACD" w14:paraId="6CCE2CE8" w14:textId="77777777">
        <w:trPr>
          <w:trHeight w:val="397"/>
        </w:trPr>
        <w:tc>
          <w:tcPr>
            <w:tcW w:w="0" w:type="auto"/>
            <w:vMerge/>
            <w:tcBorders>
              <w:top w:val="nil"/>
              <w:left w:val="nil"/>
              <w:bottom w:val="single" w:sz="4" w:space="0" w:color="auto"/>
              <w:right w:val="single" w:sz="4" w:space="0" w:color="auto"/>
            </w:tcBorders>
            <w:vAlign w:val="center"/>
          </w:tcPr>
          <w:p w14:paraId="3A8C072C" w14:textId="77777777" w:rsidR="000A0ACD" w:rsidRDefault="000A0ACD">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28FBF376"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64B7AC7D"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single" w:sz="4" w:space="0" w:color="auto"/>
            </w:tcBorders>
            <w:noWrap/>
            <w:vAlign w:val="center"/>
          </w:tcPr>
          <w:p w14:paraId="75612135"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1007" w:type="pct"/>
            <w:tcBorders>
              <w:top w:val="nil"/>
              <w:left w:val="nil"/>
              <w:bottom w:val="single" w:sz="4" w:space="0" w:color="auto"/>
              <w:right w:val="single" w:sz="4" w:space="0" w:color="auto"/>
            </w:tcBorders>
            <w:noWrap/>
            <w:vAlign w:val="center"/>
          </w:tcPr>
          <w:p w14:paraId="2A43DA61"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081D72EA"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r>
      <w:tr w:rsidR="000A0ACD" w14:paraId="215514D8" w14:textId="77777777">
        <w:trPr>
          <w:trHeight w:val="397"/>
        </w:trPr>
        <w:tc>
          <w:tcPr>
            <w:tcW w:w="852" w:type="pct"/>
            <w:vMerge w:val="restart"/>
            <w:tcBorders>
              <w:top w:val="nil"/>
              <w:left w:val="nil"/>
              <w:bottom w:val="single" w:sz="4" w:space="0" w:color="auto"/>
              <w:right w:val="single" w:sz="4" w:space="0" w:color="auto"/>
            </w:tcBorders>
            <w:noWrap/>
            <w:vAlign w:val="center"/>
          </w:tcPr>
          <w:p w14:paraId="3C9DBF6F"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悬挂链事业部</w:t>
            </w:r>
          </w:p>
        </w:tc>
        <w:tc>
          <w:tcPr>
            <w:tcW w:w="973" w:type="pct"/>
            <w:tcBorders>
              <w:top w:val="nil"/>
              <w:left w:val="nil"/>
              <w:bottom w:val="single" w:sz="4" w:space="0" w:color="auto"/>
              <w:right w:val="single" w:sz="4" w:space="0" w:color="auto"/>
            </w:tcBorders>
            <w:noWrap/>
            <w:vAlign w:val="center"/>
          </w:tcPr>
          <w:p w14:paraId="0AC5E89C"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65794FA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w:t>
            </w:r>
          </w:p>
        </w:tc>
        <w:tc>
          <w:tcPr>
            <w:tcW w:w="582" w:type="pct"/>
            <w:tcBorders>
              <w:top w:val="nil"/>
              <w:left w:val="nil"/>
              <w:bottom w:val="single" w:sz="4" w:space="0" w:color="auto"/>
              <w:right w:val="single" w:sz="4" w:space="0" w:color="auto"/>
            </w:tcBorders>
            <w:noWrap/>
            <w:vAlign w:val="center"/>
          </w:tcPr>
          <w:p w14:paraId="79F0E512"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6.82%</w:t>
            </w:r>
          </w:p>
        </w:tc>
        <w:tc>
          <w:tcPr>
            <w:tcW w:w="1007" w:type="pct"/>
            <w:tcBorders>
              <w:top w:val="nil"/>
              <w:left w:val="nil"/>
              <w:bottom w:val="single" w:sz="4" w:space="0" w:color="auto"/>
              <w:right w:val="single" w:sz="4" w:space="0" w:color="auto"/>
            </w:tcBorders>
            <w:noWrap/>
            <w:vAlign w:val="center"/>
          </w:tcPr>
          <w:p w14:paraId="2990E0F9"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361366A2"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r>
      <w:tr w:rsidR="000A0ACD" w14:paraId="68B87653" w14:textId="77777777">
        <w:trPr>
          <w:trHeight w:val="397"/>
        </w:trPr>
        <w:tc>
          <w:tcPr>
            <w:tcW w:w="0" w:type="auto"/>
            <w:vMerge/>
            <w:tcBorders>
              <w:top w:val="nil"/>
              <w:left w:val="nil"/>
              <w:bottom w:val="single" w:sz="4" w:space="0" w:color="auto"/>
              <w:right w:val="single" w:sz="4" w:space="0" w:color="auto"/>
            </w:tcBorders>
            <w:vAlign w:val="center"/>
          </w:tcPr>
          <w:p w14:paraId="580D5A97" w14:textId="77777777" w:rsidR="000A0ACD" w:rsidRDefault="000A0ACD">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13592E92"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5F5C571A"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w:t>
            </w:r>
          </w:p>
        </w:tc>
        <w:tc>
          <w:tcPr>
            <w:tcW w:w="582" w:type="pct"/>
            <w:tcBorders>
              <w:top w:val="nil"/>
              <w:left w:val="nil"/>
              <w:bottom w:val="single" w:sz="4" w:space="0" w:color="auto"/>
              <w:right w:val="single" w:sz="4" w:space="0" w:color="auto"/>
            </w:tcBorders>
            <w:noWrap/>
            <w:vAlign w:val="center"/>
          </w:tcPr>
          <w:p w14:paraId="748665E5"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2.27%</w:t>
            </w:r>
          </w:p>
        </w:tc>
        <w:tc>
          <w:tcPr>
            <w:tcW w:w="1007" w:type="pct"/>
            <w:tcBorders>
              <w:top w:val="nil"/>
              <w:left w:val="nil"/>
              <w:bottom w:val="single" w:sz="4" w:space="0" w:color="auto"/>
              <w:right w:val="single" w:sz="4" w:space="0" w:color="auto"/>
            </w:tcBorders>
            <w:noWrap/>
            <w:vAlign w:val="center"/>
          </w:tcPr>
          <w:p w14:paraId="63000025"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12127252"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r>
      <w:tr w:rsidR="000A0ACD" w14:paraId="4E404766" w14:textId="77777777">
        <w:trPr>
          <w:trHeight w:val="397"/>
        </w:trPr>
        <w:tc>
          <w:tcPr>
            <w:tcW w:w="852" w:type="pct"/>
            <w:vMerge w:val="restart"/>
            <w:tcBorders>
              <w:top w:val="nil"/>
              <w:left w:val="nil"/>
              <w:bottom w:val="single" w:sz="4" w:space="0" w:color="auto"/>
              <w:right w:val="single" w:sz="4" w:space="0" w:color="auto"/>
            </w:tcBorders>
            <w:noWrap/>
            <w:vAlign w:val="center"/>
          </w:tcPr>
          <w:p w14:paraId="07A03362"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技术部</w:t>
            </w:r>
          </w:p>
        </w:tc>
        <w:tc>
          <w:tcPr>
            <w:tcW w:w="973" w:type="pct"/>
            <w:tcBorders>
              <w:top w:val="nil"/>
              <w:left w:val="nil"/>
              <w:bottom w:val="single" w:sz="4" w:space="0" w:color="auto"/>
              <w:right w:val="single" w:sz="4" w:space="0" w:color="auto"/>
            </w:tcBorders>
            <w:noWrap/>
            <w:vAlign w:val="center"/>
          </w:tcPr>
          <w:p w14:paraId="27DFF94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566B58AF"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21</w:t>
            </w:r>
          </w:p>
        </w:tc>
        <w:tc>
          <w:tcPr>
            <w:tcW w:w="582" w:type="pct"/>
            <w:tcBorders>
              <w:top w:val="nil"/>
              <w:left w:val="nil"/>
              <w:bottom w:val="single" w:sz="4" w:space="0" w:color="auto"/>
              <w:right w:val="single" w:sz="4" w:space="0" w:color="auto"/>
            </w:tcBorders>
            <w:noWrap/>
            <w:vAlign w:val="center"/>
          </w:tcPr>
          <w:p w14:paraId="6F361261"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47.73%</w:t>
            </w:r>
          </w:p>
        </w:tc>
        <w:tc>
          <w:tcPr>
            <w:tcW w:w="1007" w:type="pct"/>
            <w:tcBorders>
              <w:top w:val="nil"/>
              <w:left w:val="nil"/>
              <w:bottom w:val="single" w:sz="4" w:space="0" w:color="auto"/>
              <w:right w:val="single" w:sz="4" w:space="0" w:color="auto"/>
            </w:tcBorders>
            <w:noWrap/>
            <w:vAlign w:val="center"/>
          </w:tcPr>
          <w:p w14:paraId="086C0728"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24</w:t>
            </w:r>
          </w:p>
        </w:tc>
        <w:tc>
          <w:tcPr>
            <w:tcW w:w="582" w:type="pct"/>
            <w:tcBorders>
              <w:top w:val="nil"/>
              <w:left w:val="nil"/>
              <w:bottom w:val="single" w:sz="4" w:space="0" w:color="auto"/>
              <w:right w:val="nil"/>
            </w:tcBorders>
            <w:noWrap/>
            <w:vAlign w:val="center"/>
          </w:tcPr>
          <w:p w14:paraId="335B3D02"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60.00%</w:t>
            </w:r>
          </w:p>
        </w:tc>
      </w:tr>
      <w:tr w:rsidR="000A0ACD" w14:paraId="2CE422E3" w14:textId="77777777">
        <w:trPr>
          <w:trHeight w:val="397"/>
        </w:trPr>
        <w:tc>
          <w:tcPr>
            <w:tcW w:w="0" w:type="auto"/>
            <w:vMerge/>
            <w:tcBorders>
              <w:top w:val="nil"/>
              <w:left w:val="nil"/>
              <w:bottom w:val="single" w:sz="4" w:space="0" w:color="auto"/>
              <w:right w:val="single" w:sz="4" w:space="0" w:color="auto"/>
            </w:tcBorders>
            <w:vAlign w:val="center"/>
          </w:tcPr>
          <w:p w14:paraId="12FFED72" w14:textId="77777777" w:rsidR="000A0ACD" w:rsidRDefault="000A0ACD">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7F44FCA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149CEB55"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w:t>
            </w:r>
          </w:p>
        </w:tc>
        <w:tc>
          <w:tcPr>
            <w:tcW w:w="582" w:type="pct"/>
            <w:tcBorders>
              <w:top w:val="nil"/>
              <w:left w:val="nil"/>
              <w:bottom w:val="single" w:sz="4" w:space="0" w:color="auto"/>
              <w:right w:val="single" w:sz="4" w:space="0" w:color="auto"/>
            </w:tcBorders>
            <w:noWrap/>
            <w:vAlign w:val="center"/>
          </w:tcPr>
          <w:p w14:paraId="62FCE7EE"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9.09%</w:t>
            </w:r>
          </w:p>
        </w:tc>
        <w:tc>
          <w:tcPr>
            <w:tcW w:w="1007" w:type="pct"/>
            <w:tcBorders>
              <w:top w:val="nil"/>
              <w:left w:val="nil"/>
              <w:bottom w:val="single" w:sz="4" w:space="0" w:color="auto"/>
              <w:right w:val="single" w:sz="4" w:space="0" w:color="auto"/>
            </w:tcBorders>
            <w:noWrap/>
            <w:vAlign w:val="center"/>
          </w:tcPr>
          <w:p w14:paraId="1B5A7D50"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4</w:t>
            </w:r>
          </w:p>
        </w:tc>
        <w:tc>
          <w:tcPr>
            <w:tcW w:w="582" w:type="pct"/>
            <w:tcBorders>
              <w:top w:val="nil"/>
              <w:left w:val="nil"/>
              <w:bottom w:val="single" w:sz="4" w:space="0" w:color="auto"/>
              <w:right w:val="nil"/>
            </w:tcBorders>
            <w:noWrap/>
            <w:vAlign w:val="center"/>
          </w:tcPr>
          <w:p w14:paraId="79863675"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10.00%</w:t>
            </w:r>
          </w:p>
        </w:tc>
      </w:tr>
      <w:tr w:rsidR="000A0ACD" w14:paraId="57461260" w14:textId="77777777">
        <w:trPr>
          <w:trHeight w:val="397"/>
        </w:trPr>
        <w:tc>
          <w:tcPr>
            <w:tcW w:w="852" w:type="pct"/>
            <w:vMerge w:val="restart"/>
            <w:tcBorders>
              <w:top w:val="nil"/>
              <w:left w:val="nil"/>
              <w:bottom w:val="single" w:sz="4" w:space="0" w:color="auto"/>
              <w:right w:val="single" w:sz="4" w:space="0" w:color="auto"/>
            </w:tcBorders>
            <w:vAlign w:val="center"/>
          </w:tcPr>
          <w:p w14:paraId="471B2605"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采购部</w:t>
            </w:r>
          </w:p>
        </w:tc>
        <w:tc>
          <w:tcPr>
            <w:tcW w:w="973" w:type="pct"/>
            <w:tcBorders>
              <w:top w:val="nil"/>
              <w:left w:val="nil"/>
              <w:bottom w:val="single" w:sz="4" w:space="0" w:color="auto"/>
              <w:right w:val="single" w:sz="4" w:space="0" w:color="auto"/>
            </w:tcBorders>
            <w:noWrap/>
            <w:vAlign w:val="center"/>
          </w:tcPr>
          <w:p w14:paraId="778E798F"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2FDA6ACC"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single" w:sz="4" w:space="0" w:color="auto"/>
            </w:tcBorders>
            <w:noWrap/>
            <w:vAlign w:val="center"/>
          </w:tcPr>
          <w:p w14:paraId="693FD3B9"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1007" w:type="pct"/>
            <w:tcBorders>
              <w:top w:val="nil"/>
              <w:left w:val="nil"/>
              <w:bottom w:val="single" w:sz="4" w:space="0" w:color="auto"/>
              <w:right w:val="single" w:sz="4" w:space="0" w:color="auto"/>
            </w:tcBorders>
            <w:noWrap/>
            <w:vAlign w:val="center"/>
          </w:tcPr>
          <w:p w14:paraId="50AA4236"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1</w:t>
            </w:r>
          </w:p>
        </w:tc>
        <w:tc>
          <w:tcPr>
            <w:tcW w:w="582" w:type="pct"/>
            <w:tcBorders>
              <w:top w:val="nil"/>
              <w:left w:val="nil"/>
              <w:bottom w:val="single" w:sz="4" w:space="0" w:color="auto"/>
              <w:right w:val="nil"/>
            </w:tcBorders>
            <w:noWrap/>
            <w:vAlign w:val="center"/>
          </w:tcPr>
          <w:p w14:paraId="2EBB01F0"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2.50%</w:t>
            </w:r>
          </w:p>
        </w:tc>
      </w:tr>
      <w:tr w:rsidR="000A0ACD" w14:paraId="1BD0BC3A" w14:textId="77777777">
        <w:trPr>
          <w:trHeight w:val="397"/>
        </w:trPr>
        <w:tc>
          <w:tcPr>
            <w:tcW w:w="0" w:type="auto"/>
            <w:vMerge/>
            <w:tcBorders>
              <w:top w:val="nil"/>
              <w:left w:val="nil"/>
              <w:bottom w:val="single" w:sz="4" w:space="0" w:color="auto"/>
              <w:right w:val="single" w:sz="4" w:space="0" w:color="auto"/>
            </w:tcBorders>
            <w:vAlign w:val="center"/>
          </w:tcPr>
          <w:p w14:paraId="363BE3F0" w14:textId="77777777" w:rsidR="000A0ACD" w:rsidRDefault="000A0ACD">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32A439B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6146FEEA"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single" w:sz="4" w:space="0" w:color="auto"/>
            </w:tcBorders>
            <w:noWrap/>
            <w:vAlign w:val="center"/>
          </w:tcPr>
          <w:p w14:paraId="7BAE4440"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1007" w:type="pct"/>
            <w:tcBorders>
              <w:top w:val="nil"/>
              <w:left w:val="nil"/>
              <w:bottom w:val="single" w:sz="4" w:space="0" w:color="auto"/>
              <w:right w:val="single" w:sz="4" w:space="0" w:color="auto"/>
            </w:tcBorders>
            <w:noWrap/>
            <w:vAlign w:val="center"/>
          </w:tcPr>
          <w:p w14:paraId="677D4502"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4BCD3E02"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r>
      <w:tr w:rsidR="000A0ACD" w14:paraId="509B413A" w14:textId="77777777">
        <w:trPr>
          <w:trHeight w:val="397"/>
        </w:trPr>
        <w:tc>
          <w:tcPr>
            <w:tcW w:w="852" w:type="pct"/>
            <w:vMerge w:val="restart"/>
            <w:tcBorders>
              <w:top w:val="nil"/>
              <w:left w:val="nil"/>
              <w:bottom w:val="single" w:sz="4" w:space="0" w:color="auto"/>
              <w:right w:val="single" w:sz="4" w:space="0" w:color="auto"/>
            </w:tcBorders>
            <w:noWrap/>
            <w:vAlign w:val="center"/>
          </w:tcPr>
          <w:p w14:paraId="31D1CD52"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软件开发部</w:t>
            </w:r>
          </w:p>
        </w:tc>
        <w:tc>
          <w:tcPr>
            <w:tcW w:w="973" w:type="pct"/>
            <w:tcBorders>
              <w:top w:val="nil"/>
              <w:left w:val="nil"/>
              <w:bottom w:val="single" w:sz="4" w:space="0" w:color="auto"/>
              <w:right w:val="single" w:sz="4" w:space="0" w:color="auto"/>
            </w:tcBorders>
            <w:noWrap/>
            <w:vAlign w:val="center"/>
          </w:tcPr>
          <w:p w14:paraId="58BE8ADE"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20E25CD0"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6</w:t>
            </w:r>
          </w:p>
        </w:tc>
        <w:tc>
          <w:tcPr>
            <w:tcW w:w="582" w:type="pct"/>
            <w:tcBorders>
              <w:top w:val="nil"/>
              <w:left w:val="nil"/>
              <w:bottom w:val="single" w:sz="4" w:space="0" w:color="auto"/>
              <w:right w:val="single" w:sz="4" w:space="0" w:color="auto"/>
            </w:tcBorders>
            <w:noWrap/>
            <w:vAlign w:val="center"/>
          </w:tcPr>
          <w:p w14:paraId="270F5C33"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13.64%</w:t>
            </w:r>
          </w:p>
        </w:tc>
        <w:tc>
          <w:tcPr>
            <w:tcW w:w="1007" w:type="pct"/>
            <w:tcBorders>
              <w:top w:val="nil"/>
              <w:left w:val="nil"/>
              <w:bottom w:val="single" w:sz="4" w:space="0" w:color="auto"/>
              <w:right w:val="single" w:sz="4" w:space="0" w:color="auto"/>
            </w:tcBorders>
            <w:noWrap/>
            <w:vAlign w:val="center"/>
          </w:tcPr>
          <w:p w14:paraId="1350D2B1"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6</w:t>
            </w:r>
          </w:p>
        </w:tc>
        <w:tc>
          <w:tcPr>
            <w:tcW w:w="582" w:type="pct"/>
            <w:tcBorders>
              <w:top w:val="nil"/>
              <w:left w:val="nil"/>
              <w:bottom w:val="single" w:sz="4" w:space="0" w:color="auto"/>
              <w:right w:val="nil"/>
            </w:tcBorders>
            <w:noWrap/>
            <w:vAlign w:val="center"/>
          </w:tcPr>
          <w:p w14:paraId="1EAF92B1"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15.00%</w:t>
            </w:r>
          </w:p>
        </w:tc>
      </w:tr>
      <w:tr w:rsidR="000A0ACD" w14:paraId="0E2FD9A6" w14:textId="77777777">
        <w:trPr>
          <w:trHeight w:val="397"/>
        </w:trPr>
        <w:tc>
          <w:tcPr>
            <w:tcW w:w="0" w:type="auto"/>
            <w:vMerge/>
            <w:tcBorders>
              <w:top w:val="nil"/>
              <w:left w:val="nil"/>
              <w:bottom w:val="single" w:sz="4" w:space="0" w:color="auto"/>
              <w:right w:val="single" w:sz="4" w:space="0" w:color="auto"/>
            </w:tcBorders>
            <w:vAlign w:val="center"/>
          </w:tcPr>
          <w:p w14:paraId="6F223F5C" w14:textId="77777777" w:rsidR="000A0ACD" w:rsidRDefault="000A0ACD">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0FE59ED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770B5FAA"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single" w:sz="4" w:space="0" w:color="auto"/>
            </w:tcBorders>
            <w:noWrap/>
            <w:vAlign w:val="center"/>
          </w:tcPr>
          <w:p w14:paraId="0A61FA7E"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1007" w:type="pct"/>
            <w:tcBorders>
              <w:top w:val="nil"/>
              <w:left w:val="nil"/>
              <w:bottom w:val="single" w:sz="4" w:space="0" w:color="auto"/>
              <w:right w:val="single" w:sz="4" w:space="0" w:color="auto"/>
            </w:tcBorders>
            <w:noWrap/>
            <w:vAlign w:val="center"/>
          </w:tcPr>
          <w:p w14:paraId="6BD35F74"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2701E160"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r>
      <w:tr w:rsidR="000A0ACD" w14:paraId="6C807138" w14:textId="77777777">
        <w:trPr>
          <w:trHeight w:val="397"/>
        </w:trPr>
        <w:tc>
          <w:tcPr>
            <w:tcW w:w="852" w:type="pct"/>
            <w:vMerge w:val="restart"/>
            <w:tcBorders>
              <w:top w:val="nil"/>
              <w:left w:val="nil"/>
              <w:bottom w:val="single" w:sz="4" w:space="0" w:color="auto"/>
              <w:right w:val="single" w:sz="4" w:space="0" w:color="auto"/>
            </w:tcBorders>
            <w:noWrap/>
            <w:vAlign w:val="center"/>
          </w:tcPr>
          <w:p w14:paraId="5CBD6A81"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生产部</w:t>
            </w:r>
          </w:p>
        </w:tc>
        <w:tc>
          <w:tcPr>
            <w:tcW w:w="973" w:type="pct"/>
            <w:tcBorders>
              <w:top w:val="nil"/>
              <w:left w:val="nil"/>
              <w:bottom w:val="single" w:sz="4" w:space="0" w:color="auto"/>
              <w:right w:val="single" w:sz="4" w:space="0" w:color="auto"/>
            </w:tcBorders>
            <w:noWrap/>
            <w:vAlign w:val="center"/>
          </w:tcPr>
          <w:p w14:paraId="69ABAF5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7A72FD63"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w:t>
            </w:r>
          </w:p>
        </w:tc>
        <w:tc>
          <w:tcPr>
            <w:tcW w:w="582" w:type="pct"/>
            <w:tcBorders>
              <w:top w:val="nil"/>
              <w:left w:val="nil"/>
              <w:bottom w:val="single" w:sz="4" w:space="0" w:color="auto"/>
              <w:right w:val="single" w:sz="4" w:space="0" w:color="auto"/>
            </w:tcBorders>
            <w:noWrap/>
            <w:vAlign w:val="center"/>
          </w:tcPr>
          <w:p w14:paraId="286FBC2C"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6.82%</w:t>
            </w:r>
          </w:p>
        </w:tc>
        <w:tc>
          <w:tcPr>
            <w:tcW w:w="1007" w:type="pct"/>
            <w:tcBorders>
              <w:top w:val="nil"/>
              <w:left w:val="nil"/>
              <w:bottom w:val="single" w:sz="4" w:space="0" w:color="auto"/>
              <w:right w:val="single" w:sz="4" w:space="0" w:color="auto"/>
            </w:tcBorders>
            <w:noWrap/>
            <w:vAlign w:val="center"/>
          </w:tcPr>
          <w:p w14:paraId="6192AB8A"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2</w:t>
            </w:r>
          </w:p>
        </w:tc>
        <w:tc>
          <w:tcPr>
            <w:tcW w:w="582" w:type="pct"/>
            <w:tcBorders>
              <w:top w:val="nil"/>
              <w:left w:val="nil"/>
              <w:bottom w:val="single" w:sz="4" w:space="0" w:color="auto"/>
              <w:right w:val="nil"/>
            </w:tcBorders>
            <w:noWrap/>
            <w:vAlign w:val="center"/>
          </w:tcPr>
          <w:p w14:paraId="52CBB8E1"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5.00%</w:t>
            </w:r>
          </w:p>
        </w:tc>
      </w:tr>
      <w:tr w:rsidR="000A0ACD" w14:paraId="4DE5091C" w14:textId="77777777">
        <w:trPr>
          <w:trHeight w:val="397"/>
        </w:trPr>
        <w:tc>
          <w:tcPr>
            <w:tcW w:w="0" w:type="auto"/>
            <w:vMerge/>
            <w:tcBorders>
              <w:top w:val="nil"/>
              <w:left w:val="nil"/>
              <w:bottom w:val="single" w:sz="4" w:space="0" w:color="auto"/>
              <w:right w:val="single" w:sz="4" w:space="0" w:color="auto"/>
            </w:tcBorders>
            <w:vAlign w:val="center"/>
          </w:tcPr>
          <w:p w14:paraId="16845740" w14:textId="77777777" w:rsidR="000A0ACD" w:rsidRDefault="000A0ACD">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6E13E6EC"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0C8EE02D"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w:t>
            </w:r>
          </w:p>
        </w:tc>
        <w:tc>
          <w:tcPr>
            <w:tcW w:w="582" w:type="pct"/>
            <w:tcBorders>
              <w:top w:val="nil"/>
              <w:left w:val="nil"/>
              <w:bottom w:val="single" w:sz="4" w:space="0" w:color="auto"/>
              <w:right w:val="single" w:sz="4" w:space="0" w:color="auto"/>
            </w:tcBorders>
            <w:noWrap/>
            <w:vAlign w:val="center"/>
          </w:tcPr>
          <w:p w14:paraId="603ADC50"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9.09%</w:t>
            </w:r>
          </w:p>
        </w:tc>
        <w:tc>
          <w:tcPr>
            <w:tcW w:w="1007" w:type="pct"/>
            <w:tcBorders>
              <w:top w:val="nil"/>
              <w:left w:val="nil"/>
              <w:bottom w:val="single" w:sz="4" w:space="0" w:color="auto"/>
              <w:right w:val="single" w:sz="4" w:space="0" w:color="auto"/>
            </w:tcBorders>
            <w:noWrap/>
            <w:vAlign w:val="center"/>
          </w:tcPr>
          <w:p w14:paraId="4D22CB38"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3</w:t>
            </w:r>
          </w:p>
        </w:tc>
        <w:tc>
          <w:tcPr>
            <w:tcW w:w="582" w:type="pct"/>
            <w:tcBorders>
              <w:top w:val="nil"/>
              <w:left w:val="nil"/>
              <w:bottom w:val="single" w:sz="4" w:space="0" w:color="auto"/>
              <w:right w:val="nil"/>
            </w:tcBorders>
            <w:noWrap/>
            <w:vAlign w:val="center"/>
          </w:tcPr>
          <w:p w14:paraId="4ADAFB3C" w14:textId="77777777" w:rsidR="000A0ACD" w:rsidRDefault="00362A99">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7.50%</w:t>
            </w:r>
          </w:p>
        </w:tc>
      </w:tr>
      <w:tr w:rsidR="000A0ACD" w14:paraId="7F374D26" w14:textId="77777777">
        <w:trPr>
          <w:trHeight w:val="397"/>
        </w:trPr>
        <w:tc>
          <w:tcPr>
            <w:tcW w:w="1825" w:type="pct"/>
            <w:gridSpan w:val="2"/>
            <w:tcBorders>
              <w:top w:val="single" w:sz="4" w:space="0" w:color="auto"/>
              <w:left w:val="nil"/>
              <w:bottom w:val="single" w:sz="12" w:space="0" w:color="auto"/>
              <w:right w:val="single" w:sz="4" w:space="0" w:color="000000"/>
            </w:tcBorders>
            <w:noWrap/>
            <w:vAlign w:val="center"/>
          </w:tcPr>
          <w:p w14:paraId="669B489E"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1005" w:type="pct"/>
            <w:tcBorders>
              <w:top w:val="nil"/>
              <w:left w:val="nil"/>
              <w:bottom w:val="single" w:sz="12" w:space="0" w:color="auto"/>
              <w:right w:val="single" w:sz="4" w:space="0" w:color="auto"/>
            </w:tcBorders>
            <w:noWrap/>
            <w:vAlign w:val="center"/>
          </w:tcPr>
          <w:p w14:paraId="6E3DC03E" w14:textId="77777777" w:rsidR="000A0ACD" w:rsidRDefault="00362A99">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44</w:t>
            </w:r>
          </w:p>
        </w:tc>
        <w:tc>
          <w:tcPr>
            <w:tcW w:w="582" w:type="pct"/>
            <w:tcBorders>
              <w:top w:val="nil"/>
              <w:left w:val="nil"/>
              <w:bottom w:val="single" w:sz="12" w:space="0" w:color="auto"/>
              <w:right w:val="single" w:sz="4" w:space="0" w:color="auto"/>
            </w:tcBorders>
            <w:noWrap/>
            <w:vAlign w:val="center"/>
          </w:tcPr>
          <w:p w14:paraId="52050B79" w14:textId="77777777" w:rsidR="000A0ACD" w:rsidRDefault="00362A99">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100.00%</w:t>
            </w:r>
          </w:p>
        </w:tc>
        <w:tc>
          <w:tcPr>
            <w:tcW w:w="1007" w:type="pct"/>
            <w:tcBorders>
              <w:top w:val="nil"/>
              <w:left w:val="nil"/>
              <w:bottom w:val="single" w:sz="12" w:space="0" w:color="auto"/>
              <w:right w:val="single" w:sz="4" w:space="0" w:color="auto"/>
            </w:tcBorders>
            <w:noWrap/>
            <w:vAlign w:val="center"/>
          </w:tcPr>
          <w:p w14:paraId="26961207" w14:textId="77777777" w:rsidR="000A0ACD" w:rsidRDefault="00362A99">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40</w:t>
            </w:r>
          </w:p>
        </w:tc>
        <w:tc>
          <w:tcPr>
            <w:tcW w:w="582" w:type="pct"/>
            <w:tcBorders>
              <w:top w:val="nil"/>
              <w:left w:val="nil"/>
              <w:bottom w:val="single" w:sz="12" w:space="0" w:color="auto"/>
              <w:right w:val="nil"/>
            </w:tcBorders>
            <w:noWrap/>
            <w:vAlign w:val="center"/>
          </w:tcPr>
          <w:p w14:paraId="663E4DB0" w14:textId="77777777" w:rsidR="000A0ACD" w:rsidRDefault="00362A99">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100.00%</w:t>
            </w:r>
          </w:p>
        </w:tc>
      </w:tr>
    </w:tbl>
    <w:p w14:paraId="0797A072" w14:textId="77777777" w:rsidR="000A0ACD" w:rsidRDefault="00362A99">
      <w:pPr>
        <w:spacing w:beforeLines="50" w:before="156" w:line="360" w:lineRule="auto"/>
        <w:ind w:firstLineChars="200" w:firstLine="480"/>
        <w:jc w:val="both"/>
        <w:rPr>
          <w:rFonts w:ascii="Times New Roman" w:hAnsi="Times New Roman" w:cs="Times New Roman"/>
          <w:color w:val="000000"/>
          <w:szCs w:val="21"/>
        </w:rPr>
      </w:pPr>
      <w:r>
        <w:rPr>
          <w:rFonts w:ascii="Times New Roman" w:hAnsi="Times New Roman" w:cs="Times New Roman" w:hint="eastAsia"/>
          <w:color w:val="000000"/>
          <w:szCs w:val="21"/>
        </w:rPr>
        <w:t>2020</w:t>
      </w:r>
      <w:r>
        <w:rPr>
          <w:rFonts w:ascii="Times New Roman" w:hAnsi="Times New Roman" w:cs="Times New Roman" w:hint="eastAsia"/>
          <w:color w:val="000000"/>
          <w:szCs w:val="21"/>
        </w:rPr>
        <w:t>年</w:t>
      </w:r>
      <w:r>
        <w:rPr>
          <w:rFonts w:ascii="Times New Roman" w:hAnsi="Times New Roman" w:cs="Times New Roman" w:hint="eastAsia"/>
          <w:color w:val="000000"/>
          <w:szCs w:val="21"/>
        </w:rPr>
        <w:t>9</w:t>
      </w:r>
      <w:r>
        <w:rPr>
          <w:rFonts w:ascii="Times New Roman" w:hAnsi="Times New Roman" w:cs="Times New Roman" w:hint="eastAsia"/>
          <w:color w:val="000000"/>
          <w:szCs w:val="21"/>
        </w:rPr>
        <w:t>月</w:t>
      </w:r>
      <w:r>
        <w:rPr>
          <w:rFonts w:ascii="Times New Roman" w:hAnsi="Times New Roman" w:cs="Times New Roman" w:hint="eastAsia"/>
          <w:color w:val="000000"/>
          <w:szCs w:val="21"/>
        </w:rPr>
        <w:t>30</w:t>
      </w:r>
      <w:r>
        <w:rPr>
          <w:rFonts w:ascii="Times New Roman" w:hAnsi="Times New Roman" w:cs="Times New Roman" w:hint="eastAsia"/>
          <w:color w:val="000000"/>
          <w:szCs w:val="21"/>
        </w:rPr>
        <w:t>日及</w:t>
      </w:r>
      <w:r>
        <w:rPr>
          <w:rFonts w:ascii="Times New Roman" w:hAnsi="Times New Roman" w:cs="Times New Roman" w:hint="eastAsia"/>
          <w:color w:val="000000"/>
          <w:szCs w:val="21"/>
        </w:rPr>
        <w:t>2020</w:t>
      </w:r>
      <w:r>
        <w:rPr>
          <w:rFonts w:ascii="Times New Roman" w:hAnsi="Times New Roman" w:cs="Times New Roman" w:hint="eastAsia"/>
          <w:color w:val="000000"/>
          <w:szCs w:val="21"/>
        </w:rPr>
        <w:t>年</w:t>
      </w:r>
      <w:r>
        <w:rPr>
          <w:rFonts w:ascii="Times New Roman" w:hAnsi="Times New Roman" w:cs="Times New Roman" w:hint="eastAsia"/>
          <w:color w:val="000000"/>
          <w:szCs w:val="21"/>
        </w:rPr>
        <w:t>12</w:t>
      </w:r>
      <w:r>
        <w:rPr>
          <w:rFonts w:ascii="Times New Roman" w:hAnsi="Times New Roman" w:cs="Times New Roman" w:hint="eastAsia"/>
          <w:color w:val="000000"/>
          <w:szCs w:val="21"/>
        </w:rPr>
        <w:t>月</w:t>
      </w:r>
      <w:r>
        <w:rPr>
          <w:rFonts w:ascii="Times New Roman" w:hAnsi="Times New Roman" w:cs="Times New Roman" w:hint="eastAsia"/>
          <w:color w:val="000000"/>
          <w:szCs w:val="21"/>
        </w:rPr>
        <w:t>31</w:t>
      </w:r>
      <w:r>
        <w:rPr>
          <w:rFonts w:ascii="Times New Roman" w:hAnsi="Times New Roman" w:cs="Times New Roman" w:hint="eastAsia"/>
          <w:color w:val="000000"/>
          <w:szCs w:val="21"/>
        </w:rPr>
        <w:t>日，标的公司技术人员数量分别为</w:t>
      </w:r>
      <w:r>
        <w:rPr>
          <w:rFonts w:ascii="Times New Roman" w:hAnsi="Times New Roman" w:cs="Times New Roman" w:hint="eastAsia"/>
          <w:color w:val="000000"/>
          <w:szCs w:val="21"/>
        </w:rPr>
        <w:t>44</w:t>
      </w:r>
      <w:r>
        <w:rPr>
          <w:rFonts w:ascii="Times New Roman" w:hAnsi="Times New Roman" w:cs="Times New Roman" w:hint="eastAsia"/>
          <w:color w:val="000000"/>
          <w:szCs w:val="21"/>
        </w:rPr>
        <w:t>人及</w:t>
      </w:r>
      <w:r>
        <w:rPr>
          <w:rFonts w:ascii="Times New Roman" w:hAnsi="Times New Roman" w:cs="Times New Roman" w:hint="eastAsia"/>
          <w:color w:val="000000"/>
          <w:szCs w:val="21"/>
        </w:rPr>
        <w:t>40</w:t>
      </w:r>
      <w:r>
        <w:rPr>
          <w:rFonts w:ascii="Times New Roman" w:hAnsi="Times New Roman" w:cs="Times New Roman" w:hint="eastAsia"/>
          <w:color w:val="000000"/>
          <w:szCs w:val="21"/>
        </w:rPr>
        <w:t>人，占标的公司总人数分别为</w:t>
      </w:r>
      <w:r>
        <w:rPr>
          <w:rFonts w:ascii="Times New Roman" w:hAnsi="Times New Roman" w:cs="Times New Roman" w:hint="eastAsia"/>
          <w:color w:val="000000"/>
          <w:szCs w:val="21"/>
        </w:rPr>
        <w:t>26.51%</w:t>
      </w:r>
      <w:r>
        <w:rPr>
          <w:rFonts w:ascii="Times New Roman" w:hAnsi="Times New Roman" w:cs="Times New Roman" w:hint="eastAsia"/>
          <w:color w:val="000000"/>
          <w:szCs w:val="21"/>
        </w:rPr>
        <w:t>及</w:t>
      </w:r>
      <w:r>
        <w:rPr>
          <w:rFonts w:ascii="Times New Roman" w:hAnsi="Times New Roman" w:cs="Times New Roman" w:hint="eastAsia"/>
          <w:color w:val="000000"/>
          <w:szCs w:val="21"/>
        </w:rPr>
        <w:t>23.67%</w:t>
      </w:r>
      <w:r>
        <w:rPr>
          <w:rFonts w:ascii="Times New Roman" w:hAnsi="Times New Roman" w:cs="Times New Roman" w:hint="eastAsia"/>
          <w:color w:val="000000"/>
          <w:szCs w:val="21"/>
        </w:rPr>
        <w:t>，技术人员中大学专科及以上占比分别为</w:t>
      </w:r>
      <w:r>
        <w:rPr>
          <w:rFonts w:ascii="Times New Roman" w:hAnsi="Times New Roman" w:cs="Times New Roman" w:hint="eastAsia"/>
          <w:color w:val="000000"/>
          <w:szCs w:val="21"/>
        </w:rPr>
        <w:t>79.55%</w:t>
      </w:r>
      <w:r>
        <w:rPr>
          <w:rFonts w:ascii="Times New Roman" w:hAnsi="Times New Roman" w:cs="Times New Roman" w:hint="eastAsia"/>
          <w:color w:val="000000"/>
          <w:szCs w:val="21"/>
        </w:rPr>
        <w:t>及</w:t>
      </w:r>
      <w:r>
        <w:rPr>
          <w:rFonts w:ascii="Times New Roman" w:hAnsi="Times New Roman" w:cs="Times New Roman" w:hint="eastAsia"/>
          <w:color w:val="000000"/>
          <w:szCs w:val="21"/>
        </w:rPr>
        <w:t>82.50%</w:t>
      </w:r>
      <w:r>
        <w:rPr>
          <w:rFonts w:ascii="Times New Roman" w:hAnsi="Times New Roman" w:cs="Times New Roman" w:hint="eastAsia"/>
          <w:color w:val="000000"/>
          <w:szCs w:val="21"/>
        </w:rPr>
        <w:t>。</w:t>
      </w:r>
    </w:p>
    <w:p w14:paraId="5EF2EFC8"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（二）研发费用占营业收入的比重情况</w:t>
      </w:r>
    </w:p>
    <w:p w14:paraId="28E5B89B" w14:textId="77777777" w:rsidR="000A0ACD" w:rsidRDefault="00362A99">
      <w:pPr>
        <w:spacing w:beforeLines="50" w:before="156" w:line="360" w:lineRule="auto"/>
        <w:ind w:firstLineChars="200" w:firstLine="480"/>
        <w:jc w:val="both"/>
        <w:rPr>
          <w:rFonts w:ascii="Times New Roman" w:hAnsi="Times New Roman" w:cs="Times New Roman"/>
          <w:color w:val="000000"/>
          <w:szCs w:val="21"/>
        </w:rPr>
      </w:pPr>
      <w:r>
        <w:rPr>
          <w:rFonts w:ascii="Times New Roman" w:hAnsi="Times New Roman" w:cs="Times New Roman" w:hint="eastAsia"/>
          <w:color w:val="000000"/>
          <w:szCs w:val="21"/>
        </w:rPr>
        <w:t>报告期内，标的公司的研发费用构成情况如下：</w:t>
      </w:r>
    </w:p>
    <w:p w14:paraId="0FE7C9D5"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26"/>
        <w:gridCol w:w="2132"/>
        <w:gridCol w:w="2132"/>
        <w:gridCol w:w="2132"/>
      </w:tblGrid>
      <w:tr w:rsidR="000A0ACD" w14:paraId="095DC90A" w14:textId="77777777">
        <w:trPr>
          <w:trHeight w:val="397"/>
          <w:tblHeader/>
        </w:trPr>
        <w:tc>
          <w:tcPr>
            <w:tcW w:w="1247" w:type="pct"/>
            <w:tcBorders>
              <w:top w:val="single" w:sz="12" w:space="0" w:color="auto"/>
              <w:left w:val="nil"/>
              <w:bottom w:val="single" w:sz="4" w:space="0" w:color="auto"/>
              <w:right w:val="single" w:sz="4" w:space="0" w:color="auto"/>
            </w:tcBorders>
            <w:vAlign w:val="center"/>
          </w:tcPr>
          <w:p w14:paraId="4A36BAB5"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1251" w:type="pct"/>
            <w:tcBorders>
              <w:top w:val="single" w:sz="12" w:space="0" w:color="auto"/>
              <w:left w:val="single" w:sz="4" w:space="0" w:color="auto"/>
              <w:bottom w:val="single" w:sz="4" w:space="0" w:color="auto"/>
              <w:right w:val="single" w:sz="4" w:space="0" w:color="auto"/>
            </w:tcBorders>
            <w:vAlign w:val="center"/>
          </w:tcPr>
          <w:p w14:paraId="30A592CA"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2020</w:t>
            </w:r>
            <w:r>
              <w:rPr>
                <w:rFonts w:ascii="Times New Roman" w:hAnsi="Times New Roman" w:cs="Times New Roman" w:hint="eastAsia"/>
                <w:b/>
                <w:bCs/>
                <w:color w:val="000000"/>
                <w:sz w:val="21"/>
                <w:szCs w:val="21"/>
              </w:rPr>
              <w:t>年度</w:t>
            </w:r>
          </w:p>
        </w:tc>
        <w:tc>
          <w:tcPr>
            <w:tcW w:w="1251" w:type="pct"/>
            <w:tcBorders>
              <w:top w:val="single" w:sz="12" w:space="0" w:color="auto"/>
              <w:left w:val="single" w:sz="4" w:space="0" w:color="auto"/>
              <w:bottom w:val="single" w:sz="4" w:space="0" w:color="auto"/>
              <w:right w:val="single" w:sz="4" w:space="0" w:color="auto"/>
            </w:tcBorders>
            <w:vAlign w:val="center"/>
          </w:tcPr>
          <w:p w14:paraId="5AFD0B79"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2019</w:t>
            </w:r>
            <w:r>
              <w:rPr>
                <w:rFonts w:ascii="Times New Roman" w:hAnsi="Times New Roman" w:cs="Times New Roman" w:hint="eastAsia"/>
                <w:b/>
                <w:bCs/>
                <w:color w:val="000000"/>
                <w:sz w:val="21"/>
                <w:szCs w:val="21"/>
              </w:rPr>
              <w:t>年度</w:t>
            </w:r>
          </w:p>
        </w:tc>
        <w:tc>
          <w:tcPr>
            <w:tcW w:w="1251" w:type="pct"/>
            <w:tcBorders>
              <w:top w:val="single" w:sz="12" w:space="0" w:color="auto"/>
              <w:left w:val="single" w:sz="4" w:space="0" w:color="auto"/>
              <w:bottom w:val="single" w:sz="4" w:space="0" w:color="auto"/>
              <w:right w:val="nil"/>
            </w:tcBorders>
            <w:vAlign w:val="center"/>
          </w:tcPr>
          <w:p w14:paraId="38AE14B9"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2018</w:t>
            </w:r>
            <w:r>
              <w:rPr>
                <w:rFonts w:ascii="Times New Roman" w:hAnsi="Times New Roman" w:cs="Times New Roman" w:hint="eastAsia"/>
                <w:b/>
                <w:bCs/>
                <w:color w:val="000000"/>
                <w:sz w:val="21"/>
                <w:szCs w:val="21"/>
              </w:rPr>
              <w:t>年度</w:t>
            </w:r>
          </w:p>
        </w:tc>
      </w:tr>
      <w:tr w:rsidR="000A0ACD" w14:paraId="232ACF65" w14:textId="77777777">
        <w:trPr>
          <w:trHeight w:val="397"/>
        </w:trPr>
        <w:tc>
          <w:tcPr>
            <w:tcW w:w="1247" w:type="pct"/>
            <w:tcBorders>
              <w:top w:val="single" w:sz="4" w:space="0" w:color="auto"/>
              <w:left w:val="nil"/>
              <w:bottom w:val="single" w:sz="4" w:space="0" w:color="auto"/>
              <w:right w:val="single" w:sz="4" w:space="0" w:color="auto"/>
            </w:tcBorders>
            <w:vAlign w:val="center"/>
          </w:tcPr>
          <w:p w14:paraId="6DF63136"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职工工资</w:t>
            </w:r>
          </w:p>
        </w:tc>
        <w:tc>
          <w:tcPr>
            <w:tcW w:w="1251" w:type="pct"/>
            <w:tcBorders>
              <w:top w:val="single" w:sz="4" w:space="0" w:color="auto"/>
              <w:left w:val="single" w:sz="4" w:space="0" w:color="auto"/>
              <w:bottom w:val="single" w:sz="4" w:space="0" w:color="auto"/>
              <w:right w:val="single" w:sz="4" w:space="0" w:color="auto"/>
            </w:tcBorders>
            <w:noWrap/>
            <w:vAlign w:val="center"/>
          </w:tcPr>
          <w:p w14:paraId="18CAE7B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532.78</w:t>
            </w:r>
          </w:p>
        </w:tc>
        <w:tc>
          <w:tcPr>
            <w:tcW w:w="1251" w:type="pct"/>
            <w:tcBorders>
              <w:top w:val="single" w:sz="4" w:space="0" w:color="auto"/>
              <w:left w:val="single" w:sz="4" w:space="0" w:color="auto"/>
              <w:bottom w:val="single" w:sz="4" w:space="0" w:color="auto"/>
              <w:right w:val="single" w:sz="4" w:space="0" w:color="auto"/>
            </w:tcBorders>
            <w:noWrap/>
            <w:vAlign w:val="center"/>
          </w:tcPr>
          <w:p w14:paraId="3B293911"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514.04</w:t>
            </w:r>
          </w:p>
        </w:tc>
        <w:tc>
          <w:tcPr>
            <w:tcW w:w="1251" w:type="pct"/>
            <w:tcBorders>
              <w:top w:val="single" w:sz="4" w:space="0" w:color="auto"/>
              <w:left w:val="single" w:sz="4" w:space="0" w:color="auto"/>
              <w:bottom w:val="single" w:sz="4" w:space="0" w:color="auto"/>
              <w:right w:val="nil"/>
            </w:tcBorders>
            <w:noWrap/>
            <w:vAlign w:val="center"/>
          </w:tcPr>
          <w:p w14:paraId="377F213C"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204.74</w:t>
            </w:r>
          </w:p>
        </w:tc>
      </w:tr>
      <w:tr w:rsidR="000A0ACD" w14:paraId="7DFE3887" w14:textId="77777777">
        <w:trPr>
          <w:trHeight w:val="397"/>
        </w:trPr>
        <w:tc>
          <w:tcPr>
            <w:tcW w:w="1247" w:type="pct"/>
            <w:tcBorders>
              <w:top w:val="single" w:sz="4" w:space="0" w:color="auto"/>
              <w:left w:val="nil"/>
              <w:bottom w:val="single" w:sz="4" w:space="0" w:color="auto"/>
              <w:right w:val="single" w:sz="4" w:space="0" w:color="auto"/>
            </w:tcBorders>
            <w:vAlign w:val="center"/>
          </w:tcPr>
          <w:p w14:paraId="3C630BF1"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材料费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3ECDE38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389.52</w:t>
            </w:r>
          </w:p>
        </w:tc>
        <w:tc>
          <w:tcPr>
            <w:tcW w:w="1251" w:type="pct"/>
            <w:tcBorders>
              <w:top w:val="single" w:sz="4" w:space="0" w:color="auto"/>
              <w:left w:val="single" w:sz="4" w:space="0" w:color="auto"/>
              <w:bottom w:val="single" w:sz="4" w:space="0" w:color="auto"/>
              <w:right w:val="single" w:sz="4" w:space="0" w:color="auto"/>
            </w:tcBorders>
            <w:noWrap/>
            <w:vAlign w:val="center"/>
          </w:tcPr>
          <w:p w14:paraId="7B9DCC96"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263.11</w:t>
            </w:r>
          </w:p>
        </w:tc>
        <w:tc>
          <w:tcPr>
            <w:tcW w:w="1251" w:type="pct"/>
            <w:tcBorders>
              <w:top w:val="single" w:sz="4" w:space="0" w:color="auto"/>
              <w:left w:val="single" w:sz="4" w:space="0" w:color="auto"/>
              <w:bottom w:val="single" w:sz="4" w:space="0" w:color="auto"/>
              <w:right w:val="nil"/>
            </w:tcBorders>
            <w:noWrap/>
            <w:vAlign w:val="center"/>
          </w:tcPr>
          <w:p w14:paraId="6FBE98F1"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141.32</w:t>
            </w:r>
          </w:p>
        </w:tc>
      </w:tr>
      <w:tr w:rsidR="000A0ACD" w14:paraId="511C4EBD" w14:textId="77777777">
        <w:trPr>
          <w:trHeight w:val="397"/>
        </w:trPr>
        <w:tc>
          <w:tcPr>
            <w:tcW w:w="1247" w:type="pct"/>
            <w:tcBorders>
              <w:top w:val="single" w:sz="4" w:space="0" w:color="auto"/>
              <w:left w:val="nil"/>
              <w:bottom w:val="single" w:sz="4" w:space="0" w:color="auto"/>
              <w:right w:val="single" w:sz="4" w:space="0" w:color="auto"/>
            </w:tcBorders>
            <w:vAlign w:val="center"/>
          </w:tcPr>
          <w:p w14:paraId="1CCB914D"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燃料动力费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4891ECF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251" w:type="pct"/>
            <w:tcBorders>
              <w:top w:val="single" w:sz="4" w:space="0" w:color="auto"/>
              <w:left w:val="single" w:sz="4" w:space="0" w:color="auto"/>
              <w:bottom w:val="single" w:sz="4" w:space="0" w:color="auto"/>
              <w:right w:val="single" w:sz="4" w:space="0" w:color="auto"/>
            </w:tcBorders>
            <w:noWrap/>
            <w:vAlign w:val="center"/>
          </w:tcPr>
          <w:p w14:paraId="213DCB0E"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2.31</w:t>
            </w:r>
          </w:p>
        </w:tc>
        <w:tc>
          <w:tcPr>
            <w:tcW w:w="1251" w:type="pct"/>
            <w:tcBorders>
              <w:top w:val="single" w:sz="4" w:space="0" w:color="auto"/>
              <w:left w:val="single" w:sz="4" w:space="0" w:color="auto"/>
              <w:bottom w:val="single" w:sz="4" w:space="0" w:color="auto"/>
              <w:right w:val="nil"/>
            </w:tcBorders>
            <w:noWrap/>
            <w:vAlign w:val="center"/>
          </w:tcPr>
          <w:p w14:paraId="5AA39873"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1.35</w:t>
            </w:r>
          </w:p>
        </w:tc>
      </w:tr>
      <w:tr w:rsidR="000A0ACD" w14:paraId="5AF1C3E0" w14:textId="77777777">
        <w:trPr>
          <w:trHeight w:val="397"/>
        </w:trPr>
        <w:tc>
          <w:tcPr>
            <w:tcW w:w="1247" w:type="pct"/>
            <w:tcBorders>
              <w:top w:val="single" w:sz="4" w:space="0" w:color="auto"/>
              <w:left w:val="nil"/>
              <w:bottom w:val="single" w:sz="4" w:space="0" w:color="auto"/>
              <w:right w:val="single" w:sz="4" w:space="0" w:color="auto"/>
            </w:tcBorders>
            <w:vAlign w:val="center"/>
          </w:tcPr>
          <w:p w14:paraId="46059621"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差旅费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5F5D584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20.26</w:t>
            </w:r>
          </w:p>
        </w:tc>
        <w:tc>
          <w:tcPr>
            <w:tcW w:w="1251" w:type="pct"/>
            <w:tcBorders>
              <w:top w:val="single" w:sz="4" w:space="0" w:color="auto"/>
              <w:left w:val="single" w:sz="4" w:space="0" w:color="auto"/>
              <w:bottom w:val="single" w:sz="4" w:space="0" w:color="auto"/>
              <w:right w:val="single" w:sz="4" w:space="0" w:color="auto"/>
            </w:tcBorders>
            <w:noWrap/>
            <w:vAlign w:val="center"/>
          </w:tcPr>
          <w:p w14:paraId="1B10E2BB"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19.47</w:t>
            </w:r>
          </w:p>
        </w:tc>
        <w:tc>
          <w:tcPr>
            <w:tcW w:w="1251" w:type="pct"/>
            <w:tcBorders>
              <w:top w:val="single" w:sz="4" w:space="0" w:color="auto"/>
              <w:left w:val="single" w:sz="4" w:space="0" w:color="auto"/>
              <w:bottom w:val="single" w:sz="4" w:space="0" w:color="auto"/>
              <w:right w:val="nil"/>
            </w:tcBorders>
            <w:noWrap/>
            <w:vAlign w:val="center"/>
          </w:tcPr>
          <w:p w14:paraId="71D6DD39"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2.48</w:t>
            </w:r>
          </w:p>
        </w:tc>
      </w:tr>
      <w:tr w:rsidR="000A0ACD" w14:paraId="595F291A" w14:textId="77777777">
        <w:trPr>
          <w:trHeight w:val="397"/>
        </w:trPr>
        <w:tc>
          <w:tcPr>
            <w:tcW w:w="1247" w:type="pct"/>
            <w:tcBorders>
              <w:top w:val="single" w:sz="4" w:space="0" w:color="auto"/>
              <w:left w:val="nil"/>
              <w:bottom w:val="single" w:sz="4" w:space="0" w:color="auto"/>
              <w:right w:val="single" w:sz="4" w:space="0" w:color="auto"/>
            </w:tcBorders>
            <w:vAlign w:val="center"/>
          </w:tcPr>
          <w:p w14:paraId="07F43F12"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出版</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文献</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信息传播</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知识产权事务费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40244F1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251" w:type="pct"/>
            <w:tcBorders>
              <w:top w:val="single" w:sz="4" w:space="0" w:color="auto"/>
              <w:left w:val="single" w:sz="4" w:space="0" w:color="auto"/>
              <w:bottom w:val="single" w:sz="4" w:space="0" w:color="auto"/>
              <w:right w:val="single" w:sz="4" w:space="0" w:color="auto"/>
            </w:tcBorders>
            <w:noWrap/>
            <w:vAlign w:val="center"/>
          </w:tcPr>
          <w:p w14:paraId="4BFAC5A6"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0.92</w:t>
            </w:r>
          </w:p>
        </w:tc>
        <w:tc>
          <w:tcPr>
            <w:tcW w:w="1251" w:type="pct"/>
            <w:tcBorders>
              <w:top w:val="single" w:sz="4" w:space="0" w:color="auto"/>
              <w:left w:val="single" w:sz="4" w:space="0" w:color="auto"/>
              <w:bottom w:val="single" w:sz="4" w:space="0" w:color="auto"/>
              <w:right w:val="nil"/>
            </w:tcBorders>
            <w:noWrap/>
            <w:vAlign w:val="center"/>
          </w:tcPr>
          <w:p w14:paraId="6E7D5628"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4.88</w:t>
            </w:r>
          </w:p>
        </w:tc>
      </w:tr>
      <w:tr w:rsidR="000A0ACD" w14:paraId="7CE47CCD" w14:textId="77777777">
        <w:trPr>
          <w:trHeight w:val="397"/>
        </w:trPr>
        <w:tc>
          <w:tcPr>
            <w:tcW w:w="1247" w:type="pct"/>
            <w:tcBorders>
              <w:top w:val="single" w:sz="4" w:space="0" w:color="auto"/>
              <w:left w:val="nil"/>
              <w:bottom w:val="single" w:sz="4" w:space="0" w:color="auto"/>
              <w:right w:val="single" w:sz="4" w:space="0" w:color="auto"/>
            </w:tcBorders>
            <w:vAlign w:val="center"/>
          </w:tcPr>
          <w:p w14:paraId="32B8ABEE"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劳务费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71A888F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251" w:type="pct"/>
            <w:tcBorders>
              <w:top w:val="single" w:sz="4" w:space="0" w:color="auto"/>
              <w:left w:val="single" w:sz="4" w:space="0" w:color="auto"/>
              <w:bottom w:val="single" w:sz="4" w:space="0" w:color="auto"/>
              <w:right w:val="single" w:sz="4" w:space="0" w:color="auto"/>
            </w:tcBorders>
            <w:noWrap/>
            <w:vAlign w:val="center"/>
          </w:tcPr>
          <w:p w14:paraId="699CA009"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4.35</w:t>
            </w:r>
          </w:p>
        </w:tc>
        <w:tc>
          <w:tcPr>
            <w:tcW w:w="1251" w:type="pct"/>
            <w:tcBorders>
              <w:top w:val="single" w:sz="4" w:space="0" w:color="auto"/>
              <w:left w:val="single" w:sz="4" w:space="0" w:color="auto"/>
              <w:bottom w:val="single" w:sz="4" w:space="0" w:color="auto"/>
              <w:right w:val="nil"/>
            </w:tcBorders>
            <w:noWrap/>
            <w:vAlign w:val="center"/>
          </w:tcPr>
          <w:p w14:paraId="38B46DC9"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3.50</w:t>
            </w:r>
          </w:p>
        </w:tc>
      </w:tr>
      <w:tr w:rsidR="000A0ACD" w14:paraId="62A96D2B" w14:textId="77777777">
        <w:trPr>
          <w:trHeight w:val="397"/>
        </w:trPr>
        <w:tc>
          <w:tcPr>
            <w:tcW w:w="1247" w:type="pct"/>
            <w:tcBorders>
              <w:top w:val="single" w:sz="4" w:space="0" w:color="auto"/>
              <w:left w:val="nil"/>
              <w:bottom w:val="single" w:sz="4" w:space="0" w:color="auto"/>
              <w:right w:val="single" w:sz="4" w:space="0" w:color="auto"/>
            </w:tcBorders>
            <w:vAlign w:val="center"/>
          </w:tcPr>
          <w:p w14:paraId="6494BAEF"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折旧费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38D4436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11.12</w:t>
            </w:r>
          </w:p>
        </w:tc>
        <w:tc>
          <w:tcPr>
            <w:tcW w:w="1251" w:type="pct"/>
            <w:tcBorders>
              <w:top w:val="single" w:sz="4" w:space="0" w:color="auto"/>
              <w:left w:val="single" w:sz="4" w:space="0" w:color="auto"/>
              <w:bottom w:val="single" w:sz="4" w:space="0" w:color="auto"/>
              <w:right w:val="single" w:sz="4" w:space="0" w:color="auto"/>
            </w:tcBorders>
            <w:noWrap/>
            <w:vAlign w:val="center"/>
          </w:tcPr>
          <w:p w14:paraId="422ACBCA"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6.37</w:t>
            </w:r>
          </w:p>
        </w:tc>
        <w:tc>
          <w:tcPr>
            <w:tcW w:w="1251" w:type="pct"/>
            <w:tcBorders>
              <w:top w:val="single" w:sz="4" w:space="0" w:color="auto"/>
              <w:left w:val="single" w:sz="4" w:space="0" w:color="auto"/>
              <w:bottom w:val="single" w:sz="4" w:space="0" w:color="auto"/>
              <w:right w:val="nil"/>
            </w:tcBorders>
            <w:noWrap/>
            <w:vAlign w:val="center"/>
          </w:tcPr>
          <w:p w14:paraId="7ED8EA82"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3.43</w:t>
            </w:r>
          </w:p>
        </w:tc>
      </w:tr>
      <w:tr w:rsidR="000A0ACD" w14:paraId="09B8D3E2" w14:textId="77777777">
        <w:trPr>
          <w:trHeight w:val="397"/>
        </w:trPr>
        <w:tc>
          <w:tcPr>
            <w:tcW w:w="1247" w:type="pct"/>
            <w:tcBorders>
              <w:top w:val="single" w:sz="4" w:space="0" w:color="auto"/>
              <w:left w:val="nil"/>
              <w:bottom w:val="single" w:sz="4" w:space="0" w:color="auto"/>
              <w:right w:val="single" w:sz="4" w:space="0" w:color="auto"/>
            </w:tcBorders>
            <w:vAlign w:val="center"/>
          </w:tcPr>
          <w:p w14:paraId="18CDF2D9"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设备费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2FEA3BB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3.06</w:t>
            </w:r>
          </w:p>
        </w:tc>
        <w:tc>
          <w:tcPr>
            <w:tcW w:w="1251" w:type="pct"/>
            <w:tcBorders>
              <w:top w:val="single" w:sz="4" w:space="0" w:color="auto"/>
              <w:left w:val="single" w:sz="4" w:space="0" w:color="auto"/>
              <w:bottom w:val="single" w:sz="4" w:space="0" w:color="auto"/>
              <w:right w:val="single" w:sz="4" w:space="0" w:color="auto"/>
            </w:tcBorders>
            <w:noWrap/>
            <w:vAlign w:val="center"/>
          </w:tcPr>
          <w:p w14:paraId="48017688"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13.11</w:t>
            </w:r>
          </w:p>
        </w:tc>
        <w:tc>
          <w:tcPr>
            <w:tcW w:w="1251" w:type="pct"/>
            <w:tcBorders>
              <w:top w:val="single" w:sz="4" w:space="0" w:color="auto"/>
              <w:left w:val="single" w:sz="4" w:space="0" w:color="auto"/>
              <w:bottom w:val="single" w:sz="4" w:space="0" w:color="auto"/>
              <w:right w:val="nil"/>
            </w:tcBorders>
            <w:noWrap/>
            <w:vAlign w:val="center"/>
          </w:tcPr>
          <w:p w14:paraId="7B2D08D5"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0.23</w:t>
            </w:r>
          </w:p>
        </w:tc>
      </w:tr>
      <w:tr w:rsidR="000A0ACD" w14:paraId="655924F0" w14:textId="77777777">
        <w:trPr>
          <w:trHeight w:val="397"/>
        </w:trPr>
        <w:tc>
          <w:tcPr>
            <w:tcW w:w="1247" w:type="pct"/>
            <w:tcBorders>
              <w:top w:val="single" w:sz="4" w:space="0" w:color="auto"/>
              <w:left w:val="nil"/>
              <w:bottom w:val="single" w:sz="4" w:space="0" w:color="auto"/>
              <w:right w:val="single" w:sz="4" w:space="0" w:color="auto"/>
            </w:tcBorders>
            <w:vAlign w:val="center"/>
          </w:tcPr>
          <w:p w14:paraId="12A54C5D"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其他</w:t>
            </w:r>
          </w:p>
        </w:tc>
        <w:tc>
          <w:tcPr>
            <w:tcW w:w="1251" w:type="pct"/>
            <w:tcBorders>
              <w:top w:val="single" w:sz="4" w:space="0" w:color="auto"/>
              <w:left w:val="single" w:sz="4" w:space="0" w:color="auto"/>
              <w:bottom w:val="single" w:sz="4" w:space="0" w:color="auto"/>
              <w:right w:val="single" w:sz="4" w:space="0" w:color="auto"/>
            </w:tcBorders>
            <w:noWrap/>
            <w:vAlign w:val="center"/>
          </w:tcPr>
          <w:p w14:paraId="6A6F354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2.16</w:t>
            </w:r>
          </w:p>
        </w:tc>
        <w:tc>
          <w:tcPr>
            <w:tcW w:w="1251" w:type="pct"/>
            <w:tcBorders>
              <w:top w:val="single" w:sz="4" w:space="0" w:color="auto"/>
              <w:left w:val="single" w:sz="4" w:space="0" w:color="auto"/>
              <w:bottom w:val="single" w:sz="4" w:space="0" w:color="auto"/>
              <w:right w:val="single" w:sz="4" w:space="0" w:color="auto"/>
            </w:tcBorders>
            <w:noWrap/>
            <w:vAlign w:val="center"/>
          </w:tcPr>
          <w:p w14:paraId="475C7036"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1.67</w:t>
            </w:r>
          </w:p>
        </w:tc>
        <w:tc>
          <w:tcPr>
            <w:tcW w:w="1251" w:type="pct"/>
            <w:tcBorders>
              <w:top w:val="single" w:sz="4" w:space="0" w:color="auto"/>
              <w:left w:val="single" w:sz="4" w:space="0" w:color="auto"/>
              <w:bottom w:val="single" w:sz="4" w:space="0" w:color="auto"/>
              <w:right w:val="nil"/>
            </w:tcBorders>
            <w:noWrap/>
            <w:vAlign w:val="center"/>
          </w:tcPr>
          <w:p w14:paraId="4049AC05"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0.31</w:t>
            </w:r>
          </w:p>
        </w:tc>
      </w:tr>
      <w:tr w:rsidR="000A0ACD" w14:paraId="2E69B274" w14:textId="77777777">
        <w:trPr>
          <w:trHeight w:val="397"/>
        </w:trPr>
        <w:tc>
          <w:tcPr>
            <w:tcW w:w="1247" w:type="pct"/>
            <w:tcBorders>
              <w:top w:val="single" w:sz="4" w:space="0" w:color="auto"/>
              <w:left w:val="nil"/>
              <w:bottom w:val="single" w:sz="12" w:space="0" w:color="auto"/>
              <w:right w:val="single" w:sz="4" w:space="0" w:color="auto"/>
            </w:tcBorders>
            <w:vAlign w:val="center"/>
          </w:tcPr>
          <w:p w14:paraId="27EB0553"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251" w:type="pct"/>
            <w:tcBorders>
              <w:top w:val="single" w:sz="4" w:space="0" w:color="auto"/>
              <w:left w:val="single" w:sz="4" w:space="0" w:color="auto"/>
              <w:bottom w:val="single" w:sz="12" w:space="0" w:color="auto"/>
              <w:right w:val="single" w:sz="4" w:space="0" w:color="auto"/>
            </w:tcBorders>
            <w:noWrap/>
            <w:vAlign w:val="center"/>
          </w:tcPr>
          <w:p w14:paraId="7E37F779"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958.90</w:t>
            </w:r>
          </w:p>
        </w:tc>
        <w:tc>
          <w:tcPr>
            <w:tcW w:w="1251" w:type="pct"/>
            <w:tcBorders>
              <w:top w:val="single" w:sz="4" w:space="0" w:color="auto"/>
              <w:left w:val="single" w:sz="4" w:space="0" w:color="auto"/>
              <w:bottom w:val="single" w:sz="12" w:space="0" w:color="auto"/>
              <w:right w:val="single" w:sz="4" w:space="0" w:color="auto"/>
            </w:tcBorders>
            <w:noWrap/>
            <w:vAlign w:val="center"/>
          </w:tcPr>
          <w:p w14:paraId="441DD13F"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825.35</w:t>
            </w:r>
          </w:p>
        </w:tc>
        <w:tc>
          <w:tcPr>
            <w:tcW w:w="1251" w:type="pct"/>
            <w:tcBorders>
              <w:top w:val="single" w:sz="4" w:space="0" w:color="auto"/>
              <w:left w:val="single" w:sz="4" w:space="0" w:color="auto"/>
              <w:bottom w:val="single" w:sz="12" w:space="0" w:color="auto"/>
              <w:right w:val="nil"/>
            </w:tcBorders>
            <w:noWrap/>
            <w:vAlign w:val="center"/>
          </w:tcPr>
          <w:p w14:paraId="46F13421" w14:textId="77777777" w:rsidR="000A0ACD" w:rsidRDefault="00362A99">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362.23</w:t>
            </w:r>
          </w:p>
        </w:tc>
      </w:tr>
    </w:tbl>
    <w:p w14:paraId="27EFC52A" w14:textId="77777777" w:rsidR="000A0ACD" w:rsidRDefault="00362A99">
      <w:pPr>
        <w:spacing w:beforeLines="50" w:before="156" w:line="360" w:lineRule="auto"/>
        <w:ind w:firstLineChars="200" w:firstLine="480"/>
        <w:jc w:val="both"/>
        <w:rPr>
          <w:rFonts w:ascii="Times New Roman" w:hAnsi="Times New Roman" w:cs="Times New Roman"/>
          <w:color w:val="000000"/>
          <w:szCs w:val="21"/>
        </w:rPr>
      </w:pPr>
      <w:r>
        <w:rPr>
          <w:rFonts w:ascii="Times New Roman" w:hAnsi="Times New Roman" w:cs="Times New Roman" w:hint="eastAsia"/>
          <w:color w:val="000000"/>
          <w:szCs w:val="21"/>
        </w:rPr>
        <w:t>报告期内各期，标的公司研发费用分别为</w:t>
      </w:r>
      <w:r>
        <w:rPr>
          <w:rFonts w:ascii="Times New Roman" w:hAnsi="Times New Roman" w:cs="Times New Roman" w:hint="eastAsia"/>
          <w:color w:val="000000"/>
          <w:szCs w:val="21"/>
        </w:rPr>
        <w:t>362.23</w:t>
      </w:r>
      <w:r>
        <w:rPr>
          <w:rFonts w:ascii="Times New Roman" w:hAnsi="Times New Roman" w:cs="Times New Roman" w:hint="eastAsia"/>
          <w:color w:val="000000"/>
          <w:szCs w:val="21"/>
        </w:rPr>
        <w:t>万元、</w:t>
      </w:r>
      <w:r>
        <w:rPr>
          <w:rFonts w:ascii="Times New Roman" w:hAnsi="Times New Roman" w:cs="Times New Roman" w:hint="eastAsia"/>
          <w:color w:val="000000"/>
          <w:szCs w:val="21"/>
        </w:rPr>
        <w:t>825.35</w:t>
      </w:r>
      <w:r>
        <w:rPr>
          <w:rFonts w:ascii="Times New Roman" w:hAnsi="Times New Roman" w:cs="Times New Roman" w:hint="eastAsia"/>
          <w:color w:val="000000"/>
          <w:szCs w:val="21"/>
        </w:rPr>
        <w:t>万元和</w:t>
      </w:r>
      <w:r>
        <w:rPr>
          <w:rFonts w:ascii="Times New Roman" w:hAnsi="Times New Roman" w:cs="Times New Roman" w:hint="eastAsia"/>
          <w:color w:val="000000"/>
          <w:szCs w:val="21"/>
        </w:rPr>
        <w:t>958.90</w:t>
      </w:r>
      <w:r>
        <w:rPr>
          <w:rFonts w:ascii="Times New Roman" w:hAnsi="Times New Roman" w:cs="Times New Roman" w:hint="eastAsia"/>
          <w:color w:val="000000"/>
          <w:szCs w:val="21"/>
        </w:rPr>
        <w:t>万元，占营业收入的比例分别为</w:t>
      </w:r>
      <w:r>
        <w:rPr>
          <w:rFonts w:ascii="Times New Roman" w:hAnsi="Times New Roman" w:cs="Times New Roman" w:hint="eastAsia"/>
          <w:color w:val="000000"/>
          <w:szCs w:val="21"/>
        </w:rPr>
        <w:t>5.93%</w:t>
      </w:r>
      <w:r>
        <w:rPr>
          <w:rFonts w:ascii="Times New Roman" w:hAnsi="Times New Roman" w:cs="Times New Roman" w:hint="eastAsia"/>
          <w:color w:val="000000"/>
          <w:szCs w:val="21"/>
        </w:rPr>
        <w:t>、</w:t>
      </w:r>
      <w:r>
        <w:rPr>
          <w:rFonts w:ascii="Times New Roman" w:hAnsi="Times New Roman" w:cs="Times New Roman" w:hint="eastAsia"/>
          <w:color w:val="000000"/>
          <w:szCs w:val="21"/>
        </w:rPr>
        <w:t>7.99%</w:t>
      </w:r>
      <w:r>
        <w:rPr>
          <w:rFonts w:ascii="Times New Roman" w:hAnsi="Times New Roman" w:cs="Times New Roman" w:hint="eastAsia"/>
          <w:color w:val="000000"/>
          <w:szCs w:val="21"/>
        </w:rPr>
        <w:t>和</w:t>
      </w:r>
      <w:r>
        <w:rPr>
          <w:rFonts w:ascii="Times New Roman" w:hAnsi="Times New Roman" w:cs="Times New Roman" w:hint="eastAsia"/>
          <w:color w:val="000000"/>
          <w:szCs w:val="21"/>
        </w:rPr>
        <w:t>6.37%</w:t>
      </w:r>
      <w:r>
        <w:rPr>
          <w:rFonts w:ascii="Times New Roman" w:hAnsi="Times New Roman" w:cs="Times New Roman" w:hint="eastAsia"/>
          <w:color w:val="000000"/>
          <w:szCs w:val="21"/>
        </w:rPr>
        <w:t>；标的公司研发费用主要由职工工资和材料费等构成。标的公司作为生产线智能化升级改造的高新技术企业，注重研发和创新，研发费用投入逐年上升。</w:t>
      </w:r>
    </w:p>
    <w:p w14:paraId="346B9880"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二、同行业可比公司的情况</w:t>
      </w:r>
    </w:p>
    <w:p w14:paraId="1EC641D7" w14:textId="77777777" w:rsidR="000A0ACD" w:rsidRDefault="00362A99">
      <w:pPr>
        <w:spacing w:beforeLines="50" w:before="156" w:line="360" w:lineRule="auto"/>
        <w:ind w:firstLineChars="200" w:firstLine="480"/>
        <w:jc w:val="both"/>
        <w:rPr>
          <w:rFonts w:ascii="Times New Roman" w:hAnsi="Times New Roman" w:cs="Times New Roman"/>
          <w:color w:val="000000"/>
          <w:szCs w:val="21"/>
        </w:rPr>
      </w:pPr>
      <w:bookmarkStart w:id="31" w:name="_Hlk66781694"/>
      <w:r>
        <w:rPr>
          <w:rFonts w:ascii="Times New Roman" w:hAnsi="Times New Roman" w:cs="Times New Roman" w:hint="eastAsia"/>
          <w:color w:val="000000"/>
          <w:szCs w:val="21"/>
        </w:rPr>
        <w:t>标的公司所处行业内有多家竞争公司，国内行业内主要企业有广东拓斯达科技股份有限公司、杭州永创智能设备股份有限公司、快克智能装备股份有限公司、沈阳新松机器人自动化股份有限公司、南京埃斯顿自动化股份有限公司等。根据公开信息，上述同行业可比公司及标的公司的专利数量、技术储备、研发获奖情况、主要产品技术发展水平情况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42"/>
        <w:gridCol w:w="728"/>
        <w:gridCol w:w="1159"/>
        <w:gridCol w:w="2182"/>
        <w:gridCol w:w="1744"/>
        <w:gridCol w:w="2267"/>
      </w:tblGrid>
      <w:tr w:rsidR="000A0ACD" w14:paraId="05C7D015" w14:textId="77777777">
        <w:trPr>
          <w:trHeight w:val="397"/>
          <w:tblHeader/>
          <w:jc w:val="center"/>
        </w:trPr>
        <w:tc>
          <w:tcPr>
            <w:tcW w:w="259" w:type="pct"/>
            <w:tcBorders>
              <w:top w:val="single" w:sz="12" w:space="0" w:color="auto"/>
              <w:left w:val="nil"/>
              <w:bottom w:val="single" w:sz="4" w:space="0" w:color="auto"/>
              <w:right w:val="single" w:sz="4" w:space="0" w:color="auto"/>
            </w:tcBorders>
            <w:vAlign w:val="center"/>
          </w:tcPr>
          <w:bookmarkEnd w:id="31"/>
          <w:p w14:paraId="36D898B1"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序号</w:t>
            </w:r>
          </w:p>
        </w:tc>
        <w:tc>
          <w:tcPr>
            <w:tcW w:w="427" w:type="pct"/>
            <w:tcBorders>
              <w:top w:val="single" w:sz="12" w:space="0" w:color="auto"/>
              <w:left w:val="single" w:sz="4" w:space="0" w:color="auto"/>
              <w:bottom w:val="single" w:sz="4" w:space="0" w:color="auto"/>
              <w:right w:val="single" w:sz="4" w:space="0" w:color="auto"/>
            </w:tcBorders>
            <w:vAlign w:val="center"/>
          </w:tcPr>
          <w:p w14:paraId="2E6691FF"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可比公司</w:t>
            </w:r>
          </w:p>
        </w:tc>
        <w:tc>
          <w:tcPr>
            <w:tcW w:w="680" w:type="pct"/>
            <w:tcBorders>
              <w:top w:val="single" w:sz="12" w:space="0" w:color="auto"/>
              <w:left w:val="single" w:sz="4" w:space="0" w:color="auto"/>
              <w:bottom w:val="single" w:sz="4" w:space="0" w:color="auto"/>
              <w:right w:val="single" w:sz="4" w:space="0" w:color="auto"/>
            </w:tcBorders>
            <w:vAlign w:val="center"/>
          </w:tcPr>
          <w:p w14:paraId="2FFBB95B"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专利情况</w:t>
            </w:r>
          </w:p>
        </w:tc>
        <w:tc>
          <w:tcPr>
            <w:tcW w:w="1280" w:type="pct"/>
            <w:tcBorders>
              <w:top w:val="single" w:sz="12" w:space="0" w:color="auto"/>
              <w:left w:val="single" w:sz="4" w:space="0" w:color="auto"/>
              <w:bottom w:val="single" w:sz="4" w:space="0" w:color="auto"/>
              <w:right w:val="single" w:sz="4" w:space="0" w:color="auto"/>
            </w:tcBorders>
            <w:vAlign w:val="center"/>
          </w:tcPr>
          <w:p w14:paraId="6702AA1A"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技术人员及研发投入</w:t>
            </w:r>
          </w:p>
        </w:tc>
        <w:tc>
          <w:tcPr>
            <w:tcW w:w="1023" w:type="pct"/>
            <w:tcBorders>
              <w:top w:val="single" w:sz="12" w:space="0" w:color="auto"/>
              <w:left w:val="single" w:sz="4" w:space="0" w:color="auto"/>
              <w:bottom w:val="single" w:sz="4" w:space="0" w:color="auto"/>
              <w:right w:val="single" w:sz="4" w:space="0" w:color="auto"/>
            </w:tcBorders>
            <w:vAlign w:val="center"/>
          </w:tcPr>
          <w:p w14:paraId="6C44A3AD"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研发获奖情况</w:t>
            </w:r>
          </w:p>
        </w:tc>
        <w:tc>
          <w:tcPr>
            <w:tcW w:w="1330" w:type="pct"/>
            <w:tcBorders>
              <w:top w:val="single" w:sz="12" w:space="0" w:color="auto"/>
              <w:left w:val="single" w:sz="4" w:space="0" w:color="auto"/>
              <w:bottom w:val="single" w:sz="4" w:space="0" w:color="auto"/>
              <w:right w:val="nil"/>
            </w:tcBorders>
            <w:vAlign w:val="center"/>
          </w:tcPr>
          <w:p w14:paraId="204803D5"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主要产品技术发展水平</w:t>
            </w:r>
          </w:p>
        </w:tc>
      </w:tr>
      <w:tr w:rsidR="000A0ACD" w14:paraId="145F1876" w14:textId="77777777">
        <w:trPr>
          <w:trHeight w:val="397"/>
          <w:jc w:val="center"/>
        </w:trPr>
        <w:tc>
          <w:tcPr>
            <w:tcW w:w="259" w:type="pct"/>
            <w:tcBorders>
              <w:top w:val="single" w:sz="4" w:space="0" w:color="auto"/>
              <w:left w:val="nil"/>
              <w:bottom w:val="single" w:sz="4" w:space="0" w:color="auto"/>
              <w:right w:val="single" w:sz="4" w:space="0" w:color="auto"/>
            </w:tcBorders>
            <w:vAlign w:val="center"/>
          </w:tcPr>
          <w:p w14:paraId="5D8676F7"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w:t>
            </w:r>
          </w:p>
        </w:tc>
        <w:tc>
          <w:tcPr>
            <w:tcW w:w="427" w:type="pct"/>
            <w:tcBorders>
              <w:top w:val="single" w:sz="4" w:space="0" w:color="auto"/>
              <w:left w:val="single" w:sz="4" w:space="0" w:color="auto"/>
              <w:bottom w:val="single" w:sz="4" w:space="0" w:color="auto"/>
              <w:right w:val="single" w:sz="4" w:space="0" w:color="auto"/>
            </w:tcBorders>
            <w:vAlign w:val="center"/>
          </w:tcPr>
          <w:p w14:paraId="0A8ECA8F"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埃斯顿</w:t>
            </w:r>
          </w:p>
        </w:tc>
        <w:tc>
          <w:tcPr>
            <w:tcW w:w="680" w:type="pct"/>
            <w:tcBorders>
              <w:top w:val="single" w:sz="4" w:space="0" w:color="auto"/>
              <w:left w:val="single" w:sz="4" w:space="0" w:color="auto"/>
              <w:bottom w:val="single" w:sz="4" w:space="0" w:color="auto"/>
              <w:right w:val="single" w:sz="4" w:space="0" w:color="auto"/>
            </w:tcBorders>
            <w:vAlign w:val="center"/>
          </w:tcPr>
          <w:p w14:paraId="22FD87D9"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6</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日，埃斯顿拥有软件著作权</w:t>
            </w:r>
            <w:r>
              <w:rPr>
                <w:rFonts w:ascii="Times New Roman" w:hAnsi="Times New Roman" w:cs="Times New Roman" w:hint="eastAsia"/>
                <w:color w:val="000000"/>
                <w:sz w:val="21"/>
                <w:szCs w:val="21"/>
                <w:lang w:bidi="ar"/>
              </w:rPr>
              <w:t>188</w:t>
            </w:r>
            <w:r>
              <w:rPr>
                <w:rFonts w:ascii="Times New Roman" w:hAnsi="Times New Roman" w:cs="Times New Roman" w:hint="eastAsia"/>
                <w:color w:val="000000"/>
                <w:sz w:val="21"/>
                <w:szCs w:val="21"/>
                <w:lang w:bidi="ar"/>
              </w:rPr>
              <w:t>件，拥有专利</w:t>
            </w:r>
            <w:r>
              <w:rPr>
                <w:rFonts w:ascii="Times New Roman" w:hAnsi="Times New Roman" w:cs="Times New Roman" w:hint="eastAsia"/>
                <w:color w:val="000000"/>
                <w:sz w:val="21"/>
                <w:szCs w:val="21"/>
                <w:lang w:bidi="ar"/>
              </w:rPr>
              <w:t>413</w:t>
            </w:r>
            <w:r>
              <w:rPr>
                <w:rFonts w:ascii="Times New Roman" w:hAnsi="Times New Roman" w:cs="Times New Roman" w:hint="eastAsia"/>
                <w:color w:val="000000"/>
                <w:sz w:val="21"/>
                <w:szCs w:val="21"/>
                <w:lang w:bidi="ar"/>
              </w:rPr>
              <w:t>件</w:t>
            </w:r>
          </w:p>
        </w:tc>
        <w:tc>
          <w:tcPr>
            <w:tcW w:w="1280" w:type="pct"/>
            <w:tcBorders>
              <w:top w:val="single" w:sz="4" w:space="0" w:color="auto"/>
              <w:left w:val="single" w:sz="4" w:space="0" w:color="auto"/>
              <w:bottom w:val="single" w:sz="4" w:space="0" w:color="auto"/>
              <w:right w:val="single" w:sz="4" w:space="0" w:color="auto"/>
            </w:tcBorders>
            <w:vAlign w:val="center"/>
          </w:tcPr>
          <w:p w14:paraId="735156A3"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6</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日，埃斯顿拥有机器人及智能制造系统研发团队、智能控制核心控制部件研发团队以及欧洲研发中心三大研发团队；共有员工</w:t>
            </w:r>
            <w:r>
              <w:rPr>
                <w:rFonts w:ascii="Times New Roman" w:hAnsi="Times New Roman" w:cs="Times New Roman" w:hint="eastAsia"/>
                <w:color w:val="000000"/>
                <w:sz w:val="21"/>
                <w:szCs w:val="21"/>
                <w:lang w:bidi="ar"/>
              </w:rPr>
              <w:t>2,417</w:t>
            </w:r>
            <w:r>
              <w:rPr>
                <w:rFonts w:ascii="Times New Roman" w:hAnsi="Times New Roman" w:cs="Times New Roman" w:hint="eastAsia"/>
                <w:color w:val="000000"/>
                <w:sz w:val="21"/>
                <w:szCs w:val="21"/>
                <w:lang w:bidi="ar"/>
              </w:rPr>
              <w:t>人，其中研发及工程技术人员</w:t>
            </w:r>
            <w:r>
              <w:rPr>
                <w:rFonts w:ascii="Times New Roman" w:hAnsi="Times New Roman" w:cs="Times New Roman" w:hint="eastAsia"/>
                <w:color w:val="000000"/>
                <w:sz w:val="21"/>
                <w:szCs w:val="21"/>
                <w:lang w:bidi="ar"/>
              </w:rPr>
              <w:t>693</w:t>
            </w:r>
            <w:r>
              <w:rPr>
                <w:rFonts w:ascii="Times New Roman" w:hAnsi="Times New Roman" w:cs="Times New Roman" w:hint="eastAsia"/>
                <w:color w:val="000000"/>
                <w:sz w:val="21"/>
                <w:szCs w:val="21"/>
                <w:lang w:bidi="ar"/>
              </w:rPr>
              <w:t>名，占员工总数的</w:t>
            </w:r>
            <w:r>
              <w:rPr>
                <w:rFonts w:ascii="Times New Roman" w:hAnsi="Times New Roman" w:cs="Times New Roman" w:hint="eastAsia"/>
                <w:color w:val="000000"/>
                <w:sz w:val="21"/>
                <w:szCs w:val="21"/>
                <w:lang w:bidi="ar"/>
              </w:rPr>
              <w:t>28.67%</w:t>
            </w:r>
            <w:r>
              <w:rPr>
                <w:rFonts w:ascii="Times New Roman" w:hAnsi="Times New Roman" w:cs="Times New Roman" w:hint="eastAsia"/>
                <w:color w:val="000000"/>
                <w:sz w:val="21"/>
                <w:szCs w:val="21"/>
                <w:lang w:bidi="ar"/>
              </w:rPr>
              <w:t>；研发投入</w:t>
            </w:r>
            <w:r>
              <w:rPr>
                <w:rFonts w:ascii="Times New Roman" w:hAnsi="Times New Roman" w:cs="Times New Roman" w:hint="eastAsia"/>
                <w:color w:val="000000"/>
                <w:sz w:val="21"/>
                <w:szCs w:val="21"/>
                <w:lang w:bidi="ar"/>
              </w:rPr>
              <w:t>9,612.20</w:t>
            </w:r>
            <w:r>
              <w:rPr>
                <w:rFonts w:ascii="Times New Roman" w:hAnsi="Times New Roman" w:cs="Times New Roman" w:hint="eastAsia"/>
                <w:color w:val="000000"/>
                <w:sz w:val="21"/>
                <w:szCs w:val="21"/>
                <w:lang w:bidi="ar"/>
              </w:rPr>
              <w:t>万元，占收入比例的</w:t>
            </w:r>
            <w:r>
              <w:rPr>
                <w:rFonts w:ascii="Times New Roman" w:hAnsi="Times New Roman" w:cs="Times New Roman" w:hint="eastAsia"/>
                <w:color w:val="000000"/>
                <w:sz w:val="21"/>
                <w:szCs w:val="21"/>
                <w:lang w:bidi="ar"/>
              </w:rPr>
              <w:t>8.20%</w:t>
            </w:r>
          </w:p>
        </w:tc>
        <w:tc>
          <w:tcPr>
            <w:tcW w:w="1023" w:type="pct"/>
            <w:tcBorders>
              <w:top w:val="single" w:sz="4" w:space="0" w:color="auto"/>
              <w:left w:val="single" w:sz="4" w:space="0" w:color="auto"/>
              <w:bottom w:val="single" w:sz="4" w:space="0" w:color="auto"/>
              <w:right w:val="single" w:sz="4" w:space="0" w:color="auto"/>
            </w:tcBorders>
            <w:vAlign w:val="center"/>
          </w:tcPr>
          <w:p w14:paraId="12759E02"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年，埃斯顿被福布斯评为</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年中国最具创新力企业榜</w:t>
            </w:r>
            <w:r>
              <w:rPr>
                <w:rFonts w:ascii="Times New Roman" w:hAnsi="Times New Roman" w:cs="Times New Roman" w:hint="eastAsia"/>
                <w:color w:val="000000"/>
                <w:sz w:val="21"/>
                <w:szCs w:val="21"/>
                <w:lang w:bidi="ar"/>
              </w:rPr>
              <w:t>TOP50</w:t>
            </w:r>
            <w:r>
              <w:rPr>
                <w:rFonts w:ascii="Times New Roman" w:hAnsi="Times New Roman" w:cs="Times New Roman" w:hint="eastAsia"/>
                <w:color w:val="000000"/>
                <w:sz w:val="21"/>
                <w:szCs w:val="21"/>
                <w:lang w:bidi="ar"/>
              </w:rPr>
              <w:t>，为工信部力推的“中国机器人</w:t>
            </w:r>
            <w:r>
              <w:rPr>
                <w:rFonts w:ascii="Times New Roman" w:hAnsi="Times New Roman" w:cs="Times New Roman" w:hint="eastAsia"/>
                <w:color w:val="000000"/>
                <w:sz w:val="21"/>
                <w:szCs w:val="21"/>
                <w:lang w:bidi="ar"/>
              </w:rPr>
              <w:t>TOP10</w:t>
            </w:r>
            <w:r>
              <w:rPr>
                <w:rFonts w:ascii="Times New Roman" w:hAnsi="Times New Roman" w:cs="Times New Roman" w:hint="eastAsia"/>
                <w:color w:val="000000"/>
                <w:sz w:val="21"/>
                <w:szCs w:val="21"/>
                <w:lang w:bidi="ar"/>
              </w:rPr>
              <w:t>”标杆企业之一，同时入选国家工信部“绿色制造”名单，被评选为“国家知识产权优势企业”</w:t>
            </w:r>
          </w:p>
        </w:tc>
        <w:tc>
          <w:tcPr>
            <w:tcW w:w="1330" w:type="pct"/>
            <w:tcBorders>
              <w:top w:val="single" w:sz="4" w:space="0" w:color="auto"/>
              <w:left w:val="single" w:sz="4" w:space="0" w:color="auto"/>
              <w:bottom w:val="single" w:sz="4" w:space="0" w:color="auto"/>
              <w:right w:val="nil"/>
            </w:tcBorders>
            <w:vAlign w:val="center"/>
          </w:tcPr>
          <w:p w14:paraId="453B70B1"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埃斯顿现有两大核心业务：其中自动化核心部件产品线已完成从交流伺服系统到运动控制系统解决方案的战略转型，业务模式正在实现从单轴—单机—单元的全面升华；工业机器人产品线在自主核心部件的支撑下形成核心部件</w:t>
            </w:r>
          </w:p>
        </w:tc>
      </w:tr>
      <w:tr w:rsidR="000A0ACD" w14:paraId="1A106A9B" w14:textId="77777777">
        <w:trPr>
          <w:trHeight w:val="397"/>
          <w:jc w:val="center"/>
        </w:trPr>
        <w:tc>
          <w:tcPr>
            <w:tcW w:w="259" w:type="pct"/>
            <w:tcBorders>
              <w:top w:val="single" w:sz="4" w:space="0" w:color="auto"/>
              <w:left w:val="nil"/>
              <w:bottom w:val="single" w:sz="4" w:space="0" w:color="auto"/>
              <w:right w:val="single" w:sz="4" w:space="0" w:color="auto"/>
            </w:tcBorders>
            <w:vAlign w:val="center"/>
          </w:tcPr>
          <w:p w14:paraId="1F3A1866"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w:t>
            </w:r>
          </w:p>
        </w:tc>
        <w:tc>
          <w:tcPr>
            <w:tcW w:w="427" w:type="pct"/>
            <w:tcBorders>
              <w:top w:val="single" w:sz="4" w:space="0" w:color="auto"/>
              <w:left w:val="single" w:sz="4" w:space="0" w:color="auto"/>
              <w:bottom w:val="single" w:sz="4" w:space="0" w:color="auto"/>
              <w:right w:val="single" w:sz="4" w:space="0" w:color="auto"/>
            </w:tcBorders>
            <w:vAlign w:val="center"/>
          </w:tcPr>
          <w:p w14:paraId="12C6B702"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拓斯达</w:t>
            </w:r>
          </w:p>
        </w:tc>
        <w:tc>
          <w:tcPr>
            <w:tcW w:w="680" w:type="pct"/>
            <w:tcBorders>
              <w:top w:val="single" w:sz="4" w:space="0" w:color="auto"/>
              <w:left w:val="single" w:sz="4" w:space="0" w:color="auto"/>
              <w:bottom w:val="single" w:sz="4" w:space="0" w:color="auto"/>
              <w:right w:val="single" w:sz="4" w:space="0" w:color="auto"/>
            </w:tcBorders>
            <w:vAlign w:val="center"/>
          </w:tcPr>
          <w:p w14:paraId="6C6772CF"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9</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日拓斯达拥有专利</w:t>
            </w:r>
            <w:r>
              <w:rPr>
                <w:rFonts w:ascii="Times New Roman" w:hAnsi="Times New Roman" w:cs="Times New Roman" w:hint="eastAsia"/>
                <w:color w:val="000000"/>
                <w:sz w:val="21"/>
                <w:szCs w:val="21"/>
                <w:lang w:bidi="ar"/>
              </w:rPr>
              <w:t>315</w:t>
            </w:r>
            <w:r>
              <w:rPr>
                <w:rFonts w:ascii="Times New Roman" w:hAnsi="Times New Roman" w:cs="Times New Roman" w:hint="eastAsia"/>
                <w:color w:val="000000"/>
                <w:sz w:val="21"/>
                <w:szCs w:val="21"/>
                <w:lang w:bidi="ar"/>
              </w:rPr>
              <w:t>项，其中发明专利</w:t>
            </w:r>
            <w:r>
              <w:rPr>
                <w:rFonts w:ascii="Times New Roman" w:hAnsi="Times New Roman" w:cs="Times New Roman" w:hint="eastAsia"/>
                <w:color w:val="000000"/>
                <w:sz w:val="21"/>
                <w:szCs w:val="21"/>
                <w:lang w:bidi="ar"/>
              </w:rPr>
              <w:t>13</w:t>
            </w:r>
            <w:r>
              <w:rPr>
                <w:rFonts w:ascii="Times New Roman" w:hAnsi="Times New Roman" w:cs="Times New Roman" w:hint="eastAsia"/>
                <w:color w:val="000000"/>
                <w:sz w:val="21"/>
                <w:szCs w:val="21"/>
                <w:lang w:bidi="ar"/>
              </w:rPr>
              <w:t>项，另有处于实审阶段的发明专利</w:t>
            </w:r>
            <w:r>
              <w:rPr>
                <w:rFonts w:ascii="Times New Roman" w:hAnsi="Times New Roman" w:cs="Times New Roman" w:hint="eastAsia"/>
                <w:color w:val="000000"/>
                <w:sz w:val="21"/>
                <w:szCs w:val="21"/>
                <w:lang w:bidi="ar"/>
              </w:rPr>
              <w:t>129</w:t>
            </w:r>
            <w:r>
              <w:rPr>
                <w:rFonts w:ascii="Times New Roman" w:hAnsi="Times New Roman" w:cs="Times New Roman" w:hint="eastAsia"/>
                <w:color w:val="000000"/>
                <w:sz w:val="21"/>
                <w:szCs w:val="21"/>
                <w:lang w:bidi="ar"/>
              </w:rPr>
              <w:t>项，以及软件著作权</w:t>
            </w:r>
            <w:r>
              <w:rPr>
                <w:rFonts w:ascii="Times New Roman" w:hAnsi="Times New Roman" w:cs="Times New Roman" w:hint="eastAsia"/>
                <w:color w:val="000000"/>
                <w:sz w:val="21"/>
                <w:szCs w:val="21"/>
                <w:lang w:bidi="ar"/>
              </w:rPr>
              <w:t>53</w:t>
            </w:r>
            <w:r>
              <w:rPr>
                <w:rFonts w:ascii="Times New Roman" w:hAnsi="Times New Roman" w:cs="Times New Roman" w:hint="eastAsia"/>
                <w:color w:val="000000"/>
                <w:sz w:val="21"/>
                <w:szCs w:val="21"/>
                <w:lang w:bidi="ar"/>
              </w:rPr>
              <w:t>项</w:t>
            </w:r>
          </w:p>
        </w:tc>
        <w:tc>
          <w:tcPr>
            <w:tcW w:w="1280" w:type="pct"/>
            <w:tcBorders>
              <w:top w:val="single" w:sz="4" w:space="0" w:color="auto"/>
              <w:left w:val="single" w:sz="4" w:space="0" w:color="auto"/>
              <w:bottom w:val="single" w:sz="4" w:space="0" w:color="auto"/>
              <w:right w:val="single" w:sz="4" w:space="0" w:color="auto"/>
            </w:tcBorders>
            <w:vAlign w:val="center"/>
          </w:tcPr>
          <w:p w14:paraId="57AC5A0C"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9</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日，拓斯达拥有研发人员</w:t>
            </w:r>
            <w:r>
              <w:rPr>
                <w:rFonts w:ascii="Times New Roman" w:hAnsi="Times New Roman" w:cs="Times New Roman" w:hint="eastAsia"/>
                <w:color w:val="000000"/>
                <w:sz w:val="21"/>
                <w:szCs w:val="21"/>
                <w:lang w:bidi="ar"/>
              </w:rPr>
              <w:t>795</w:t>
            </w:r>
            <w:r>
              <w:rPr>
                <w:rFonts w:ascii="Times New Roman" w:hAnsi="Times New Roman" w:cs="Times New Roman" w:hint="eastAsia"/>
                <w:color w:val="000000"/>
                <w:sz w:val="21"/>
                <w:szCs w:val="21"/>
                <w:lang w:bidi="ar"/>
              </w:rPr>
              <w:t>人，占总员工人数比例达</w:t>
            </w:r>
            <w:r>
              <w:rPr>
                <w:rFonts w:ascii="Times New Roman" w:hAnsi="Times New Roman" w:cs="Times New Roman" w:hint="eastAsia"/>
                <w:color w:val="000000"/>
                <w:sz w:val="21"/>
                <w:szCs w:val="21"/>
                <w:lang w:bidi="ar"/>
              </w:rPr>
              <w:t>32.61%</w:t>
            </w:r>
            <w:r>
              <w:rPr>
                <w:rFonts w:ascii="Times New Roman" w:hAnsi="Times New Roman" w:cs="Times New Roman" w:hint="eastAsia"/>
                <w:color w:val="000000"/>
                <w:sz w:val="21"/>
                <w:szCs w:val="21"/>
                <w:lang w:bidi="ar"/>
              </w:rPr>
              <w:t>；研发费用投入</w:t>
            </w:r>
            <w:r>
              <w:rPr>
                <w:rFonts w:ascii="Times New Roman" w:hAnsi="Times New Roman" w:cs="Times New Roman" w:hint="eastAsia"/>
                <w:color w:val="000000"/>
                <w:sz w:val="21"/>
                <w:szCs w:val="21"/>
                <w:lang w:bidi="ar"/>
              </w:rPr>
              <w:t>12,606.82</w:t>
            </w:r>
            <w:r>
              <w:rPr>
                <w:rFonts w:ascii="Times New Roman" w:hAnsi="Times New Roman" w:cs="Times New Roman" w:hint="eastAsia"/>
                <w:color w:val="000000"/>
                <w:sz w:val="21"/>
                <w:szCs w:val="21"/>
                <w:lang w:bidi="ar"/>
              </w:rPr>
              <w:t>万元，研发费用占营业收入的比重为</w:t>
            </w:r>
            <w:r>
              <w:rPr>
                <w:rFonts w:ascii="Times New Roman" w:hAnsi="Times New Roman" w:cs="Times New Roman" w:hint="eastAsia"/>
                <w:color w:val="000000"/>
                <w:sz w:val="21"/>
                <w:szCs w:val="21"/>
                <w:lang w:bidi="ar"/>
              </w:rPr>
              <w:t>6.21%</w:t>
            </w:r>
          </w:p>
        </w:tc>
        <w:tc>
          <w:tcPr>
            <w:tcW w:w="1023" w:type="pct"/>
            <w:tcBorders>
              <w:top w:val="single" w:sz="4" w:space="0" w:color="auto"/>
              <w:left w:val="single" w:sz="4" w:space="0" w:color="auto"/>
              <w:bottom w:val="single" w:sz="4" w:space="0" w:color="auto"/>
              <w:right w:val="single" w:sz="4" w:space="0" w:color="auto"/>
            </w:tcBorders>
            <w:vAlign w:val="center"/>
          </w:tcPr>
          <w:p w14:paraId="0A07591A"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拓斯达是国家高新技术企业、广东省级企业技术中心中国机器人产业联盟理事单位、广东省工业互联网产业联盟会员单位，连续多年获得行业媒体金球奖等认可</w:t>
            </w:r>
          </w:p>
        </w:tc>
        <w:tc>
          <w:tcPr>
            <w:tcW w:w="1330" w:type="pct"/>
            <w:tcBorders>
              <w:top w:val="single" w:sz="4" w:space="0" w:color="auto"/>
              <w:left w:val="single" w:sz="4" w:space="0" w:color="auto"/>
              <w:bottom w:val="single" w:sz="4" w:space="0" w:color="auto"/>
              <w:right w:val="nil"/>
            </w:tcBorders>
            <w:vAlign w:val="center"/>
          </w:tcPr>
          <w:p w14:paraId="56F1ECA5"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拓斯达目前主要拥有</w:t>
            </w:r>
            <w:r>
              <w:rPr>
                <w:rFonts w:ascii="Times New Roman" w:hAnsi="Times New Roman" w:cs="Times New Roman" w:hint="eastAsia"/>
                <w:color w:val="000000"/>
                <w:sz w:val="21"/>
                <w:szCs w:val="21"/>
                <w:lang w:bidi="ar"/>
              </w:rPr>
              <w:t>10</w:t>
            </w:r>
            <w:r>
              <w:rPr>
                <w:rFonts w:ascii="Times New Roman" w:hAnsi="Times New Roman" w:cs="Times New Roman" w:hint="eastAsia"/>
                <w:color w:val="000000"/>
                <w:sz w:val="21"/>
                <w:szCs w:val="21"/>
                <w:lang w:bidi="ar"/>
              </w:rPr>
              <w:t>项核心技术，如玻璃</w:t>
            </w:r>
            <w:r>
              <w:rPr>
                <w:rFonts w:ascii="Times New Roman" w:hAnsi="Times New Roman" w:cs="Times New Roman" w:hint="eastAsia"/>
                <w:color w:val="000000"/>
                <w:sz w:val="21"/>
                <w:szCs w:val="21"/>
                <w:lang w:bidi="ar"/>
              </w:rPr>
              <w:t>AOI</w:t>
            </w:r>
            <w:r>
              <w:rPr>
                <w:rFonts w:ascii="Times New Roman" w:hAnsi="Times New Roman" w:cs="Times New Roman" w:hint="eastAsia"/>
                <w:color w:val="000000"/>
                <w:sz w:val="21"/>
                <w:szCs w:val="21"/>
                <w:lang w:bidi="ar"/>
              </w:rPr>
              <w:t>检测自动上料收料系统、清洗机和</w:t>
            </w:r>
            <w:r>
              <w:rPr>
                <w:rFonts w:ascii="Times New Roman" w:hAnsi="Times New Roman" w:cs="Times New Roman" w:hint="eastAsia"/>
                <w:color w:val="000000"/>
                <w:sz w:val="21"/>
                <w:szCs w:val="21"/>
                <w:lang w:bidi="ar"/>
              </w:rPr>
              <w:t>AOI</w:t>
            </w:r>
            <w:r>
              <w:rPr>
                <w:rFonts w:ascii="Times New Roman" w:hAnsi="Times New Roman" w:cs="Times New Roman" w:hint="eastAsia"/>
                <w:color w:val="000000"/>
                <w:sz w:val="21"/>
                <w:szCs w:val="21"/>
                <w:lang w:bidi="ar"/>
              </w:rPr>
              <w:t>检测机之间的驳接机构、防二次不良的玻璃传输装置等</w:t>
            </w:r>
          </w:p>
        </w:tc>
      </w:tr>
      <w:tr w:rsidR="000A0ACD" w14:paraId="61A1C1BC" w14:textId="77777777">
        <w:trPr>
          <w:trHeight w:val="397"/>
          <w:jc w:val="center"/>
        </w:trPr>
        <w:tc>
          <w:tcPr>
            <w:tcW w:w="259" w:type="pct"/>
            <w:tcBorders>
              <w:top w:val="single" w:sz="4" w:space="0" w:color="auto"/>
              <w:left w:val="nil"/>
              <w:bottom w:val="single" w:sz="4" w:space="0" w:color="auto"/>
              <w:right w:val="single" w:sz="4" w:space="0" w:color="auto"/>
            </w:tcBorders>
            <w:vAlign w:val="center"/>
          </w:tcPr>
          <w:p w14:paraId="02D68F09"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3</w:t>
            </w:r>
          </w:p>
        </w:tc>
        <w:tc>
          <w:tcPr>
            <w:tcW w:w="427" w:type="pct"/>
            <w:tcBorders>
              <w:top w:val="single" w:sz="4" w:space="0" w:color="auto"/>
              <w:left w:val="single" w:sz="4" w:space="0" w:color="auto"/>
              <w:bottom w:val="single" w:sz="4" w:space="0" w:color="auto"/>
              <w:right w:val="single" w:sz="4" w:space="0" w:color="auto"/>
            </w:tcBorders>
            <w:vAlign w:val="center"/>
          </w:tcPr>
          <w:p w14:paraId="7C39EDC2"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永创智能</w:t>
            </w:r>
          </w:p>
        </w:tc>
        <w:tc>
          <w:tcPr>
            <w:tcW w:w="680" w:type="pct"/>
            <w:tcBorders>
              <w:top w:val="single" w:sz="4" w:space="0" w:color="auto"/>
              <w:left w:val="single" w:sz="4" w:space="0" w:color="auto"/>
              <w:bottom w:val="single" w:sz="4" w:space="0" w:color="auto"/>
              <w:right w:val="single" w:sz="4" w:space="0" w:color="auto"/>
            </w:tcBorders>
            <w:vAlign w:val="center"/>
          </w:tcPr>
          <w:p w14:paraId="55633319"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年末，永创智能拥有专利、软件著作权共</w:t>
            </w:r>
            <w:r>
              <w:rPr>
                <w:rFonts w:ascii="Times New Roman" w:hAnsi="Times New Roman" w:cs="Times New Roman" w:hint="eastAsia"/>
                <w:color w:val="000000"/>
                <w:sz w:val="21"/>
                <w:szCs w:val="21"/>
                <w:lang w:bidi="ar"/>
              </w:rPr>
              <w:t>565</w:t>
            </w:r>
            <w:r>
              <w:rPr>
                <w:rFonts w:ascii="Times New Roman" w:hAnsi="Times New Roman" w:cs="Times New Roman" w:hint="eastAsia"/>
                <w:color w:val="000000"/>
                <w:sz w:val="21"/>
                <w:szCs w:val="21"/>
                <w:lang w:bidi="ar"/>
              </w:rPr>
              <w:t>项，其中发明专利</w:t>
            </w:r>
            <w:r>
              <w:rPr>
                <w:rFonts w:ascii="Times New Roman" w:hAnsi="Times New Roman" w:cs="Times New Roman" w:hint="eastAsia"/>
                <w:color w:val="000000"/>
                <w:sz w:val="21"/>
                <w:szCs w:val="21"/>
                <w:lang w:bidi="ar"/>
              </w:rPr>
              <w:t>71</w:t>
            </w:r>
            <w:r>
              <w:rPr>
                <w:rFonts w:ascii="Times New Roman" w:hAnsi="Times New Roman" w:cs="Times New Roman" w:hint="eastAsia"/>
                <w:color w:val="000000"/>
                <w:sz w:val="21"/>
                <w:szCs w:val="21"/>
                <w:lang w:bidi="ar"/>
              </w:rPr>
              <w:t>项，商标</w:t>
            </w:r>
            <w:r>
              <w:rPr>
                <w:rFonts w:ascii="Times New Roman" w:hAnsi="Times New Roman" w:cs="Times New Roman" w:hint="eastAsia"/>
                <w:color w:val="000000"/>
                <w:sz w:val="21"/>
                <w:szCs w:val="21"/>
                <w:lang w:bidi="ar"/>
              </w:rPr>
              <w:t>60</w:t>
            </w:r>
            <w:r>
              <w:rPr>
                <w:rFonts w:ascii="Times New Roman" w:hAnsi="Times New Roman" w:cs="Times New Roman" w:hint="eastAsia"/>
                <w:color w:val="000000"/>
                <w:sz w:val="21"/>
                <w:szCs w:val="21"/>
                <w:lang w:bidi="ar"/>
              </w:rPr>
              <w:t>余项</w:t>
            </w:r>
          </w:p>
        </w:tc>
        <w:tc>
          <w:tcPr>
            <w:tcW w:w="1280" w:type="pct"/>
            <w:tcBorders>
              <w:top w:val="single" w:sz="4" w:space="0" w:color="auto"/>
              <w:left w:val="single" w:sz="4" w:space="0" w:color="auto"/>
              <w:bottom w:val="single" w:sz="4" w:space="0" w:color="auto"/>
              <w:right w:val="single" w:sz="4" w:space="0" w:color="auto"/>
            </w:tcBorders>
            <w:vAlign w:val="center"/>
          </w:tcPr>
          <w:p w14:paraId="59AC2E28"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2019</w:t>
            </w:r>
            <w:r>
              <w:rPr>
                <w:rFonts w:ascii="Times New Roman" w:hAnsi="Times New Roman" w:cs="Times New Roman" w:hint="eastAsia"/>
                <w:color w:val="000000"/>
                <w:sz w:val="21"/>
                <w:szCs w:val="21"/>
                <w:lang w:bidi="ar"/>
              </w:rPr>
              <w:t>年末，永创智能技术研发人员共</w:t>
            </w:r>
            <w:r>
              <w:rPr>
                <w:rFonts w:ascii="Times New Roman" w:hAnsi="Times New Roman" w:cs="Times New Roman" w:hint="eastAsia"/>
                <w:color w:val="000000"/>
                <w:sz w:val="21"/>
                <w:szCs w:val="21"/>
                <w:lang w:bidi="ar"/>
              </w:rPr>
              <w:t>672</w:t>
            </w:r>
            <w:r>
              <w:rPr>
                <w:rFonts w:ascii="Times New Roman" w:hAnsi="Times New Roman" w:cs="Times New Roman" w:hint="eastAsia"/>
                <w:color w:val="000000"/>
                <w:sz w:val="21"/>
                <w:szCs w:val="21"/>
                <w:lang w:bidi="ar"/>
              </w:rPr>
              <w:t>人，占总人数的</w:t>
            </w:r>
            <w:r>
              <w:rPr>
                <w:rFonts w:ascii="Times New Roman" w:hAnsi="Times New Roman" w:cs="Times New Roman" w:hint="eastAsia"/>
                <w:color w:val="000000"/>
                <w:sz w:val="21"/>
                <w:szCs w:val="21"/>
                <w:lang w:bidi="ar"/>
              </w:rPr>
              <w:t>21.74%</w:t>
            </w:r>
            <w:r>
              <w:rPr>
                <w:rFonts w:ascii="Times New Roman" w:hAnsi="Times New Roman" w:cs="Times New Roman" w:hint="eastAsia"/>
                <w:color w:val="000000"/>
                <w:sz w:val="21"/>
                <w:szCs w:val="21"/>
                <w:lang w:bidi="ar"/>
              </w:rPr>
              <w:t>，较</w:t>
            </w:r>
            <w:r>
              <w:rPr>
                <w:rFonts w:ascii="Times New Roman" w:hAnsi="Times New Roman" w:cs="Times New Roman" w:hint="eastAsia"/>
                <w:color w:val="000000"/>
                <w:sz w:val="21"/>
                <w:szCs w:val="21"/>
                <w:lang w:bidi="ar"/>
              </w:rPr>
              <w:t>2018</w:t>
            </w:r>
            <w:r>
              <w:rPr>
                <w:rFonts w:ascii="Times New Roman" w:hAnsi="Times New Roman" w:cs="Times New Roman" w:hint="eastAsia"/>
                <w:color w:val="000000"/>
                <w:sz w:val="21"/>
                <w:szCs w:val="21"/>
                <w:lang w:bidi="ar"/>
              </w:rPr>
              <w:t>年新增</w:t>
            </w:r>
            <w:r>
              <w:rPr>
                <w:rFonts w:ascii="Times New Roman" w:hAnsi="Times New Roman" w:cs="Times New Roman" w:hint="eastAsia"/>
                <w:color w:val="000000"/>
                <w:sz w:val="21"/>
                <w:szCs w:val="21"/>
                <w:lang w:bidi="ar"/>
              </w:rPr>
              <w:t>102</w:t>
            </w:r>
            <w:r>
              <w:rPr>
                <w:rFonts w:ascii="Times New Roman" w:hAnsi="Times New Roman" w:cs="Times New Roman" w:hint="eastAsia"/>
                <w:color w:val="000000"/>
                <w:sz w:val="21"/>
                <w:szCs w:val="21"/>
                <w:lang w:bidi="ar"/>
              </w:rPr>
              <w:t>名技术人员；</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1-9</w:t>
            </w:r>
            <w:r>
              <w:rPr>
                <w:rFonts w:ascii="Times New Roman" w:hAnsi="Times New Roman" w:cs="Times New Roman" w:hint="eastAsia"/>
                <w:color w:val="000000"/>
                <w:sz w:val="21"/>
                <w:szCs w:val="21"/>
                <w:lang w:bidi="ar"/>
              </w:rPr>
              <w:t>月，研发费用投入</w:t>
            </w:r>
            <w:r>
              <w:rPr>
                <w:rFonts w:ascii="Times New Roman" w:hAnsi="Times New Roman" w:cs="Times New Roman" w:hint="eastAsia"/>
                <w:color w:val="000000"/>
                <w:sz w:val="21"/>
                <w:szCs w:val="21"/>
                <w:lang w:bidi="ar"/>
              </w:rPr>
              <w:t>6,588.92</w:t>
            </w:r>
            <w:r>
              <w:rPr>
                <w:rFonts w:ascii="Times New Roman" w:hAnsi="Times New Roman" w:cs="Times New Roman" w:hint="eastAsia"/>
                <w:color w:val="000000"/>
                <w:sz w:val="21"/>
                <w:szCs w:val="21"/>
                <w:lang w:bidi="ar"/>
              </w:rPr>
              <w:t>万元，研发费用占营业收入的比重为</w:t>
            </w:r>
            <w:r>
              <w:rPr>
                <w:rFonts w:ascii="Times New Roman" w:hAnsi="Times New Roman" w:cs="Times New Roman" w:hint="eastAsia"/>
                <w:color w:val="000000"/>
                <w:sz w:val="21"/>
                <w:szCs w:val="21"/>
                <w:lang w:bidi="ar"/>
              </w:rPr>
              <w:t>4.82%</w:t>
            </w:r>
          </w:p>
        </w:tc>
        <w:tc>
          <w:tcPr>
            <w:tcW w:w="1023" w:type="pct"/>
            <w:tcBorders>
              <w:top w:val="single" w:sz="4" w:space="0" w:color="auto"/>
              <w:left w:val="single" w:sz="4" w:space="0" w:color="auto"/>
              <w:bottom w:val="single" w:sz="4" w:space="0" w:color="auto"/>
              <w:right w:val="single" w:sz="4" w:space="0" w:color="auto"/>
            </w:tcBorders>
            <w:vAlign w:val="center"/>
          </w:tcPr>
          <w:p w14:paraId="3D7399D6" w14:textId="77777777" w:rsidR="000A0ACD" w:rsidRDefault="00362A99">
            <w:pPr>
              <w:wordWrap w:val="0"/>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永创智能</w:t>
            </w:r>
            <w:r>
              <w:rPr>
                <w:rFonts w:ascii="Times New Roman" w:hAnsi="Times New Roman" w:cs="Times New Roman" w:hint="eastAsia"/>
                <w:color w:val="000000"/>
                <w:sz w:val="21"/>
                <w:szCs w:val="21"/>
                <w:lang w:bidi="ar"/>
              </w:rPr>
              <w:t>2008</w:t>
            </w:r>
            <w:r>
              <w:rPr>
                <w:rFonts w:ascii="Times New Roman" w:hAnsi="Times New Roman" w:cs="Times New Roman" w:hint="eastAsia"/>
                <w:color w:val="000000"/>
                <w:sz w:val="21"/>
                <w:szCs w:val="21"/>
                <w:lang w:bidi="ar"/>
              </w:rPr>
              <w:t>年被评为国家高新技术企业，</w:t>
            </w:r>
            <w:r>
              <w:rPr>
                <w:rFonts w:ascii="Times New Roman" w:hAnsi="Times New Roman" w:cs="Times New Roman" w:hint="eastAsia"/>
                <w:color w:val="000000"/>
                <w:sz w:val="21"/>
                <w:szCs w:val="21"/>
                <w:lang w:bidi="ar"/>
              </w:rPr>
              <w:t>2010</w:t>
            </w:r>
            <w:r>
              <w:rPr>
                <w:rFonts w:ascii="Times New Roman" w:hAnsi="Times New Roman" w:cs="Times New Roman" w:hint="eastAsia"/>
                <w:color w:val="000000"/>
                <w:sz w:val="21"/>
                <w:szCs w:val="21"/>
                <w:lang w:bidi="ar"/>
              </w:rPr>
              <w:t>年被评为国家火炬计划重点高新技术企业，其主持制定的《机械式自动捆扎机》（</w:t>
            </w:r>
            <w:r>
              <w:rPr>
                <w:rFonts w:ascii="Times New Roman" w:hAnsi="Times New Roman" w:cs="Times New Roman" w:hint="eastAsia"/>
                <w:color w:val="000000"/>
                <w:sz w:val="21"/>
                <w:szCs w:val="21"/>
                <w:lang w:bidi="ar"/>
              </w:rPr>
              <w:t>JB/T3790.1-2004</w:t>
            </w:r>
            <w:r>
              <w:rPr>
                <w:rFonts w:ascii="Times New Roman" w:hAnsi="Times New Roman" w:cs="Times New Roman" w:hint="eastAsia"/>
                <w:color w:val="000000"/>
                <w:sz w:val="21"/>
                <w:szCs w:val="21"/>
                <w:lang w:bidi="ar"/>
              </w:rPr>
              <w:t>）行业标准获得中国标准创新贡献奖三等奖</w:t>
            </w:r>
          </w:p>
        </w:tc>
        <w:tc>
          <w:tcPr>
            <w:tcW w:w="1330" w:type="pct"/>
            <w:tcBorders>
              <w:top w:val="single" w:sz="4" w:space="0" w:color="auto"/>
              <w:left w:val="single" w:sz="4" w:space="0" w:color="auto"/>
              <w:bottom w:val="single" w:sz="4" w:space="0" w:color="auto"/>
              <w:right w:val="nil"/>
            </w:tcBorders>
            <w:vAlign w:val="center"/>
          </w:tcPr>
          <w:p w14:paraId="16E17066"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永创智能自主研发的彩盒柔性智能包装装备、纸包机、新型捆扎机产品技术达到国际领先水平；纸箱成型机、纸片式包装机、全自动装箱机、装盒机、包膜热收缩机等技术水平国内领先</w:t>
            </w:r>
          </w:p>
        </w:tc>
      </w:tr>
      <w:tr w:rsidR="000A0ACD" w14:paraId="46C575CD" w14:textId="77777777">
        <w:trPr>
          <w:trHeight w:val="397"/>
          <w:jc w:val="center"/>
        </w:trPr>
        <w:tc>
          <w:tcPr>
            <w:tcW w:w="259" w:type="pct"/>
            <w:tcBorders>
              <w:top w:val="single" w:sz="4" w:space="0" w:color="auto"/>
              <w:left w:val="nil"/>
              <w:bottom w:val="single" w:sz="4" w:space="0" w:color="auto"/>
              <w:right w:val="single" w:sz="4" w:space="0" w:color="auto"/>
            </w:tcBorders>
            <w:vAlign w:val="center"/>
          </w:tcPr>
          <w:p w14:paraId="15922A7B"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4</w:t>
            </w:r>
          </w:p>
        </w:tc>
        <w:tc>
          <w:tcPr>
            <w:tcW w:w="427" w:type="pct"/>
            <w:tcBorders>
              <w:top w:val="single" w:sz="4" w:space="0" w:color="auto"/>
              <w:left w:val="single" w:sz="4" w:space="0" w:color="auto"/>
              <w:bottom w:val="single" w:sz="4" w:space="0" w:color="auto"/>
              <w:right w:val="single" w:sz="4" w:space="0" w:color="auto"/>
            </w:tcBorders>
            <w:vAlign w:val="center"/>
          </w:tcPr>
          <w:p w14:paraId="23747AB7"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快克股份</w:t>
            </w:r>
          </w:p>
        </w:tc>
        <w:tc>
          <w:tcPr>
            <w:tcW w:w="680" w:type="pct"/>
            <w:tcBorders>
              <w:top w:val="single" w:sz="4" w:space="0" w:color="auto"/>
              <w:left w:val="single" w:sz="4" w:space="0" w:color="auto"/>
              <w:bottom w:val="single" w:sz="4" w:space="0" w:color="auto"/>
              <w:right w:val="single" w:sz="4" w:space="0" w:color="auto"/>
            </w:tcBorders>
            <w:vAlign w:val="center"/>
          </w:tcPr>
          <w:p w14:paraId="469483A4"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2019</w:t>
            </w:r>
            <w:r>
              <w:rPr>
                <w:rFonts w:ascii="Times New Roman" w:hAnsi="Times New Roman" w:cs="Times New Roman" w:hint="eastAsia"/>
                <w:color w:val="000000"/>
                <w:sz w:val="21"/>
                <w:szCs w:val="21"/>
                <w:lang w:bidi="ar"/>
              </w:rPr>
              <w:t>年末，快克股份拥有专利</w:t>
            </w:r>
            <w:r>
              <w:rPr>
                <w:rFonts w:ascii="Times New Roman" w:hAnsi="Times New Roman" w:cs="Times New Roman" w:hint="eastAsia"/>
                <w:color w:val="000000"/>
                <w:sz w:val="21"/>
                <w:szCs w:val="21"/>
                <w:lang w:bidi="ar"/>
              </w:rPr>
              <w:t>64</w:t>
            </w:r>
            <w:r>
              <w:rPr>
                <w:rFonts w:ascii="Times New Roman" w:hAnsi="Times New Roman" w:cs="Times New Roman" w:hint="eastAsia"/>
                <w:color w:val="000000"/>
                <w:sz w:val="21"/>
                <w:szCs w:val="21"/>
                <w:lang w:bidi="ar"/>
              </w:rPr>
              <w:t>项，软件著作权</w:t>
            </w:r>
            <w:r>
              <w:rPr>
                <w:rFonts w:ascii="Times New Roman" w:hAnsi="Times New Roman" w:cs="Times New Roman" w:hint="eastAsia"/>
                <w:color w:val="000000"/>
                <w:sz w:val="21"/>
                <w:szCs w:val="21"/>
                <w:lang w:bidi="ar"/>
              </w:rPr>
              <w:t>18</w:t>
            </w:r>
            <w:r>
              <w:rPr>
                <w:rFonts w:ascii="Times New Roman" w:hAnsi="Times New Roman" w:cs="Times New Roman" w:hint="eastAsia"/>
                <w:color w:val="000000"/>
                <w:sz w:val="21"/>
                <w:szCs w:val="21"/>
                <w:lang w:bidi="ar"/>
              </w:rPr>
              <w:t>项</w:t>
            </w:r>
          </w:p>
        </w:tc>
        <w:tc>
          <w:tcPr>
            <w:tcW w:w="1280" w:type="pct"/>
            <w:tcBorders>
              <w:top w:val="single" w:sz="4" w:space="0" w:color="auto"/>
              <w:left w:val="single" w:sz="4" w:space="0" w:color="auto"/>
              <w:bottom w:val="single" w:sz="4" w:space="0" w:color="auto"/>
              <w:right w:val="single" w:sz="4" w:space="0" w:color="auto"/>
            </w:tcBorders>
            <w:vAlign w:val="center"/>
          </w:tcPr>
          <w:p w14:paraId="4A8AF728"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2019</w:t>
            </w:r>
            <w:r>
              <w:rPr>
                <w:rFonts w:ascii="Times New Roman" w:hAnsi="Times New Roman" w:cs="Times New Roman" w:hint="eastAsia"/>
                <w:color w:val="000000"/>
                <w:sz w:val="21"/>
                <w:szCs w:val="21"/>
                <w:lang w:bidi="ar"/>
              </w:rPr>
              <w:t>年末，快克股份技术研发人员共</w:t>
            </w:r>
            <w:r>
              <w:rPr>
                <w:rFonts w:ascii="Times New Roman" w:hAnsi="Times New Roman" w:cs="Times New Roman" w:hint="eastAsia"/>
                <w:color w:val="000000"/>
                <w:sz w:val="21"/>
                <w:szCs w:val="21"/>
                <w:lang w:bidi="ar"/>
              </w:rPr>
              <w:t>126</w:t>
            </w:r>
            <w:r>
              <w:rPr>
                <w:rFonts w:ascii="Times New Roman" w:hAnsi="Times New Roman" w:cs="Times New Roman" w:hint="eastAsia"/>
                <w:color w:val="000000"/>
                <w:sz w:val="21"/>
                <w:szCs w:val="21"/>
                <w:lang w:bidi="ar"/>
              </w:rPr>
              <w:t>人，占总人数的</w:t>
            </w:r>
            <w:r>
              <w:rPr>
                <w:rFonts w:ascii="Times New Roman" w:hAnsi="Times New Roman" w:cs="Times New Roman" w:hint="eastAsia"/>
                <w:color w:val="000000"/>
                <w:sz w:val="21"/>
                <w:szCs w:val="21"/>
                <w:lang w:bidi="ar"/>
              </w:rPr>
              <w:t>17.43%</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2019</w:t>
            </w:r>
            <w:r>
              <w:rPr>
                <w:rFonts w:ascii="Times New Roman" w:hAnsi="Times New Roman" w:cs="Times New Roman" w:hint="eastAsia"/>
                <w:color w:val="000000"/>
                <w:sz w:val="21"/>
                <w:szCs w:val="21"/>
                <w:lang w:bidi="ar"/>
              </w:rPr>
              <w:t>年快克股份研发支出投入</w:t>
            </w:r>
            <w:r>
              <w:rPr>
                <w:rFonts w:ascii="Times New Roman" w:hAnsi="Times New Roman" w:cs="Times New Roman" w:hint="eastAsia"/>
                <w:color w:val="000000"/>
                <w:sz w:val="21"/>
                <w:szCs w:val="21"/>
                <w:lang w:bidi="ar"/>
              </w:rPr>
              <w:t>2,788.63</w:t>
            </w:r>
            <w:r>
              <w:rPr>
                <w:rFonts w:ascii="Times New Roman" w:hAnsi="Times New Roman" w:cs="Times New Roman" w:hint="eastAsia"/>
                <w:color w:val="000000"/>
                <w:sz w:val="21"/>
                <w:szCs w:val="21"/>
                <w:lang w:bidi="ar"/>
              </w:rPr>
              <w:t>万元，较上年同期增长</w:t>
            </w:r>
            <w:r>
              <w:rPr>
                <w:rFonts w:ascii="Times New Roman" w:hAnsi="Times New Roman" w:cs="Times New Roman" w:hint="eastAsia"/>
                <w:color w:val="000000"/>
                <w:sz w:val="21"/>
                <w:szCs w:val="21"/>
                <w:lang w:bidi="ar"/>
              </w:rPr>
              <w:t>7.39%</w:t>
            </w:r>
            <w:r>
              <w:rPr>
                <w:rFonts w:ascii="Times New Roman" w:hAnsi="Times New Roman" w:cs="Times New Roman" w:hint="eastAsia"/>
                <w:color w:val="000000"/>
                <w:sz w:val="21"/>
                <w:szCs w:val="21"/>
                <w:lang w:bidi="ar"/>
              </w:rPr>
              <w:t>，占当期营业收入的</w:t>
            </w:r>
            <w:r>
              <w:rPr>
                <w:rFonts w:ascii="Times New Roman" w:hAnsi="Times New Roman" w:cs="Times New Roman" w:hint="eastAsia"/>
                <w:color w:val="000000"/>
                <w:sz w:val="21"/>
                <w:szCs w:val="21"/>
                <w:lang w:bidi="ar"/>
              </w:rPr>
              <w:t>6.05%</w:t>
            </w:r>
          </w:p>
        </w:tc>
        <w:tc>
          <w:tcPr>
            <w:tcW w:w="1023" w:type="pct"/>
            <w:tcBorders>
              <w:top w:val="single" w:sz="4" w:space="0" w:color="auto"/>
              <w:left w:val="single" w:sz="4" w:space="0" w:color="auto"/>
              <w:bottom w:val="single" w:sz="4" w:space="0" w:color="auto"/>
              <w:right w:val="single" w:sz="4" w:space="0" w:color="auto"/>
            </w:tcBorders>
            <w:vAlign w:val="center"/>
          </w:tcPr>
          <w:p w14:paraId="5038856F"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快克股份被江苏省锡焊自动化工程技术研究中心及江苏省企业技术中心认定为</w:t>
            </w:r>
            <w:r>
              <w:rPr>
                <w:rFonts w:ascii="Times New Roman" w:hAnsi="Times New Roman" w:cs="Times New Roman" w:hint="eastAsia"/>
                <w:color w:val="000000"/>
                <w:sz w:val="21"/>
                <w:szCs w:val="21"/>
                <w:lang w:bidi="ar"/>
              </w:rPr>
              <w:t>2017</w:t>
            </w:r>
            <w:r>
              <w:rPr>
                <w:rFonts w:ascii="Times New Roman" w:hAnsi="Times New Roman" w:cs="Times New Roman" w:hint="eastAsia"/>
                <w:color w:val="000000"/>
                <w:sz w:val="21"/>
                <w:szCs w:val="21"/>
                <w:lang w:bidi="ar"/>
              </w:rPr>
              <w:t>中国智能制造百强企业，是中国电子专用设备工业协会理事单位、中国机器人产业联盟理事单位</w:t>
            </w:r>
          </w:p>
        </w:tc>
        <w:tc>
          <w:tcPr>
            <w:tcW w:w="1330" w:type="pct"/>
            <w:tcBorders>
              <w:top w:val="single" w:sz="4" w:space="0" w:color="auto"/>
              <w:left w:val="single" w:sz="4" w:space="0" w:color="auto"/>
              <w:bottom w:val="single" w:sz="4" w:space="0" w:color="auto"/>
              <w:right w:val="nil"/>
            </w:tcBorders>
            <w:vAlign w:val="center"/>
          </w:tcPr>
          <w:p w14:paraId="2363CD3E"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快克股份在激光锡球焊接、旋转式送料气吹吸螺丝锁付机构等方面取得技术突破；在激光锡丝焊系统、激光喷锡焊系统等方面创新或升级软件版本</w:t>
            </w:r>
          </w:p>
        </w:tc>
      </w:tr>
      <w:tr w:rsidR="000A0ACD" w14:paraId="66E121A2" w14:textId="77777777">
        <w:trPr>
          <w:trHeight w:val="397"/>
          <w:jc w:val="center"/>
        </w:trPr>
        <w:tc>
          <w:tcPr>
            <w:tcW w:w="259" w:type="pct"/>
            <w:tcBorders>
              <w:top w:val="single" w:sz="4" w:space="0" w:color="auto"/>
              <w:left w:val="nil"/>
              <w:bottom w:val="single" w:sz="12" w:space="0" w:color="auto"/>
              <w:right w:val="single" w:sz="4" w:space="0" w:color="auto"/>
            </w:tcBorders>
            <w:vAlign w:val="center"/>
          </w:tcPr>
          <w:p w14:paraId="20450EBE"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5</w:t>
            </w:r>
          </w:p>
        </w:tc>
        <w:tc>
          <w:tcPr>
            <w:tcW w:w="427" w:type="pct"/>
            <w:tcBorders>
              <w:top w:val="single" w:sz="4" w:space="0" w:color="auto"/>
              <w:left w:val="single" w:sz="4" w:space="0" w:color="auto"/>
              <w:bottom w:val="single" w:sz="12" w:space="0" w:color="auto"/>
              <w:right w:val="single" w:sz="4" w:space="0" w:color="auto"/>
            </w:tcBorders>
            <w:vAlign w:val="center"/>
          </w:tcPr>
          <w:p w14:paraId="14535DA0"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机器人</w:t>
            </w:r>
          </w:p>
        </w:tc>
        <w:tc>
          <w:tcPr>
            <w:tcW w:w="680" w:type="pct"/>
            <w:tcBorders>
              <w:top w:val="single" w:sz="4" w:space="0" w:color="auto"/>
              <w:left w:val="single" w:sz="4" w:space="0" w:color="auto"/>
              <w:bottom w:val="single" w:sz="12" w:space="0" w:color="auto"/>
              <w:right w:val="single" w:sz="4" w:space="0" w:color="auto"/>
            </w:tcBorders>
            <w:vAlign w:val="center"/>
          </w:tcPr>
          <w:p w14:paraId="5D3B8B5B"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9</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日，机器人拥有专利</w:t>
            </w:r>
            <w:r>
              <w:rPr>
                <w:rFonts w:ascii="Times New Roman" w:hAnsi="Times New Roman" w:cs="Times New Roman" w:hint="eastAsia"/>
                <w:color w:val="000000"/>
                <w:sz w:val="21"/>
                <w:szCs w:val="21"/>
                <w:lang w:bidi="ar"/>
              </w:rPr>
              <w:t>5</w:t>
            </w:r>
            <w:r>
              <w:rPr>
                <w:rFonts w:ascii="Times New Roman" w:hAnsi="Times New Roman" w:cs="Times New Roman" w:hint="eastAsia"/>
                <w:color w:val="000000"/>
                <w:sz w:val="21"/>
                <w:szCs w:val="21"/>
                <w:lang w:bidi="ar"/>
              </w:rPr>
              <w:t>项，软件著作权</w:t>
            </w:r>
            <w:r>
              <w:rPr>
                <w:rFonts w:ascii="Times New Roman" w:hAnsi="Times New Roman" w:cs="Times New Roman" w:hint="eastAsia"/>
                <w:color w:val="000000"/>
                <w:sz w:val="21"/>
                <w:szCs w:val="21"/>
                <w:lang w:bidi="ar"/>
              </w:rPr>
              <w:t>6</w:t>
            </w:r>
            <w:r>
              <w:rPr>
                <w:rFonts w:ascii="Times New Roman" w:hAnsi="Times New Roman" w:cs="Times New Roman" w:hint="eastAsia"/>
                <w:color w:val="000000"/>
                <w:sz w:val="21"/>
                <w:szCs w:val="21"/>
                <w:lang w:bidi="ar"/>
              </w:rPr>
              <w:t>项</w:t>
            </w:r>
          </w:p>
        </w:tc>
        <w:tc>
          <w:tcPr>
            <w:tcW w:w="1280" w:type="pct"/>
            <w:tcBorders>
              <w:top w:val="single" w:sz="4" w:space="0" w:color="auto"/>
              <w:left w:val="single" w:sz="4" w:space="0" w:color="auto"/>
              <w:bottom w:val="single" w:sz="12" w:space="0" w:color="auto"/>
              <w:right w:val="single" w:sz="4" w:space="0" w:color="auto"/>
            </w:tcBorders>
            <w:vAlign w:val="center"/>
          </w:tcPr>
          <w:p w14:paraId="505DFFCB"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9</w:t>
            </w:r>
            <w:r>
              <w:rPr>
                <w:rFonts w:ascii="Times New Roman" w:hAnsi="Times New Roman" w:cs="Times New Roman" w:hint="eastAsia"/>
                <w:color w:val="000000"/>
                <w:sz w:val="21"/>
                <w:szCs w:val="21"/>
                <w:lang w:bidi="ar"/>
              </w:rPr>
              <w:t>月末，机器人研发费用为</w:t>
            </w:r>
            <w:r>
              <w:rPr>
                <w:rFonts w:ascii="Times New Roman" w:hAnsi="Times New Roman" w:cs="Times New Roman" w:hint="eastAsia"/>
                <w:color w:val="000000"/>
                <w:sz w:val="21"/>
                <w:szCs w:val="21"/>
                <w:lang w:bidi="ar"/>
              </w:rPr>
              <w:t>9,119.08</w:t>
            </w:r>
            <w:r>
              <w:rPr>
                <w:rFonts w:ascii="Times New Roman" w:hAnsi="Times New Roman" w:cs="Times New Roman" w:hint="eastAsia"/>
                <w:color w:val="000000"/>
                <w:sz w:val="21"/>
                <w:szCs w:val="21"/>
                <w:lang w:bidi="ar"/>
              </w:rPr>
              <w:t>万元，拥有科研技术人员</w:t>
            </w:r>
            <w:r>
              <w:rPr>
                <w:rFonts w:ascii="Times New Roman" w:hAnsi="Times New Roman" w:cs="Times New Roman" w:hint="eastAsia"/>
                <w:color w:val="000000"/>
                <w:sz w:val="21"/>
                <w:szCs w:val="21"/>
                <w:lang w:bidi="ar"/>
              </w:rPr>
              <w:t>2,807</w:t>
            </w:r>
            <w:r>
              <w:rPr>
                <w:rFonts w:ascii="Times New Roman" w:hAnsi="Times New Roman" w:cs="Times New Roman" w:hint="eastAsia"/>
                <w:color w:val="000000"/>
                <w:sz w:val="21"/>
                <w:szCs w:val="21"/>
                <w:lang w:bidi="ar"/>
              </w:rPr>
              <w:t>人，其中具有软件方面开发能力的专业人才队伍近</w:t>
            </w:r>
            <w:r>
              <w:rPr>
                <w:rFonts w:ascii="Times New Roman" w:hAnsi="Times New Roman" w:cs="Times New Roman" w:hint="eastAsia"/>
                <w:color w:val="000000"/>
                <w:sz w:val="21"/>
                <w:szCs w:val="21"/>
                <w:lang w:bidi="ar"/>
              </w:rPr>
              <w:t>400</w:t>
            </w:r>
            <w:r>
              <w:rPr>
                <w:rFonts w:ascii="Times New Roman" w:hAnsi="Times New Roman" w:cs="Times New Roman" w:hint="eastAsia"/>
                <w:color w:val="000000"/>
                <w:sz w:val="21"/>
                <w:szCs w:val="21"/>
                <w:lang w:bidi="ar"/>
              </w:rPr>
              <w:t>人，目前已经形成了</w:t>
            </w:r>
            <w:r>
              <w:rPr>
                <w:rFonts w:ascii="Times New Roman" w:hAnsi="Times New Roman" w:cs="Times New Roman" w:hint="eastAsia"/>
                <w:color w:val="000000"/>
                <w:sz w:val="21"/>
                <w:szCs w:val="21"/>
                <w:lang w:bidi="ar"/>
              </w:rPr>
              <w:t>241</w:t>
            </w:r>
            <w:r>
              <w:rPr>
                <w:rFonts w:ascii="Times New Roman" w:hAnsi="Times New Roman" w:cs="Times New Roman" w:hint="eastAsia"/>
                <w:color w:val="000000"/>
                <w:sz w:val="21"/>
                <w:szCs w:val="21"/>
                <w:lang w:bidi="ar"/>
              </w:rPr>
              <w:t>人的国家级集成电路自动化装备专业人才队伍</w:t>
            </w:r>
          </w:p>
        </w:tc>
        <w:tc>
          <w:tcPr>
            <w:tcW w:w="1023" w:type="pct"/>
            <w:tcBorders>
              <w:top w:val="single" w:sz="4" w:space="0" w:color="auto"/>
              <w:left w:val="single" w:sz="4" w:space="0" w:color="auto"/>
              <w:bottom w:val="single" w:sz="12" w:space="0" w:color="auto"/>
              <w:right w:val="single" w:sz="4" w:space="0" w:color="auto"/>
            </w:tcBorders>
            <w:vAlign w:val="center"/>
          </w:tcPr>
          <w:p w14:paraId="412AF180"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机器人获得机器人国家工程研究中心、国家认定企业技术中心、国家科技进步二等奖；中国机械工业联合会科技进步三等奖；中国专利优秀奖；沈阳市科技进步一等奖；辽宁省科技进步一等奖；辽宁省技术发明三等奖</w:t>
            </w:r>
          </w:p>
        </w:tc>
        <w:tc>
          <w:tcPr>
            <w:tcW w:w="1330" w:type="pct"/>
            <w:tcBorders>
              <w:top w:val="single" w:sz="4" w:space="0" w:color="auto"/>
              <w:left w:val="single" w:sz="4" w:space="0" w:color="auto"/>
              <w:bottom w:val="single" w:sz="12" w:space="0" w:color="auto"/>
              <w:right w:val="nil"/>
            </w:tcBorders>
            <w:vAlign w:val="center"/>
          </w:tcPr>
          <w:p w14:paraId="277FA4C7"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机器人先后攻克了大规模车辆的集群调度技术、复杂路径下的物料搬送路径规划技术等一系列关键技术。其半导体物料管理控制系统的简化版本</w:t>
            </w:r>
            <w:r>
              <w:rPr>
                <w:rFonts w:ascii="Times New Roman" w:hAnsi="Times New Roman" w:cs="Times New Roman" w:hint="eastAsia"/>
                <w:color w:val="000000"/>
                <w:sz w:val="21"/>
                <w:szCs w:val="21"/>
                <w:lang w:bidi="ar"/>
              </w:rPr>
              <w:t>ACS</w:t>
            </w:r>
            <w:r>
              <w:rPr>
                <w:rFonts w:ascii="Times New Roman" w:hAnsi="Times New Roman" w:cs="Times New Roman" w:hint="eastAsia"/>
                <w:color w:val="000000"/>
                <w:sz w:val="21"/>
                <w:szCs w:val="21"/>
                <w:lang w:bidi="ar"/>
              </w:rPr>
              <w:t>已成功实现在上海集成电路研发中心、赛意法等半导体芯片加工厂的应用；面向面板制造厂开发的掩模版自动物料管理控制系统已经华星光电和广州</w:t>
            </w:r>
            <w:r>
              <w:rPr>
                <w:rFonts w:ascii="Times New Roman" w:hAnsi="Times New Roman" w:cs="Times New Roman" w:hint="eastAsia"/>
                <w:color w:val="000000"/>
                <w:sz w:val="21"/>
                <w:szCs w:val="21"/>
                <w:lang w:bidi="ar"/>
              </w:rPr>
              <w:t>SDP</w:t>
            </w:r>
            <w:r>
              <w:rPr>
                <w:rFonts w:ascii="Times New Roman" w:hAnsi="Times New Roman" w:cs="Times New Roman" w:hint="eastAsia"/>
                <w:color w:val="000000"/>
                <w:sz w:val="21"/>
                <w:szCs w:val="21"/>
                <w:lang w:bidi="ar"/>
              </w:rPr>
              <w:t>厂实现成熟应用</w:t>
            </w:r>
          </w:p>
        </w:tc>
      </w:tr>
    </w:tbl>
    <w:p w14:paraId="65D43EA8"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三、标的资产属于“家电行业的领先企业”、“研发实力出色”的依据</w:t>
      </w:r>
    </w:p>
    <w:p w14:paraId="1A74A812" w14:textId="77777777" w:rsidR="000A0ACD" w:rsidRDefault="00362A99">
      <w:pPr>
        <w:spacing w:beforeLines="50" w:before="156" w:line="360" w:lineRule="auto"/>
        <w:ind w:firstLineChars="200" w:firstLine="482"/>
        <w:jc w:val="both"/>
        <w:rPr>
          <w:rFonts w:ascii="Times New Roman" w:hAnsi="Times New Roman" w:cs="Times New Roman"/>
          <w:b/>
          <w:bCs/>
          <w:color w:val="000000"/>
          <w:szCs w:val="21"/>
        </w:rPr>
      </w:pPr>
      <w:r>
        <w:rPr>
          <w:rFonts w:ascii="Times New Roman" w:hAnsi="Times New Roman" w:cs="Times New Roman" w:hint="eastAsia"/>
          <w:b/>
          <w:bCs/>
          <w:color w:val="000000"/>
          <w:szCs w:val="21"/>
        </w:rPr>
        <w:t>1</w:t>
      </w:r>
      <w:r>
        <w:rPr>
          <w:rFonts w:ascii="Times New Roman" w:hAnsi="Times New Roman" w:cs="Times New Roman" w:hint="eastAsia"/>
          <w:b/>
          <w:bCs/>
          <w:color w:val="000000"/>
          <w:szCs w:val="21"/>
        </w:rPr>
        <w:t>、标的公司专利数量、技术储备、研发获奖情况、主要产品技术发展水平</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27"/>
        <w:gridCol w:w="1166"/>
        <w:gridCol w:w="1744"/>
        <w:gridCol w:w="1744"/>
        <w:gridCol w:w="3141"/>
      </w:tblGrid>
      <w:tr w:rsidR="000A0ACD" w14:paraId="4C37DC22" w14:textId="77777777">
        <w:trPr>
          <w:trHeight w:val="397"/>
          <w:tblHeader/>
          <w:jc w:val="center"/>
        </w:trPr>
        <w:tc>
          <w:tcPr>
            <w:tcW w:w="427" w:type="pct"/>
            <w:tcBorders>
              <w:top w:val="single" w:sz="12" w:space="0" w:color="auto"/>
              <w:left w:val="nil"/>
              <w:bottom w:val="single" w:sz="4" w:space="0" w:color="auto"/>
              <w:right w:val="single" w:sz="4" w:space="0" w:color="auto"/>
            </w:tcBorders>
            <w:vAlign w:val="center"/>
          </w:tcPr>
          <w:p w14:paraId="086089BE" w14:textId="77777777" w:rsidR="000A0ACD" w:rsidRDefault="00362A99">
            <w:pPr>
              <w:adjustRightInd w:val="0"/>
              <w:snapToGrid w:val="0"/>
              <w:jc w:val="center"/>
              <w:rPr>
                <w:rFonts w:ascii="Times New Roman" w:hAnsi="Times New Roman" w:cs="Times New Roman"/>
                <w:b/>
                <w:bCs/>
                <w:color w:val="000000"/>
                <w:sz w:val="21"/>
                <w:szCs w:val="21"/>
                <w:lang w:bidi="ar"/>
              </w:rPr>
            </w:pPr>
            <w:bookmarkStart w:id="32" w:name="_Hlk66794917"/>
            <w:r>
              <w:rPr>
                <w:rFonts w:ascii="Times New Roman" w:hAnsi="Times New Roman" w:cs="Times New Roman" w:hint="eastAsia"/>
                <w:b/>
                <w:bCs/>
                <w:color w:val="000000"/>
                <w:sz w:val="21"/>
                <w:szCs w:val="21"/>
                <w:lang w:bidi="ar"/>
              </w:rPr>
              <w:t>公司名称</w:t>
            </w:r>
          </w:p>
        </w:tc>
        <w:tc>
          <w:tcPr>
            <w:tcW w:w="684" w:type="pct"/>
            <w:tcBorders>
              <w:top w:val="single" w:sz="12" w:space="0" w:color="auto"/>
              <w:left w:val="single" w:sz="4" w:space="0" w:color="auto"/>
              <w:bottom w:val="single" w:sz="4" w:space="0" w:color="auto"/>
              <w:right w:val="single" w:sz="4" w:space="0" w:color="auto"/>
            </w:tcBorders>
            <w:vAlign w:val="center"/>
          </w:tcPr>
          <w:p w14:paraId="7A90F145"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专利情况</w:t>
            </w:r>
          </w:p>
        </w:tc>
        <w:tc>
          <w:tcPr>
            <w:tcW w:w="1023" w:type="pct"/>
            <w:tcBorders>
              <w:top w:val="single" w:sz="12" w:space="0" w:color="auto"/>
              <w:left w:val="single" w:sz="4" w:space="0" w:color="auto"/>
              <w:bottom w:val="single" w:sz="4" w:space="0" w:color="auto"/>
              <w:right w:val="single" w:sz="4" w:space="0" w:color="auto"/>
            </w:tcBorders>
            <w:vAlign w:val="center"/>
          </w:tcPr>
          <w:p w14:paraId="2584ED90"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技术人员及研发投入</w:t>
            </w:r>
          </w:p>
        </w:tc>
        <w:tc>
          <w:tcPr>
            <w:tcW w:w="1023" w:type="pct"/>
            <w:tcBorders>
              <w:top w:val="single" w:sz="12" w:space="0" w:color="auto"/>
              <w:left w:val="single" w:sz="4" w:space="0" w:color="auto"/>
              <w:bottom w:val="single" w:sz="4" w:space="0" w:color="auto"/>
              <w:right w:val="single" w:sz="4" w:space="0" w:color="auto"/>
            </w:tcBorders>
            <w:vAlign w:val="center"/>
          </w:tcPr>
          <w:p w14:paraId="779A6CC6"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研发获奖情况</w:t>
            </w:r>
          </w:p>
        </w:tc>
        <w:tc>
          <w:tcPr>
            <w:tcW w:w="1843" w:type="pct"/>
            <w:tcBorders>
              <w:top w:val="single" w:sz="12" w:space="0" w:color="auto"/>
              <w:left w:val="single" w:sz="4" w:space="0" w:color="auto"/>
              <w:bottom w:val="single" w:sz="4" w:space="0" w:color="auto"/>
              <w:right w:val="nil"/>
            </w:tcBorders>
            <w:vAlign w:val="center"/>
          </w:tcPr>
          <w:p w14:paraId="7A4BE25C"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主要产品技术发展水平</w:t>
            </w:r>
          </w:p>
        </w:tc>
      </w:tr>
      <w:tr w:rsidR="000A0ACD" w14:paraId="7CA57654" w14:textId="77777777">
        <w:trPr>
          <w:trHeight w:val="397"/>
          <w:jc w:val="center"/>
        </w:trPr>
        <w:tc>
          <w:tcPr>
            <w:tcW w:w="427" w:type="pct"/>
            <w:tcBorders>
              <w:top w:val="single" w:sz="4" w:space="0" w:color="auto"/>
              <w:left w:val="nil"/>
              <w:bottom w:val="single" w:sz="12" w:space="0" w:color="auto"/>
              <w:right w:val="single" w:sz="4" w:space="0" w:color="auto"/>
            </w:tcBorders>
            <w:vAlign w:val="center"/>
          </w:tcPr>
          <w:p w14:paraId="1604CFCF"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北洋天青</w:t>
            </w:r>
          </w:p>
        </w:tc>
        <w:tc>
          <w:tcPr>
            <w:tcW w:w="684" w:type="pct"/>
            <w:tcBorders>
              <w:top w:val="single" w:sz="4" w:space="0" w:color="auto"/>
              <w:left w:val="single" w:sz="4" w:space="0" w:color="auto"/>
              <w:bottom w:val="single" w:sz="12" w:space="0" w:color="auto"/>
              <w:right w:val="single" w:sz="4" w:space="0" w:color="auto"/>
            </w:tcBorders>
            <w:vAlign w:val="center"/>
          </w:tcPr>
          <w:p w14:paraId="51A4E84D"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截至本回复出具日，北洋天青已获得专利</w:t>
            </w:r>
            <w:r>
              <w:rPr>
                <w:rFonts w:ascii="Times New Roman" w:hAnsi="Times New Roman" w:cs="Times New Roman" w:hint="eastAsia"/>
                <w:color w:val="000000"/>
                <w:sz w:val="21"/>
                <w:szCs w:val="21"/>
                <w:lang w:bidi="ar"/>
              </w:rPr>
              <w:t>3</w:t>
            </w:r>
            <w:r>
              <w:rPr>
                <w:rFonts w:ascii="Times New Roman" w:hAnsi="Times New Roman" w:cs="Times New Roman" w:hint="eastAsia"/>
                <w:color w:val="000000"/>
                <w:sz w:val="21"/>
                <w:szCs w:val="21"/>
                <w:lang w:bidi="ar"/>
              </w:rPr>
              <w:t>项以及软件著作权</w:t>
            </w:r>
            <w:r>
              <w:rPr>
                <w:rFonts w:ascii="Times New Roman" w:hAnsi="Times New Roman" w:cs="Times New Roman" w:hint="eastAsia"/>
                <w:color w:val="000000"/>
                <w:sz w:val="21"/>
                <w:szCs w:val="21"/>
                <w:lang w:bidi="ar"/>
              </w:rPr>
              <w:t>8</w:t>
            </w:r>
            <w:r>
              <w:rPr>
                <w:rFonts w:ascii="Times New Roman" w:hAnsi="Times New Roman" w:cs="Times New Roman" w:hint="eastAsia"/>
                <w:color w:val="000000"/>
                <w:sz w:val="21"/>
                <w:szCs w:val="21"/>
                <w:lang w:bidi="ar"/>
              </w:rPr>
              <w:t>项，同时正在申请的专利有</w:t>
            </w:r>
            <w:r>
              <w:rPr>
                <w:rFonts w:ascii="Times New Roman" w:hAnsi="Times New Roman" w:cs="Times New Roman" w:hint="eastAsia"/>
                <w:color w:val="000000"/>
                <w:sz w:val="21"/>
                <w:szCs w:val="21"/>
                <w:lang w:bidi="ar"/>
              </w:rPr>
              <w:t>20</w:t>
            </w:r>
            <w:r>
              <w:rPr>
                <w:rFonts w:ascii="Times New Roman" w:hAnsi="Times New Roman" w:cs="Times New Roman" w:hint="eastAsia"/>
                <w:color w:val="000000"/>
                <w:sz w:val="21"/>
                <w:szCs w:val="21"/>
                <w:lang w:bidi="ar"/>
              </w:rPr>
              <w:t>项</w:t>
            </w:r>
          </w:p>
        </w:tc>
        <w:tc>
          <w:tcPr>
            <w:tcW w:w="1023" w:type="pct"/>
            <w:tcBorders>
              <w:top w:val="single" w:sz="4" w:space="0" w:color="auto"/>
              <w:left w:val="single" w:sz="4" w:space="0" w:color="auto"/>
              <w:bottom w:val="single" w:sz="12" w:space="0" w:color="auto"/>
              <w:right w:val="single" w:sz="4" w:space="0" w:color="auto"/>
            </w:tcBorders>
            <w:vAlign w:val="center"/>
          </w:tcPr>
          <w:p w14:paraId="3E70C357"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12</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31</w:t>
            </w:r>
            <w:r>
              <w:rPr>
                <w:rFonts w:ascii="Times New Roman" w:hAnsi="Times New Roman" w:cs="Times New Roman" w:hint="eastAsia"/>
                <w:color w:val="000000"/>
                <w:sz w:val="21"/>
                <w:szCs w:val="21"/>
                <w:lang w:bidi="ar"/>
              </w:rPr>
              <w:t>日，北洋天青拥有研发人员</w:t>
            </w:r>
            <w:r>
              <w:rPr>
                <w:rFonts w:ascii="Times New Roman" w:hAnsi="Times New Roman" w:cs="Times New Roman" w:hint="eastAsia"/>
                <w:color w:val="000000"/>
                <w:sz w:val="21"/>
                <w:szCs w:val="21"/>
                <w:lang w:bidi="ar"/>
              </w:rPr>
              <w:t>40</w:t>
            </w:r>
            <w:r>
              <w:rPr>
                <w:rFonts w:ascii="Times New Roman" w:hAnsi="Times New Roman" w:cs="Times New Roman" w:hint="eastAsia"/>
                <w:color w:val="000000"/>
                <w:sz w:val="21"/>
                <w:szCs w:val="21"/>
                <w:lang w:bidi="ar"/>
              </w:rPr>
              <w:t>人，占总职工人数的</w:t>
            </w:r>
            <w:r>
              <w:rPr>
                <w:rFonts w:ascii="Times New Roman" w:hAnsi="Times New Roman" w:cs="Times New Roman"/>
                <w:color w:val="000000"/>
                <w:sz w:val="21"/>
                <w:szCs w:val="21"/>
              </w:rPr>
              <w:t>23.67%</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2018</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2019</w:t>
            </w:r>
            <w:r>
              <w:rPr>
                <w:rFonts w:ascii="Times New Roman" w:hAnsi="Times New Roman" w:cs="Times New Roman" w:hint="eastAsia"/>
                <w:color w:val="000000"/>
                <w:sz w:val="21"/>
                <w:szCs w:val="21"/>
                <w:lang w:bidi="ar"/>
              </w:rPr>
              <w:t>年及</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年度，北洋天青研发费用分别为</w:t>
            </w:r>
            <w:r>
              <w:rPr>
                <w:rFonts w:ascii="Times New Roman" w:hAnsi="Times New Roman" w:cs="Times New Roman" w:hint="eastAsia"/>
                <w:color w:val="000000"/>
                <w:sz w:val="21"/>
                <w:szCs w:val="21"/>
                <w:lang w:bidi="ar"/>
              </w:rPr>
              <w:t>362.23</w:t>
            </w:r>
            <w:r>
              <w:rPr>
                <w:rFonts w:ascii="Times New Roman" w:hAnsi="Times New Roman" w:cs="Times New Roman" w:hint="eastAsia"/>
                <w:color w:val="000000"/>
                <w:sz w:val="21"/>
                <w:szCs w:val="21"/>
                <w:lang w:bidi="ar"/>
              </w:rPr>
              <w:t>万元、</w:t>
            </w:r>
            <w:r>
              <w:rPr>
                <w:rFonts w:ascii="Times New Roman" w:hAnsi="Times New Roman" w:cs="Times New Roman" w:hint="eastAsia"/>
                <w:color w:val="000000"/>
                <w:sz w:val="21"/>
                <w:szCs w:val="21"/>
                <w:lang w:bidi="ar"/>
              </w:rPr>
              <w:t>825.35</w:t>
            </w:r>
            <w:r>
              <w:rPr>
                <w:rFonts w:ascii="Times New Roman" w:hAnsi="Times New Roman" w:cs="Times New Roman" w:hint="eastAsia"/>
                <w:color w:val="000000"/>
                <w:sz w:val="21"/>
                <w:szCs w:val="21"/>
                <w:lang w:bidi="ar"/>
              </w:rPr>
              <w:t>万元和</w:t>
            </w:r>
            <w:r>
              <w:rPr>
                <w:rFonts w:ascii="Times New Roman" w:hAnsi="Times New Roman" w:cs="Times New Roman" w:hint="eastAsia"/>
                <w:color w:val="000000"/>
                <w:sz w:val="21"/>
                <w:szCs w:val="21"/>
                <w:lang w:bidi="ar"/>
              </w:rPr>
              <w:t>958.90</w:t>
            </w:r>
            <w:r>
              <w:rPr>
                <w:rFonts w:ascii="Times New Roman" w:hAnsi="Times New Roman" w:cs="Times New Roman" w:hint="eastAsia"/>
                <w:color w:val="000000"/>
                <w:sz w:val="21"/>
                <w:szCs w:val="21"/>
                <w:lang w:bidi="ar"/>
              </w:rPr>
              <w:t>万元，占营业收入比例分别为</w:t>
            </w:r>
            <w:r>
              <w:rPr>
                <w:rFonts w:ascii="Times New Roman" w:hAnsi="Times New Roman" w:cs="Times New Roman" w:hint="eastAsia"/>
                <w:color w:val="000000"/>
                <w:sz w:val="21"/>
                <w:szCs w:val="21"/>
                <w:lang w:bidi="ar"/>
              </w:rPr>
              <w:t>5.93%</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7.99%</w:t>
            </w:r>
            <w:r>
              <w:rPr>
                <w:rFonts w:ascii="Times New Roman" w:hAnsi="Times New Roman" w:cs="Times New Roman" w:hint="eastAsia"/>
                <w:color w:val="000000"/>
                <w:sz w:val="21"/>
                <w:szCs w:val="21"/>
                <w:lang w:bidi="ar"/>
              </w:rPr>
              <w:t>和</w:t>
            </w:r>
            <w:r>
              <w:rPr>
                <w:rFonts w:ascii="Times New Roman" w:hAnsi="Times New Roman" w:cs="Times New Roman" w:hint="eastAsia"/>
                <w:color w:val="000000"/>
                <w:sz w:val="21"/>
                <w:szCs w:val="21"/>
                <w:lang w:bidi="ar"/>
              </w:rPr>
              <w:t>6.37%</w:t>
            </w:r>
            <w:r>
              <w:rPr>
                <w:rFonts w:ascii="Times New Roman" w:hAnsi="Times New Roman" w:cs="Times New Roman" w:hint="eastAsia"/>
                <w:color w:val="000000"/>
                <w:sz w:val="21"/>
                <w:szCs w:val="21"/>
                <w:lang w:bidi="ar"/>
              </w:rPr>
              <w:t>，研发费用投入逐年上升</w:t>
            </w:r>
          </w:p>
        </w:tc>
        <w:tc>
          <w:tcPr>
            <w:tcW w:w="1023" w:type="pct"/>
            <w:tcBorders>
              <w:top w:val="single" w:sz="4" w:space="0" w:color="auto"/>
              <w:left w:val="single" w:sz="4" w:space="0" w:color="auto"/>
              <w:bottom w:val="single" w:sz="12" w:space="0" w:color="auto"/>
              <w:right w:val="single" w:sz="4" w:space="0" w:color="auto"/>
            </w:tcBorders>
            <w:vAlign w:val="center"/>
          </w:tcPr>
          <w:p w14:paraId="0702B3A1"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2018</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11</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北洋天青获得高新技术企业复审认定，连续多年成为高新技术企业；其自主研发设计的家电行业机器人智能化总装线被评为青岛市专精特新产品；其主导的《工业机器人主体设计与制造》获得青岛市科学技术奖，其为中国机器人产业联盟会员单位</w:t>
            </w:r>
          </w:p>
        </w:tc>
        <w:tc>
          <w:tcPr>
            <w:tcW w:w="1843" w:type="pct"/>
            <w:tcBorders>
              <w:top w:val="single" w:sz="4" w:space="0" w:color="auto"/>
              <w:left w:val="single" w:sz="4" w:space="0" w:color="auto"/>
              <w:bottom w:val="single" w:sz="12" w:space="0" w:color="auto"/>
              <w:right w:val="nil"/>
            </w:tcBorders>
            <w:vAlign w:val="center"/>
          </w:tcPr>
          <w:p w14:paraId="0DB1E4DC" w14:textId="77777777" w:rsidR="000A0ACD" w:rsidRDefault="00362A99">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北洋天青聚焦工业自动化领域，形成工业机器人本体及系统集成、智能制造装备、机器视觉、测试系统集成、模具立体库自动换模系统、物流悬挂输送系统和企业信息化七大业务板块的产品线；研发团队主要在机器人应用、悬挂链输送及互联工厂方面进行团队建设和项目研发，在设备开发升级的同时将研发成果直接进行产业化应用，达成客户的多维度需求。北洋天青主要的相关信息化软件系统主要体现在自行开发的</w:t>
            </w:r>
            <w:r>
              <w:rPr>
                <w:rFonts w:ascii="Times New Roman" w:hAnsi="Times New Roman" w:cs="Times New Roman" w:hint="eastAsia"/>
                <w:color w:val="000000"/>
                <w:sz w:val="21"/>
                <w:szCs w:val="21"/>
                <w:lang w:bidi="ar"/>
              </w:rPr>
              <w:t>APS</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MES</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SCADA</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WMS</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WCS</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RFS</w:t>
            </w:r>
            <w:r>
              <w:rPr>
                <w:rFonts w:ascii="Times New Roman" w:hAnsi="Times New Roman" w:cs="Times New Roman" w:hint="eastAsia"/>
                <w:color w:val="000000"/>
                <w:sz w:val="21"/>
                <w:szCs w:val="21"/>
                <w:lang w:bidi="ar"/>
              </w:rPr>
              <w:t>等系统上，在白色家电生产应用领域取得了进展，其中配重块自动安装等技术是对原有技术的革新和突破</w:t>
            </w:r>
          </w:p>
        </w:tc>
        <w:bookmarkEnd w:id="32"/>
      </w:tr>
    </w:tbl>
    <w:p w14:paraId="72B96D5F" w14:textId="77777777" w:rsidR="000A0ACD" w:rsidRDefault="00362A99">
      <w:pPr>
        <w:spacing w:beforeLines="50" w:before="156" w:line="360" w:lineRule="auto"/>
        <w:ind w:firstLineChars="200" w:firstLine="482"/>
        <w:jc w:val="both"/>
        <w:rPr>
          <w:rFonts w:ascii="Times New Roman" w:hAnsi="Times New Roman" w:cs="Times New Roman"/>
          <w:b/>
          <w:bCs/>
          <w:color w:val="000000"/>
          <w:szCs w:val="21"/>
        </w:rPr>
      </w:pPr>
      <w:r>
        <w:rPr>
          <w:rFonts w:ascii="Times New Roman" w:hAnsi="Times New Roman" w:cs="Times New Roman" w:hint="eastAsia"/>
          <w:b/>
          <w:bCs/>
          <w:color w:val="000000"/>
          <w:szCs w:val="21"/>
        </w:rPr>
        <w:t>2</w:t>
      </w:r>
      <w:r>
        <w:rPr>
          <w:rFonts w:ascii="Times New Roman" w:hAnsi="Times New Roman" w:cs="Times New Roman" w:hint="eastAsia"/>
          <w:b/>
          <w:bCs/>
          <w:color w:val="000000"/>
          <w:szCs w:val="21"/>
        </w:rPr>
        <w:t>、标的资产属于“家电行业的领先企业”、“研发实力出色”的依据</w:t>
      </w:r>
    </w:p>
    <w:p w14:paraId="4EA5D544"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bookmarkStart w:id="33" w:name="_Hlk69371557"/>
      <w:r>
        <w:rPr>
          <w:rFonts w:ascii="Times New Roman" w:hAnsi="Times New Roman" w:cs="Times New Roman" w:hint="eastAsia"/>
          <w:color w:val="000000"/>
          <w:szCs w:val="21"/>
          <w:lang w:val="en-GB"/>
        </w:rPr>
        <w:t>多年来，北洋天青聚焦工业自动化领域，深耕家电行业，以企业信息化技术为驱动核心，以定制化智能制造装备为基础，为客户提供工业自动化、数字化、网络化、智能化的端到端、一站式产品和服务，包含前期工厂的整体规划、项目实施、交付验收、后续服务等的各个阶段。帮助企业建立智能化数字化工厂，推进数字化变革，实现降本增效，改进设计，提高效率，模式升级，高质量制造。</w:t>
      </w:r>
    </w:p>
    <w:p w14:paraId="4AF36001"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目前形成了七大技术产品线，即：工业机器人本体及系统集成、智能制造装备、机器视觉、测试系统集成、模具立体库自动换模系统、物流悬挂输送系统和企业信息化七大板块。技术产品涵盖网络层、执行层及应用层。网络层有企业信息化</w:t>
      </w:r>
      <w:r>
        <w:rPr>
          <w:rFonts w:ascii="Times New Roman" w:hAnsi="Times New Roman" w:cs="Times New Roman" w:hint="eastAsia"/>
          <w:color w:val="000000"/>
          <w:szCs w:val="21"/>
          <w:lang w:val="en-GB"/>
        </w:rPr>
        <w:t>SCADA</w:t>
      </w:r>
      <w:r>
        <w:rPr>
          <w:rFonts w:ascii="Times New Roman" w:hAnsi="Times New Roman" w:cs="Times New Roman" w:hint="eastAsia"/>
          <w:color w:val="000000"/>
          <w:szCs w:val="21"/>
          <w:lang w:val="en-GB"/>
        </w:rPr>
        <w:t>等相关产品，执行层有机器人方案及智能制造装备，应用层有依托综合集成应用能力形成的“</w:t>
      </w:r>
      <w:r>
        <w:rPr>
          <w:rFonts w:ascii="Times New Roman" w:hAnsi="Times New Roman" w:cs="Times New Roman" w:hint="eastAsia"/>
          <w:color w:val="000000"/>
          <w:szCs w:val="21"/>
        </w:rPr>
        <w:t>自</w:t>
      </w:r>
      <w:r>
        <w:rPr>
          <w:rFonts w:ascii="Times New Roman" w:hAnsi="Times New Roman" w:cs="Times New Roman" w:hint="eastAsia"/>
          <w:color w:val="000000"/>
          <w:szCs w:val="21"/>
          <w:lang w:val="en-GB"/>
        </w:rPr>
        <w:t>动化生产线智能工厂”的关键产品，能为客户提供系统集成及自动化生产解决方案等技术支持。</w:t>
      </w:r>
    </w:p>
    <w:p w14:paraId="75B6D915"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每个技术板块可独立运作，为下游制造业客户提供工业智能化和信息化的产品，也可以相互配合、以信息化为驱动核心智能集成，为客户提供生产线智能化建设、升级和改造以及数字化生产车间的整体解决方案。</w:t>
      </w:r>
      <w:bookmarkEnd w:id="33"/>
    </w:p>
    <w:p w14:paraId="02B2E8DA"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bookmarkStart w:id="34" w:name="_Hlk69371688"/>
      <w:r>
        <w:rPr>
          <w:rFonts w:ascii="Times New Roman" w:hAnsi="Times New Roman" w:cs="Times New Roman" w:hint="eastAsia"/>
          <w:color w:val="000000"/>
          <w:szCs w:val="21"/>
          <w:lang w:val="en-GB"/>
        </w:rPr>
        <w:t>北洋天青作为工业自动化和智能制造领域的高新技术企业，是国内较早进行智能制造全集成布局的企业，在家电行业已深耕多年，技术涉及数字工厂的全过程，不仅能为企业提供智能化数字化工厂整体解决方案，还能提供全集成的自动化设备、数字化工艺、智能化监管、智能排产、质量追溯、以及产品的准时生产。北洋天青的数字化工厂的全集成，能按照客户需求和生产需要，打造完全自主可控和定制化的智能制造及数字化工厂。</w:t>
      </w:r>
      <w:bookmarkEnd w:id="34"/>
    </w:p>
    <w:p w14:paraId="249BAE2A"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bookmarkStart w:id="35" w:name="_Hlk69371700"/>
      <w:r>
        <w:rPr>
          <w:rFonts w:ascii="Times New Roman" w:hAnsi="Times New Roman" w:cs="Times New Roman" w:hint="eastAsia"/>
          <w:color w:val="000000"/>
          <w:szCs w:val="21"/>
          <w:lang w:val="en-GB"/>
        </w:rPr>
        <w:t>截至</w:t>
      </w:r>
      <w:r>
        <w:rPr>
          <w:rFonts w:ascii="Times New Roman" w:hAnsi="Times New Roman" w:cs="Times New Roman" w:hint="eastAsia"/>
          <w:color w:val="000000"/>
          <w:szCs w:val="21"/>
          <w:lang w:val="en-GB"/>
        </w:rPr>
        <w:t>2020</w:t>
      </w:r>
      <w:r>
        <w:rPr>
          <w:rFonts w:ascii="Times New Roman" w:hAnsi="Times New Roman" w:cs="Times New Roman" w:hint="eastAsia"/>
          <w:color w:val="000000"/>
          <w:szCs w:val="21"/>
          <w:lang w:val="en-GB"/>
        </w:rPr>
        <w:t>年</w:t>
      </w:r>
      <w:r>
        <w:rPr>
          <w:rFonts w:ascii="Times New Roman" w:hAnsi="Times New Roman" w:cs="Times New Roman" w:hint="eastAsia"/>
          <w:color w:val="000000"/>
          <w:szCs w:val="21"/>
          <w:lang w:val="en-GB"/>
        </w:rPr>
        <w:t>12</w:t>
      </w:r>
      <w:r>
        <w:rPr>
          <w:rFonts w:ascii="Times New Roman" w:hAnsi="Times New Roman" w:cs="Times New Roman" w:hint="eastAsia"/>
          <w:color w:val="000000"/>
          <w:szCs w:val="21"/>
          <w:lang w:val="en-GB"/>
        </w:rPr>
        <w:t>月</w:t>
      </w:r>
      <w:r>
        <w:rPr>
          <w:rFonts w:ascii="Times New Roman" w:hAnsi="Times New Roman" w:cs="Times New Roman" w:hint="eastAsia"/>
          <w:color w:val="000000"/>
          <w:szCs w:val="21"/>
          <w:lang w:val="en-GB"/>
        </w:rPr>
        <w:t>31</w:t>
      </w:r>
      <w:r>
        <w:rPr>
          <w:rFonts w:ascii="Times New Roman" w:hAnsi="Times New Roman" w:cs="Times New Roman" w:hint="eastAsia"/>
          <w:color w:val="000000"/>
          <w:szCs w:val="21"/>
          <w:lang w:val="en-GB"/>
        </w:rPr>
        <w:t>日，北洋天青拥有人员数量</w:t>
      </w:r>
      <w:r>
        <w:rPr>
          <w:rFonts w:ascii="Times New Roman" w:hAnsi="Times New Roman" w:cs="Times New Roman" w:hint="eastAsia"/>
          <w:color w:val="000000"/>
          <w:szCs w:val="21"/>
          <w:lang w:val="en-GB"/>
        </w:rPr>
        <w:t>169</w:t>
      </w:r>
      <w:r>
        <w:rPr>
          <w:rFonts w:ascii="Times New Roman" w:hAnsi="Times New Roman" w:cs="Times New Roman" w:hint="eastAsia"/>
          <w:color w:val="000000"/>
          <w:szCs w:val="21"/>
          <w:lang w:val="en-GB"/>
        </w:rPr>
        <w:t>人，其中研发人员</w:t>
      </w:r>
      <w:r>
        <w:rPr>
          <w:rFonts w:ascii="Times New Roman" w:hAnsi="Times New Roman" w:cs="Times New Roman" w:hint="eastAsia"/>
          <w:color w:val="000000"/>
          <w:szCs w:val="21"/>
          <w:lang w:val="en-GB"/>
        </w:rPr>
        <w:t>40</w:t>
      </w:r>
      <w:r>
        <w:rPr>
          <w:rFonts w:ascii="Times New Roman" w:hAnsi="Times New Roman" w:cs="Times New Roman" w:hint="eastAsia"/>
          <w:color w:val="000000"/>
          <w:szCs w:val="21"/>
          <w:lang w:val="en-GB"/>
        </w:rPr>
        <w:t>人，占总员工人数达到</w:t>
      </w:r>
      <w:r>
        <w:rPr>
          <w:rFonts w:ascii="Times New Roman" w:hAnsi="Times New Roman" w:cs="Times New Roman" w:hint="eastAsia"/>
          <w:color w:val="000000"/>
          <w:szCs w:val="21"/>
          <w:lang w:val="en-GB"/>
        </w:rPr>
        <w:t>23.67%</w:t>
      </w:r>
      <w:r>
        <w:rPr>
          <w:rFonts w:ascii="Times New Roman" w:hAnsi="Times New Roman" w:cs="Times New Roman" w:hint="eastAsia"/>
          <w:color w:val="000000"/>
          <w:szCs w:val="21"/>
          <w:lang w:val="en-GB"/>
        </w:rPr>
        <w:t>，与同行业相比基本持平；截至</w:t>
      </w:r>
      <w:r>
        <w:rPr>
          <w:rFonts w:ascii="Times New Roman" w:hAnsi="Times New Roman" w:cs="Times New Roman" w:hint="eastAsia"/>
          <w:color w:val="000000"/>
          <w:szCs w:val="21"/>
          <w:lang w:val="en-GB"/>
        </w:rPr>
        <w:t>2020</w:t>
      </w:r>
      <w:r>
        <w:rPr>
          <w:rFonts w:ascii="Times New Roman" w:hAnsi="Times New Roman" w:cs="Times New Roman" w:hint="eastAsia"/>
          <w:color w:val="000000"/>
          <w:szCs w:val="21"/>
          <w:lang w:val="en-GB"/>
        </w:rPr>
        <w:t>年</w:t>
      </w:r>
      <w:r>
        <w:rPr>
          <w:rFonts w:ascii="Times New Roman" w:hAnsi="Times New Roman" w:cs="Times New Roman" w:hint="eastAsia"/>
          <w:color w:val="000000"/>
          <w:szCs w:val="21"/>
          <w:lang w:val="en-GB"/>
        </w:rPr>
        <w:t>12</w:t>
      </w:r>
      <w:r>
        <w:rPr>
          <w:rFonts w:ascii="Times New Roman" w:hAnsi="Times New Roman" w:cs="Times New Roman" w:hint="eastAsia"/>
          <w:color w:val="000000"/>
          <w:szCs w:val="21"/>
          <w:lang w:val="en-GB"/>
        </w:rPr>
        <w:t>月</w:t>
      </w:r>
      <w:r>
        <w:rPr>
          <w:rFonts w:ascii="Times New Roman" w:hAnsi="Times New Roman" w:cs="Times New Roman" w:hint="eastAsia"/>
          <w:color w:val="000000"/>
          <w:szCs w:val="21"/>
          <w:lang w:val="en-GB"/>
        </w:rPr>
        <w:t>31</w:t>
      </w:r>
      <w:r>
        <w:rPr>
          <w:rFonts w:ascii="Times New Roman" w:hAnsi="Times New Roman" w:cs="Times New Roman" w:hint="eastAsia"/>
          <w:color w:val="000000"/>
          <w:szCs w:val="21"/>
          <w:lang w:val="en-GB"/>
        </w:rPr>
        <w:t>日，北洋天青研发费用支出为</w:t>
      </w:r>
      <w:r>
        <w:rPr>
          <w:rFonts w:ascii="Times New Roman" w:hAnsi="Times New Roman" w:cs="Times New Roman" w:hint="eastAsia"/>
          <w:color w:val="000000"/>
          <w:szCs w:val="21"/>
          <w:lang w:val="en-GB"/>
        </w:rPr>
        <w:t>958.90</w:t>
      </w:r>
      <w:r>
        <w:rPr>
          <w:rFonts w:ascii="Times New Roman" w:hAnsi="Times New Roman" w:cs="Times New Roman" w:hint="eastAsia"/>
          <w:color w:val="000000"/>
          <w:szCs w:val="21"/>
          <w:lang w:val="en-GB"/>
        </w:rPr>
        <w:t>万元，占营业收入比例为</w:t>
      </w:r>
      <w:r>
        <w:rPr>
          <w:rFonts w:ascii="Times New Roman" w:hAnsi="Times New Roman" w:cs="Times New Roman" w:hint="eastAsia"/>
          <w:color w:val="000000"/>
          <w:szCs w:val="21"/>
          <w:lang w:val="en-GB"/>
        </w:rPr>
        <w:t>6.37%</w:t>
      </w:r>
      <w:r>
        <w:rPr>
          <w:rFonts w:ascii="Times New Roman" w:hAnsi="Times New Roman" w:cs="Times New Roman" w:hint="eastAsia"/>
          <w:color w:val="000000"/>
          <w:szCs w:val="21"/>
          <w:lang w:val="en-GB"/>
        </w:rPr>
        <w:t>，与同行业相比基本持平；近年来，北洋天青大力投入研发，深耕家电行业，积极拓展技术应用，加大推进物流悬挂输送系统、模具立体库自动换模系统、以及自动上压板机技术，此三项技术在行业内应用中均属首创，与此相关的机械和控制核心部分已申请相关专利。此外，北洋天青的七大板块的相互配合、智能集成，为客户提供智能工厂整体解决方案，其技术优势为北洋天青提供了技术壁垒，让企业在家电行业市场竞争中，处于领先水平。近年来，北洋天青的研发也取得了一定的奖项，其</w:t>
      </w:r>
      <w:r>
        <w:rPr>
          <w:rFonts w:ascii="Times New Roman" w:hAnsi="Times New Roman" w:cs="Times New Roman" w:hint="eastAsia"/>
          <w:color w:val="000000"/>
          <w:szCs w:val="21"/>
          <w:lang w:val="en-GB" w:bidi="ar"/>
        </w:rPr>
        <w:t>机器人智能化总装线被评为青岛市专精特新产品、其主导的《工业机器人主体设计与制造》获得青岛市科学技术奖</w:t>
      </w:r>
      <w:r>
        <w:rPr>
          <w:rFonts w:ascii="Times New Roman" w:hAnsi="Times New Roman" w:cs="Times New Roman" w:hint="eastAsia"/>
          <w:color w:val="000000"/>
          <w:szCs w:val="21"/>
          <w:lang w:val="en-GB"/>
        </w:rPr>
        <w:t>。</w:t>
      </w:r>
      <w:bookmarkEnd w:id="35"/>
    </w:p>
    <w:p w14:paraId="0375593B"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综上，工业自动化及机器人子行业发展前景较好，且北洋天青在技术、人才、客户资源、客户服务等多方面具有较强优势，研发实力出色，为所处行业的领先企业之一，具有良好的发展基础。</w:t>
      </w:r>
    </w:p>
    <w:p w14:paraId="47ECD9FD"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四、补充披露情况</w:t>
      </w:r>
    </w:p>
    <w:p w14:paraId="6473A988"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“标的资产属于家电行业的领先企业认证的依据”已在“第四节</w:t>
      </w:r>
      <w:r>
        <w:rPr>
          <w:rFonts w:ascii="Times New Roman" w:hAnsi="Times New Roman" w:cs="Times New Roman"/>
          <w:color w:val="000000"/>
          <w:szCs w:val="21"/>
          <w:lang w:val="en-GB"/>
        </w:rPr>
        <w:t xml:space="preserve"> </w:t>
      </w:r>
      <w:r>
        <w:rPr>
          <w:rFonts w:ascii="Times New Roman" w:hAnsi="Times New Roman" w:cs="Times New Roman" w:hint="eastAsia"/>
          <w:color w:val="000000"/>
          <w:szCs w:val="21"/>
          <w:lang w:val="en-GB"/>
        </w:rPr>
        <w:t>交易标的基本情况”之“五、主营业务发展情况”之“（六）技术与研发情况”及“（九）核心技术人员及变动情况”补充披露。</w:t>
      </w:r>
    </w:p>
    <w:p w14:paraId="443BB274"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）标的资产</w:t>
      </w:r>
      <w:r>
        <w:rPr>
          <w:rFonts w:ascii="Times New Roman" w:eastAsia="黑体" w:hAnsi="Times New Roman" w:cs="Times New Roman" w:hint="eastAsia"/>
          <w:b/>
          <w:color w:val="000000"/>
          <w:szCs w:val="21"/>
        </w:rPr>
        <w:t>11</w:t>
      </w:r>
      <w:r>
        <w:rPr>
          <w:rFonts w:ascii="Times New Roman" w:eastAsia="黑体" w:hAnsi="Times New Roman" w:cs="Times New Roman" w:hint="eastAsia"/>
          <w:b/>
          <w:color w:val="000000"/>
          <w:szCs w:val="21"/>
        </w:rPr>
        <w:t>项专利申请的最新进展，全部或部分专利尚未申请成功的原因</w:t>
      </w:r>
    </w:p>
    <w:p w14:paraId="4139E322"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一、标的资产</w:t>
      </w:r>
      <w:r>
        <w:rPr>
          <w:rFonts w:ascii="Times New Roman" w:hAnsi="Times New Roman" w:cs="Times New Roman"/>
          <w:b/>
          <w:color w:val="000000"/>
          <w:szCs w:val="21"/>
        </w:rPr>
        <w:t>11</w:t>
      </w:r>
      <w:r>
        <w:rPr>
          <w:rFonts w:ascii="Times New Roman" w:hAnsi="Times New Roman" w:cs="Times New Roman" w:hint="eastAsia"/>
          <w:b/>
          <w:color w:val="000000"/>
          <w:szCs w:val="21"/>
        </w:rPr>
        <w:t>项专利申请的最新进展</w:t>
      </w:r>
    </w:p>
    <w:p w14:paraId="64CB64C5" w14:textId="77777777" w:rsidR="000A0ACD" w:rsidRDefault="00362A99">
      <w:pPr>
        <w:spacing w:beforeLines="50" w:before="156" w:line="360" w:lineRule="auto"/>
        <w:ind w:firstLineChars="200" w:firstLine="480"/>
        <w:jc w:val="both"/>
        <w:rPr>
          <w:rFonts w:ascii="Times New Roman" w:hAnsi="Times New Roman" w:cs="Times New Roman"/>
          <w:color w:val="000000"/>
          <w:szCs w:val="21"/>
          <w:lang w:val="en-GB"/>
        </w:rPr>
      </w:pPr>
      <w:bookmarkStart w:id="36" w:name="_Hlk69802950"/>
      <w:r>
        <w:rPr>
          <w:rFonts w:ascii="Times New Roman" w:hAnsi="Times New Roman" w:cs="Times New Roman" w:hint="eastAsia"/>
          <w:color w:val="000000"/>
          <w:szCs w:val="21"/>
          <w:lang w:val="en-GB"/>
        </w:rPr>
        <w:t>截至</w:t>
      </w:r>
      <w:r>
        <w:rPr>
          <w:rFonts w:ascii="Times New Roman" w:hAnsi="Times New Roman" w:cs="Times New Roman"/>
          <w:color w:val="000000"/>
          <w:szCs w:val="21"/>
          <w:lang w:val="en-GB"/>
        </w:rPr>
        <w:t>2020</w:t>
      </w:r>
      <w:r>
        <w:rPr>
          <w:rFonts w:ascii="Times New Roman" w:hAnsi="Times New Roman" w:cs="Times New Roman"/>
          <w:color w:val="000000"/>
          <w:szCs w:val="21"/>
          <w:lang w:val="en-GB"/>
        </w:rPr>
        <w:t>年</w:t>
      </w:r>
      <w:r>
        <w:rPr>
          <w:rFonts w:ascii="Times New Roman" w:hAnsi="Times New Roman" w:cs="Times New Roman"/>
          <w:color w:val="000000"/>
          <w:szCs w:val="21"/>
          <w:lang w:val="en-GB"/>
        </w:rPr>
        <w:t>9</w:t>
      </w:r>
      <w:r>
        <w:rPr>
          <w:rFonts w:ascii="Times New Roman" w:hAnsi="Times New Roman" w:cs="Times New Roman"/>
          <w:color w:val="000000"/>
          <w:szCs w:val="21"/>
          <w:lang w:val="en-GB"/>
        </w:rPr>
        <w:t>月</w:t>
      </w:r>
      <w:r>
        <w:rPr>
          <w:rFonts w:ascii="Times New Roman" w:hAnsi="Times New Roman" w:cs="Times New Roman"/>
          <w:color w:val="000000"/>
          <w:szCs w:val="21"/>
          <w:lang w:val="en-GB"/>
        </w:rPr>
        <w:t>30</w:t>
      </w:r>
      <w:r>
        <w:rPr>
          <w:rFonts w:ascii="Times New Roman" w:hAnsi="Times New Roman" w:cs="Times New Roman"/>
          <w:color w:val="000000"/>
          <w:szCs w:val="21"/>
          <w:lang w:val="en-GB"/>
        </w:rPr>
        <w:t>日，北洋天青申请中的专利最新进展情况具体如下：</w:t>
      </w:r>
    </w:p>
    <w:tbl>
      <w:tblPr>
        <w:tblW w:w="4884"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37"/>
        <w:gridCol w:w="2407"/>
        <w:gridCol w:w="1277"/>
        <w:gridCol w:w="709"/>
        <w:gridCol w:w="1701"/>
        <w:gridCol w:w="709"/>
        <w:gridCol w:w="1084"/>
      </w:tblGrid>
      <w:tr w:rsidR="000A0ACD" w14:paraId="56594E2B" w14:textId="77777777">
        <w:trPr>
          <w:cantSplit/>
          <w:trHeight w:val="454"/>
          <w:tblHeader/>
          <w:jc w:val="center"/>
        </w:trPr>
        <w:tc>
          <w:tcPr>
            <w:tcW w:w="262" w:type="pct"/>
            <w:shd w:val="clear" w:color="auto" w:fill="auto"/>
            <w:noWrap/>
            <w:vAlign w:val="center"/>
          </w:tcPr>
          <w:p w14:paraId="69E5B61A" w14:textId="77777777" w:rsidR="000A0ACD" w:rsidRDefault="00362A99">
            <w:pPr>
              <w:keepNext/>
              <w:adjustRightInd w:val="0"/>
              <w:snapToGrid w:val="0"/>
              <w:jc w:val="center"/>
              <w:rPr>
                <w:rFonts w:ascii="Times New Roman" w:hAnsi="Times New Roman"/>
                <w:b/>
                <w:bCs/>
                <w:sz w:val="21"/>
                <w:szCs w:val="21"/>
              </w:rPr>
            </w:pPr>
            <w:bookmarkStart w:id="37" w:name="_Hlk69149182"/>
            <w:r>
              <w:rPr>
                <w:rFonts w:ascii="Times New Roman" w:hAnsi="Times New Roman" w:hint="eastAsia"/>
                <w:b/>
                <w:bCs/>
                <w:sz w:val="21"/>
                <w:szCs w:val="21"/>
              </w:rPr>
              <w:t>序号</w:t>
            </w:r>
          </w:p>
        </w:tc>
        <w:tc>
          <w:tcPr>
            <w:tcW w:w="1446" w:type="pct"/>
            <w:shd w:val="clear" w:color="auto" w:fill="auto"/>
            <w:noWrap/>
            <w:vAlign w:val="center"/>
          </w:tcPr>
          <w:p w14:paraId="2C87E9CD" w14:textId="77777777" w:rsidR="000A0ACD" w:rsidRDefault="00362A99">
            <w:pPr>
              <w:keepNext/>
              <w:adjustRightInd w:val="0"/>
              <w:snapToGrid w:val="0"/>
              <w:jc w:val="center"/>
              <w:rPr>
                <w:rFonts w:ascii="Times New Roman" w:hAnsi="Times New Roman"/>
                <w:b/>
                <w:bCs/>
                <w:sz w:val="21"/>
                <w:szCs w:val="21"/>
              </w:rPr>
            </w:pPr>
            <w:r>
              <w:rPr>
                <w:rFonts w:ascii="Times New Roman" w:hAnsi="Times New Roman" w:hint="eastAsia"/>
                <w:b/>
                <w:bCs/>
                <w:sz w:val="21"/>
                <w:szCs w:val="21"/>
              </w:rPr>
              <w:t>专利名称</w:t>
            </w:r>
          </w:p>
        </w:tc>
        <w:tc>
          <w:tcPr>
            <w:tcW w:w="767" w:type="pct"/>
            <w:shd w:val="clear" w:color="auto" w:fill="auto"/>
            <w:noWrap/>
            <w:vAlign w:val="center"/>
          </w:tcPr>
          <w:p w14:paraId="75211597" w14:textId="77777777" w:rsidR="000A0ACD" w:rsidRDefault="00362A99">
            <w:pPr>
              <w:keepNext/>
              <w:adjustRightInd w:val="0"/>
              <w:snapToGrid w:val="0"/>
              <w:jc w:val="center"/>
              <w:rPr>
                <w:rFonts w:ascii="Times New Roman" w:hAnsi="Times New Roman"/>
                <w:b/>
                <w:bCs/>
                <w:color w:val="000000"/>
                <w:sz w:val="21"/>
                <w:szCs w:val="21"/>
              </w:rPr>
            </w:pPr>
            <w:r>
              <w:rPr>
                <w:rFonts w:ascii="Times New Roman" w:hAnsi="Times New Roman" w:hint="eastAsia"/>
                <w:b/>
                <w:bCs/>
                <w:color w:val="000000"/>
                <w:sz w:val="21"/>
                <w:szCs w:val="21"/>
              </w:rPr>
              <w:t>申请号</w:t>
            </w:r>
          </w:p>
        </w:tc>
        <w:tc>
          <w:tcPr>
            <w:tcW w:w="426" w:type="pct"/>
            <w:shd w:val="clear" w:color="auto" w:fill="auto"/>
            <w:noWrap/>
            <w:vAlign w:val="center"/>
          </w:tcPr>
          <w:p w14:paraId="114643EF" w14:textId="77777777" w:rsidR="000A0ACD" w:rsidRDefault="00362A99">
            <w:pPr>
              <w:keepNext/>
              <w:adjustRightInd w:val="0"/>
              <w:snapToGrid w:val="0"/>
              <w:jc w:val="center"/>
              <w:rPr>
                <w:rFonts w:ascii="Times New Roman" w:hAnsi="Times New Roman"/>
                <w:b/>
                <w:bCs/>
                <w:color w:val="000000"/>
                <w:sz w:val="21"/>
                <w:szCs w:val="21"/>
              </w:rPr>
            </w:pPr>
            <w:r>
              <w:rPr>
                <w:rFonts w:ascii="Times New Roman" w:hAnsi="Times New Roman" w:hint="eastAsia"/>
                <w:b/>
                <w:bCs/>
                <w:color w:val="000000"/>
                <w:sz w:val="21"/>
                <w:szCs w:val="21"/>
              </w:rPr>
              <w:t>申请日期</w:t>
            </w:r>
          </w:p>
        </w:tc>
        <w:tc>
          <w:tcPr>
            <w:tcW w:w="1022" w:type="pct"/>
            <w:shd w:val="clear" w:color="auto" w:fill="auto"/>
            <w:noWrap/>
            <w:vAlign w:val="center"/>
          </w:tcPr>
          <w:p w14:paraId="4FA8E7E3" w14:textId="77777777" w:rsidR="000A0ACD" w:rsidRDefault="00362A99">
            <w:pPr>
              <w:keepNext/>
              <w:adjustRightInd w:val="0"/>
              <w:snapToGrid w:val="0"/>
              <w:jc w:val="center"/>
              <w:rPr>
                <w:rFonts w:ascii="Times New Roman" w:hAnsi="Times New Roman"/>
                <w:b/>
                <w:bCs/>
                <w:color w:val="000000"/>
                <w:sz w:val="21"/>
                <w:szCs w:val="21"/>
              </w:rPr>
            </w:pPr>
            <w:r>
              <w:rPr>
                <w:rFonts w:ascii="Times New Roman" w:hAnsi="Times New Roman" w:hint="eastAsia"/>
                <w:b/>
                <w:bCs/>
                <w:color w:val="000000"/>
                <w:sz w:val="21"/>
                <w:szCs w:val="21"/>
              </w:rPr>
              <w:t>申请人</w:t>
            </w:r>
          </w:p>
        </w:tc>
        <w:tc>
          <w:tcPr>
            <w:tcW w:w="426" w:type="pct"/>
            <w:shd w:val="clear" w:color="auto" w:fill="auto"/>
            <w:noWrap/>
            <w:vAlign w:val="center"/>
          </w:tcPr>
          <w:p w14:paraId="1DD4D4EC" w14:textId="77777777" w:rsidR="000A0ACD" w:rsidRDefault="00362A99">
            <w:pPr>
              <w:keepNext/>
              <w:adjustRightInd w:val="0"/>
              <w:snapToGrid w:val="0"/>
              <w:jc w:val="center"/>
              <w:rPr>
                <w:rFonts w:ascii="Times New Roman" w:hAnsi="Times New Roman"/>
                <w:b/>
                <w:bCs/>
                <w:sz w:val="21"/>
                <w:szCs w:val="21"/>
              </w:rPr>
            </w:pPr>
            <w:r>
              <w:rPr>
                <w:rFonts w:ascii="Times New Roman" w:hAnsi="Times New Roman" w:hint="eastAsia"/>
                <w:b/>
                <w:bCs/>
                <w:sz w:val="21"/>
                <w:szCs w:val="21"/>
              </w:rPr>
              <w:t>专利类型</w:t>
            </w:r>
          </w:p>
        </w:tc>
        <w:tc>
          <w:tcPr>
            <w:tcW w:w="651" w:type="pct"/>
            <w:vAlign w:val="center"/>
          </w:tcPr>
          <w:p w14:paraId="08F912F7" w14:textId="77777777" w:rsidR="000A0ACD" w:rsidRDefault="00362A99">
            <w:pPr>
              <w:keepNext/>
              <w:adjustRightInd w:val="0"/>
              <w:snapToGrid w:val="0"/>
              <w:jc w:val="center"/>
              <w:rPr>
                <w:rFonts w:ascii="Times New Roman" w:hAnsi="Times New Roman"/>
                <w:b/>
                <w:bCs/>
                <w:sz w:val="21"/>
                <w:szCs w:val="21"/>
              </w:rPr>
            </w:pPr>
            <w:r>
              <w:rPr>
                <w:rFonts w:ascii="Times New Roman" w:hAnsi="Times New Roman" w:hint="eastAsia"/>
                <w:b/>
                <w:bCs/>
                <w:sz w:val="21"/>
                <w:szCs w:val="21"/>
              </w:rPr>
              <w:t>最新进展</w:t>
            </w:r>
          </w:p>
        </w:tc>
      </w:tr>
      <w:tr w:rsidR="00722E5D" w14:paraId="1865C9C9" w14:textId="77777777">
        <w:trPr>
          <w:cantSplit/>
          <w:trHeight w:val="454"/>
          <w:jc w:val="center"/>
        </w:trPr>
        <w:tc>
          <w:tcPr>
            <w:tcW w:w="262" w:type="pct"/>
            <w:shd w:val="clear" w:color="auto" w:fill="auto"/>
            <w:vAlign w:val="center"/>
          </w:tcPr>
          <w:p w14:paraId="3B18A98E" w14:textId="77777777" w:rsidR="00722E5D" w:rsidRDefault="00722E5D" w:rsidP="00722E5D">
            <w:pPr>
              <w:adjustRightInd w:val="0"/>
              <w:snapToGrid w:val="0"/>
              <w:jc w:val="center"/>
              <w:rPr>
                <w:rFonts w:ascii="Times New Roman" w:hAnsi="Times New Roman"/>
                <w:sz w:val="21"/>
                <w:szCs w:val="21"/>
              </w:rPr>
            </w:pPr>
            <w:r>
              <w:rPr>
                <w:rFonts w:ascii="Times New Roman" w:hAnsi="Times New Roman"/>
                <w:sz w:val="21"/>
                <w:szCs w:val="21"/>
              </w:rPr>
              <w:t>1</w:t>
            </w:r>
          </w:p>
        </w:tc>
        <w:tc>
          <w:tcPr>
            <w:tcW w:w="1446" w:type="pct"/>
            <w:shd w:val="clear" w:color="auto" w:fill="auto"/>
            <w:vAlign w:val="center"/>
          </w:tcPr>
          <w:p w14:paraId="3C2D6F93" w14:textId="77777777" w:rsidR="00722E5D" w:rsidRDefault="00722E5D" w:rsidP="00722E5D">
            <w:pPr>
              <w:adjustRightInd w:val="0"/>
              <w:snapToGrid w:val="0"/>
              <w:jc w:val="center"/>
              <w:rPr>
                <w:rFonts w:ascii="Times New Roman" w:hAnsi="Times New Roman"/>
                <w:color w:val="000000"/>
                <w:sz w:val="21"/>
                <w:szCs w:val="21"/>
              </w:rPr>
            </w:pPr>
            <w:r>
              <w:rPr>
                <w:rFonts w:ascii="Times New Roman" w:hAnsi="Times New Roman" w:hint="eastAsia"/>
                <w:color w:val="000000"/>
                <w:sz w:val="21"/>
                <w:szCs w:val="21"/>
              </w:rPr>
              <w:t>一种进出水管打胶装置及其打胶方法</w:t>
            </w:r>
          </w:p>
        </w:tc>
        <w:tc>
          <w:tcPr>
            <w:tcW w:w="767" w:type="pct"/>
            <w:shd w:val="clear" w:color="auto" w:fill="auto"/>
            <w:vAlign w:val="center"/>
          </w:tcPr>
          <w:p w14:paraId="361E1CB7" w14:textId="77777777" w:rsidR="00722E5D" w:rsidRDefault="00722E5D" w:rsidP="00722E5D">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2019104599698</w:t>
            </w:r>
          </w:p>
        </w:tc>
        <w:tc>
          <w:tcPr>
            <w:tcW w:w="426" w:type="pct"/>
            <w:shd w:val="clear" w:color="auto" w:fill="auto"/>
            <w:vAlign w:val="center"/>
          </w:tcPr>
          <w:p w14:paraId="3C4068CE" w14:textId="77777777" w:rsidR="00722E5D" w:rsidRDefault="00722E5D" w:rsidP="00722E5D">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2019.5.30</w:t>
            </w:r>
          </w:p>
        </w:tc>
        <w:tc>
          <w:tcPr>
            <w:tcW w:w="1022" w:type="pct"/>
            <w:shd w:val="clear" w:color="auto" w:fill="auto"/>
            <w:vAlign w:val="center"/>
          </w:tcPr>
          <w:p w14:paraId="0E0175E3" w14:textId="2B255E87"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青岛海尔智慧电器设备有限公司、标的公司</w:t>
            </w:r>
          </w:p>
        </w:tc>
        <w:tc>
          <w:tcPr>
            <w:tcW w:w="426" w:type="pct"/>
            <w:shd w:val="clear" w:color="auto" w:fill="auto"/>
            <w:vAlign w:val="center"/>
          </w:tcPr>
          <w:p w14:paraId="69145124" w14:textId="77777777" w:rsidR="00722E5D" w:rsidRDefault="00722E5D" w:rsidP="00722E5D">
            <w:pPr>
              <w:adjustRightInd w:val="0"/>
              <w:snapToGrid w:val="0"/>
              <w:jc w:val="center"/>
              <w:rPr>
                <w:rFonts w:ascii="Times New Roman" w:hAnsi="Times New Roman"/>
                <w:color w:val="000000"/>
                <w:sz w:val="21"/>
                <w:szCs w:val="21"/>
              </w:rPr>
            </w:pPr>
            <w:r>
              <w:rPr>
                <w:rFonts w:ascii="Times New Roman" w:hAnsi="Times New Roman" w:hint="eastAsia"/>
                <w:sz w:val="21"/>
                <w:szCs w:val="21"/>
              </w:rPr>
              <w:t>发明专利</w:t>
            </w:r>
          </w:p>
        </w:tc>
        <w:tc>
          <w:tcPr>
            <w:tcW w:w="651" w:type="pct"/>
            <w:vAlign w:val="center"/>
          </w:tcPr>
          <w:p w14:paraId="4B79BD73" w14:textId="77777777" w:rsidR="00722E5D" w:rsidRDefault="00722E5D" w:rsidP="00722E5D">
            <w:pPr>
              <w:jc w:val="center"/>
              <w:textAlignment w:val="center"/>
              <w:rPr>
                <w:rFonts w:ascii="Times New Roman" w:hAnsi="Times New Roman"/>
                <w:color w:val="000000"/>
                <w:sz w:val="21"/>
                <w:szCs w:val="21"/>
              </w:rPr>
            </w:pPr>
            <w:r>
              <w:rPr>
                <w:rFonts w:ascii="Times New Roman" w:hAnsi="Times New Roman"/>
                <w:sz w:val="21"/>
                <w:szCs w:val="21"/>
              </w:rPr>
              <w:t>2021</w:t>
            </w:r>
            <w:r>
              <w:rPr>
                <w:rFonts w:ascii="Times New Roman" w:hAnsi="Times New Roman" w:hint="eastAsia"/>
                <w:sz w:val="21"/>
                <w:szCs w:val="21"/>
              </w:rPr>
              <w:t>年</w:t>
            </w:r>
            <w:r>
              <w:rPr>
                <w:rFonts w:ascii="Times New Roman" w:hAnsi="Times New Roman"/>
                <w:sz w:val="21"/>
                <w:szCs w:val="21"/>
              </w:rPr>
              <w:t>2</w:t>
            </w:r>
            <w:r>
              <w:rPr>
                <w:rFonts w:ascii="Times New Roman" w:hAnsi="Times New Roman" w:hint="eastAsia"/>
                <w:sz w:val="21"/>
                <w:szCs w:val="21"/>
              </w:rPr>
              <w:t>月</w:t>
            </w:r>
            <w:r>
              <w:rPr>
                <w:rFonts w:ascii="Times New Roman" w:hAnsi="Times New Roman"/>
                <w:sz w:val="21"/>
                <w:szCs w:val="21"/>
              </w:rPr>
              <w:t>12</w:t>
            </w:r>
            <w:r>
              <w:rPr>
                <w:rFonts w:ascii="Times New Roman" w:hAnsi="Times New Roman" w:hint="eastAsia"/>
                <w:sz w:val="21"/>
                <w:szCs w:val="21"/>
              </w:rPr>
              <w:t>日获得授权</w:t>
            </w:r>
          </w:p>
        </w:tc>
      </w:tr>
      <w:tr w:rsidR="00722E5D" w14:paraId="33E27569" w14:textId="77777777">
        <w:trPr>
          <w:cantSplit/>
          <w:trHeight w:val="454"/>
          <w:jc w:val="center"/>
        </w:trPr>
        <w:tc>
          <w:tcPr>
            <w:tcW w:w="262" w:type="pct"/>
            <w:shd w:val="clear" w:color="auto" w:fill="auto"/>
            <w:vAlign w:val="center"/>
          </w:tcPr>
          <w:p w14:paraId="13FAD1CE" w14:textId="77777777" w:rsidR="00722E5D" w:rsidRDefault="00722E5D" w:rsidP="00722E5D">
            <w:pPr>
              <w:adjustRightInd w:val="0"/>
              <w:snapToGrid w:val="0"/>
              <w:jc w:val="center"/>
              <w:rPr>
                <w:rFonts w:ascii="Times New Roman" w:hAnsi="Times New Roman"/>
                <w:sz w:val="21"/>
                <w:szCs w:val="21"/>
              </w:rPr>
            </w:pPr>
            <w:r>
              <w:rPr>
                <w:rFonts w:ascii="Times New Roman" w:hAnsi="Times New Roman"/>
                <w:sz w:val="21"/>
                <w:szCs w:val="21"/>
              </w:rPr>
              <w:t>2</w:t>
            </w:r>
          </w:p>
        </w:tc>
        <w:tc>
          <w:tcPr>
            <w:tcW w:w="1446" w:type="pct"/>
            <w:shd w:val="clear" w:color="auto" w:fill="auto"/>
            <w:vAlign w:val="center"/>
          </w:tcPr>
          <w:p w14:paraId="184F7EA4" w14:textId="77777777" w:rsidR="00722E5D" w:rsidRDefault="00722E5D" w:rsidP="00722E5D">
            <w:pPr>
              <w:adjustRightInd w:val="0"/>
              <w:snapToGrid w:val="0"/>
              <w:jc w:val="center"/>
              <w:rPr>
                <w:rFonts w:ascii="Times New Roman" w:hAnsi="Times New Roman"/>
                <w:color w:val="000000"/>
                <w:sz w:val="21"/>
                <w:szCs w:val="21"/>
              </w:rPr>
            </w:pPr>
            <w:r>
              <w:rPr>
                <w:rFonts w:ascii="Times New Roman" w:hAnsi="Times New Roman" w:hint="eastAsia"/>
                <w:color w:val="000000"/>
                <w:sz w:val="21"/>
                <w:szCs w:val="21"/>
              </w:rPr>
              <w:t>一种堵料供料机及应用堵料供料机的自动注料系统</w:t>
            </w:r>
          </w:p>
        </w:tc>
        <w:tc>
          <w:tcPr>
            <w:tcW w:w="767" w:type="pct"/>
            <w:shd w:val="clear" w:color="auto" w:fill="auto"/>
            <w:vAlign w:val="center"/>
          </w:tcPr>
          <w:p w14:paraId="3CBA12E6" w14:textId="77777777" w:rsidR="00722E5D" w:rsidRDefault="00722E5D" w:rsidP="00722E5D">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2019104599679</w:t>
            </w:r>
          </w:p>
        </w:tc>
        <w:tc>
          <w:tcPr>
            <w:tcW w:w="426" w:type="pct"/>
            <w:shd w:val="clear" w:color="auto" w:fill="auto"/>
            <w:vAlign w:val="center"/>
          </w:tcPr>
          <w:p w14:paraId="4973D9AC" w14:textId="77777777" w:rsidR="00722E5D" w:rsidRDefault="00722E5D" w:rsidP="00722E5D">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2019.5.30</w:t>
            </w:r>
          </w:p>
        </w:tc>
        <w:tc>
          <w:tcPr>
            <w:tcW w:w="1022" w:type="pct"/>
            <w:shd w:val="clear" w:color="auto" w:fill="auto"/>
            <w:vAlign w:val="center"/>
          </w:tcPr>
          <w:p w14:paraId="7C726656" w14:textId="764414A7"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青岛海尔智慧电器设备有限公司、标的公司</w:t>
            </w:r>
          </w:p>
        </w:tc>
        <w:tc>
          <w:tcPr>
            <w:tcW w:w="426" w:type="pct"/>
            <w:shd w:val="clear" w:color="auto" w:fill="auto"/>
            <w:vAlign w:val="center"/>
          </w:tcPr>
          <w:p w14:paraId="4BCCDCB0" w14:textId="77777777" w:rsidR="00722E5D" w:rsidRDefault="00722E5D" w:rsidP="00722E5D">
            <w:pPr>
              <w:adjustRightInd w:val="0"/>
              <w:snapToGrid w:val="0"/>
              <w:jc w:val="center"/>
              <w:rPr>
                <w:rFonts w:ascii="Times New Roman" w:hAnsi="Times New Roman"/>
                <w:color w:val="000000"/>
                <w:sz w:val="21"/>
                <w:szCs w:val="21"/>
              </w:rPr>
            </w:pPr>
            <w:r>
              <w:rPr>
                <w:rFonts w:ascii="Times New Roman" w:hAnsi="Times New Roman" w:hint="eastAsia"/>
                <w:color w:val="000000"/>
                <w:sz w:val="21"/>
                <w:szCs w:val="21"/>
              </w:rPr>
              <w:t>发明专利</w:t>
            </w:r>
          </w:p>
        </w:tc>
        <w:tc>
          <w:tcPr>
            <w:tcW w:w="651" w:type="pct"/>
            <w:vAlign w:val="center"/>
          </w:tcPr>
          <w:p w14:paraId="0D3B3810" w14:textId="69F4941D" w:rsidR="00722E5D" w:rsidRDefault="001F361A" w:rsidP="00722E5D">
            <w:pPr>
              <w:adjustRightInd w:val="0"/>
              <w:snapToGrid w:val="0"/>
              <w:jc w:val="center"/>
              <w:rPr>
                <w:rFonts w:ascii="Times New Roman" w:hAnsi="Times New Roman"/>
                <w:color w:val="000000"/>
                <w:sz w:val="21"/>
                <w:szCs w:val="21"/>
              </w:rPr>
            </w:pPr>
            <w:r w:rsidRPr="001F361A">
              <w:rPr>
                <w:rFonts w:ascii="Times New Roman" w:hAnsi="Times New Roman" w:hint="eastAsia"/>
                <w:color w:val="000000"/>
                <w:sz w:val="21"/>
                <w:szCs w:val="21"/>
              </w:rPr>
              <w:t>等年登印费</w:t>
            </w:r>
          </w:p>
        </w:tc>
      </w:tr>
      <w:tr w:rsidR="00722E5D" w14:paraId="33B9D2EC" w14:textId="77777777">
        <w:trPr>
          <w:cantSplit/>
          <w:trHeight w:val="454"/>
          <w:jc w:val="center"/>
        </w:trPr>
        <w:tc>
          <w:tcPr>
            <w:tcW w:w="262" w:type="pct"/>
            <w:shd w:val="clear" w:color="auto" w:fill="auto"/>
            <w:vAlign w:val="center"/>
          </w:tcPr>
          <w:p w14:paraId="11BF0E72" w14:textId="77777777" w:rsidR="00722E5D" w:rsidRDefault="00722E5D" w:rsidP="00722E5D">
            <w:pPr>
              <w:adjustRightInd w:val="0"/>
              <w:snapToGrid w:val="0"/>
              <w:jc w:val="center"/>
              <w:rPr>
                <w:rFonts w:ascii="Times New Roman" w:hAnsi="Times New Roman"/>
                <w:sz w:val="21"/>
                <w:szCs w:val="21"/>
              </w:rPr>
            </w:pPr>
            <w:r>
              <w:rPr>
                <w:rFonts w:ascii="Times New Roman" w:hAnsi="Times New Roman"/>
                <w:sz w:val="21"/>
                <w:szCs w:val="21"/>
              </w:rPr>
              <w:t>3</w:t>
            </w:r>
          </w:p>
        </w:tc>
        <w:tc>
          <w:tcPr>
            <w:tcW w:w="1446" w:type="pct"/>
            <w:shd w:val="clear" w:color="auto" w:fill="auto"/>
            <w:vAlign w:val="center"/>
          </w:tcPr>
          <w:p w14:paraId="6999E1F6" w14:textId="58BC54E6"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干衣机内筒涂胶设备及其涂胶工艺</w:t>
            </w:r>
          </w:p>
        </w:tc>
        <w:tc>
          <w:tcPr>
            <w:tcW w:w="767" w:type="pct"/>
            <w:shd w:val="clear" w:color="auto" w:fill="auto"/>
            <w:vAlign w:val="center"/>
          </w:tcPr>
          <w:p w14:paraId="4F7E7D32" w14:textId="6764851F"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2018105682594</w:t>
            </w:r>
          </w:p>
        </w:tc>
        <w:tc>
          <w:tcPr>
            <w:tcW w:w="426" w:type="pct"/>
            <w:shd w:val="clear" w:color="auto" w:fill="auto"/>
            <w:vAlign w:val="center"/>
          </w:tcPr>
          <w:p w14:paraId="4295D768" w14:textId="2DAD2A35"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2018.5.30</w:t>
            </w:r>
          </w:p>
        </w:tc>
        <w:tc>
          <w:tcPr>
            <w:tcW w:w="1022" w:type="pct"/>
            <w:shd w:val="clear" w:color="auto" w:fill="auto"/>
            <w:vAlign w:val="center"/>
          </w:tcPr>
          <w:p w14:paraId="09758E5F" w14:textId="0F3A2B9D"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7DE380F7" w14:textId="5597CE02"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1BD77540" w14:textId="5CDF6C52"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等待实审提案</w:t>
            </w:r>
          </w:p>
        </w:tc>
      </w:tr>
      <w:tr w:rsidR="00722E5D" w14:paraId="7EB503A3" w14:textId="77777777">
        <w:trPr>
          <w:cantSplit/>
          <w:trHeight w:val="454"/>
          <w:jc w:val="center"/>
        </w:trPr>
        <w:tc>
          <w:tcPr>
            <w:tcW w:w="262" w:type="pct"/>
            <w:shd w:val="clear" w:color="auto" w:fill="auto"/>
            <w:vAlign w:val="center"/>
          </w:tcPr>
          <w:p w14:paraId="7ADD63D3" w14:textId="77777777" w:rsidR="00722E5D" w:rsidRDefault="00722E5D" w:rsidP="00722E5D">
            <w:pPr>
              <w:adjustRightInd w:val="0"/>
              <w:snapToGrid w:val="0"/>
              <w:jc w:val="center"/>
              <w:rPr>
                <w:rFonts w:ascii="Times New Roman" w:hAnsi="Times New Roman"/>
                <w:sz w:val="21"/>
                <w:szCs w:val="21"/>
              </w:rPr>
            </w:pPr>
            <w:r>
              <w:rPr>
                <w:rFonts w:ascii="Times New Roman" w:hAnsi="Times New Roman"/>
                <w:sz w:val="21"/>
                <w:szCs w:val="21"/>
              </w:rPr>
              <w:t>4</w:t>
            </w:r>
          </w:p>
        </w:tc>
        <w:tc>
          <w:tcPr>
            <w:tcW w:w="1446" w:type="pct"/>
            <w:shd w:val="clear" w:color="auto" w:fill="auto"/>
            <w:vAlign w:val="center"/>
          </w:tcPr>
          <w:p w14:paraId="1A4B896B" w14:textId="209D954B"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干衣机门体涂胶设备及其涂胶工艺</w:t>
            </w:r>
          </w:p>
        </w:tc>
        <w:tc>
          <w:tcPr>
            <w:tcW w:w="767" w:type="pct"/>
            <w:shd w:val="clear" w:color="auto" w:fill="auto"/>
            <w:vAlign w:val="center"/>
          </w:tcPr>
          <w:p w14:paraId="5EE399C6" w14:textId="1EC2A88C"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2018105362948</w:t>
            </w:r>
          </w:p>
        </w:tc>
        <w:tc>
          <w:tcPr>
            <w:tcW w:w="426" w:type="pct"/>
            <w:shd w:val="clear" w:color="auto" w:fill="auto"/>
            <w:vAlign w:val="center"/>
          </w:tcPr>
          <w:p w14:paraId="5C8F1AD8" w14:textId="2DD67296"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2018.5.30</w:t>
            </w:r>
          </w:p>
        </w:tc>
        <w:tc>
          <w:tcPr>
            <w:tcW w:w="1022" w:type="pct"/>
            <w:shd w:val="clear" w:color="auto" w:fill="auto"/>
            <w:vAlign w:val="center"/>
          </w:tcPr>
          <w:p w14:paraId="7905A91B" w14:textId="0DF44DFA"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69356C70" w14:textId="3165413C"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418DF9CD" w14:textId="34FA8B3D"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等待实审提案</w:t>
            </w:r>
          </w:p>
        </w:tc>
      </w:tr>
      <w:tr w:rsidR="00722E5D" w14:paraId="5E4D5941" w14:textId="77777777">
        <w:trPr>
          <w:cantSplit/>
          <w:trHeight w:val="454"/>
          <w:jc w:val="center"/>
        </w:trPr>
        <w:tc>
          <w:tcPr>
            <w:tcW w:w="262" w:type="pct"/>
            <w:shd w:val="clear" w:color="auto" w:fill="auto"/>
            <w:vAlign w:val="center"/>
          </w:tcPr>
          <w:p w14:paraId="01598013" w14:textId="77777777" w:rsidR="00722E5D" w:rsidRDefault="00722E5D" w:rsidP="00722E5D">
            <w:pPr>
              <w:adjustRightInd w:val="0"/>
              <w:snapToGrid w:val="0"/>
              <w:jc w:val="center"/>
              <w:rPr>
                <w:rFonts w:ascii="Times New Roman" w:hAnsi="Times New Roman"/>
                <w:sz w:val="21"/>
                <w:szCs w:val="21"/>
              </w:rPr>
            </w:pPr>
            <w:r>
              <w:rPr>
                <w:rFonts w:ascii="Times New Roman" w:hAnsi="Times New Roman"/>
                <w:sz w:val="21"/>
                <w:szCs w:val="21"/>
              </w:rPr>
              <w:t>5</w:t>
            </w:r>
          </w:p>
        </w:tc>
        <w:tc>
          <w:tcPr>
            <w:tcW w:w="1446" w:type="pct"/>
            <w:shd w:val="clear" w:color="auto" w:fill="auto"/>
            <w:vAlign w:val="center"/>
          </w:tcPr>
          <w:p w14:paraId="6193161E" w14:textId="793A1B84"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一种洗衣机配重块安装工装及洗衣机安装系统</w:t>
            </w:r>
          </w:p>
        </w:tc>
        <w:tc>
          <w:tcPr>
            <w:tcW w:w="767" w:type="pct"/>
            <w:shd w:val="clear" w:color="auto" w:fill="auto"/>
            <w:vAlign w:val="center"/>
          </w:tcPr>
          <w:p w14:paraId="62C46619" w14:textId="0ECC192D"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2018107592910</w:t>
            </w:r>
          </w:p>
        </w:tc>
        <w:tc>
          <w:tcPr>
            <w:tcW w:w="426" w:type="pct"/>
            <w:shd w:val="clear" w:color="auto" w:fill="auto"/>
            <w:vAlign w:val="center"/>
          </w:tcPr>
          <w:p w14:paraId="238DB349" w14:textId="4877B5A9"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2018.7.11</w:t>
            </w:r>
          </w:p>
        </w:tc>
        <w:tc>
          <w:tcPr>
            <w:tcW w:w="1022" w:type="pct"/>
            <w:shd w:val="clear" w:color="auto" w:fill="auto"/>
            <w:vAlign w:val="center"/>
          </w:tcPr>
          <w:p w14:paraId="0E23C812" w14:textId="730CB34E"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0DBF1822" w14:textId="5C5F3D39"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770D8FAA" w14:textId="7D436F57"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等待实审提案</w:t>
            </w:r>
          </w:p>
        </w:tc>
      </w:tr>
      <w:tr w:rsidR="00722E5D" w14:paraId="34C1C662" w14:textId="77777777">
        <w:trPr>
          <w:cantSplit/>
          <w:trHeight w:val="454"/>
          <w:jc w:val="center"/>
        </w:trPr>
        <w:tc>
          <w:tcPr>
            <w:tcW w:w="262" w:type="pct"/>
            <w:shd w:val="clear" w:color="auto" w:fill="auto"/>
            <w:vAlign w:val="center"/>
          </w:tcPr>
          <w:p w14:paraId="5865ED0D" w14:textId="77777777" w:rsidR="00722E5D" w:rsidRDefault="00722E5D" w:rsidP="00722E5D">
            <w:pPr>
              <w:adjustRightInd w:val="0"/>
              <w:snapToGrid w:val="0"/>
              <w:jc w:val="center"/>
              <w:rPr>
                <w:rFonts w:ascii="Times New Roman" w:hAnsi="Times New Roman"/>
                <w:sz w:val="21"/>
                <w:szCs w:val="21"/>
              </w:rPr>
            </w:pPr>
            <w:r>
              <w:rPr>
                <w:rFonts w:ascii="Times New Roman" w:hAnsi="Times New Roman"/>
                <w:sz w:val="21"/>
                <w:szCs w:val="21"/>
              </w:rPr>
              <w:t>6</w:t>
            </w:r>
          </w:p>
        </w:tc>
        <w:tc>
          <w:tcPr>
            <w:tcW w:w="1446" w:type="pct"/>
            <w:shd w:val="clear" w:color="auto" w:fill="auto"/>
            <w:vAlign w:val="center"/>
          </w:tcPr>
          <w:p w14:paraId="5943EEC7" w14:textId="44BCA44B"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工装夹具及干衣机内筒装配设备</w:t>
            </w:r>
          </w:p>
        </w:tc>
        <w:tc>
          <w:tcPr>
            <w:tcW w:w="767" w:type="pct"/>
            <w:shd w:val="clear" w:color="auto" w:fill="auto"/>
            <w:vAlign w:val="center"/>
          </w:tcPr>
          <w:p w14:paraId="1E2C2714" w14:textId="2065516A"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2018107628537</w:t>
            </w:r>
          </w:p>
        </w:tc>
        <w:tc>
          <w:tcPr>
            <w:tcW w:w="426" w:type="pct"/>
            <w:shd w:val="clear" w:color="auto" w:fill="auto"/>
            <w:vAlign w:val="center"/>
          </w:tcPr>
          <w:p w14:paraId="1EE3FB7E" w14:textId="61BE04AB"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2018.7.11</w:t>
            </w:r>
          </w:p>
        </w:tc>
        <w:tc>
          <w:tcPr>
            <w:tcW w:w="1022" w:type="pct"/>
            <w:shd w:val="clear" w:color="auto" w:fill="auto"/>
            <w:vAlign w:val="center"/>
          </w:tcPr>
          <w:p w14:paraId="2B33C05B" w14:textId="34FE3D3C"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7B6723A5" w14:textId="7E60C484"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3ECF60CF" w14:textId="3BC66BEE"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等待实审提案</w:t>
            </w:r>
          </w:p>
        </w:tc>
      </w:tr>
      <w:tr w:rsidR="00722E5D" w14:paraId="0C6AA21B" w14:textId="77777777">
        <w:trPr>
          <w:cantSplit/>
          <w:trHeight w:val="454"/>
          <w:jc w:val="center"/>
        </w:trPr>
        <w:tc>
          <w:tcPr>
            <w:tcW w:w="262" w:type="pct"/>
            <w:shd w:val="clear" w:color="auto" w:fill="auto"/>
            <w:vAlign w:val="center"/>
          </w:tcPr>
          <w:p w14:paraId="08E467A2" w14:textId="77777777" w:rsidR="00722E5D" w:rsidRDefault="00722E5D" w:rsidP="00722E5D">
            <w:pPr>
              <w:adjustRightInd w:val="0"/>
              <w:snapToGrid w:val="0"/>
              <w:jc w:val="center"/>
              <w:rPr>
                <w:rFonts w:ascii="Times New Roman" w:hAnsi="Times New Roman"/>
                <w:sz w:val="21"/>
                <w:szCs w:val="21"/>
              </w:rPr>
            </w:pPr>
            <w:r>
              <w:rPr>
                <w:rFonts w:ascii="Times New Roman" w:hAnsi="Times New Roman"/>
                <w:sz w:val="21"/>
                <w:szCs w:val="21"/>
              </w:rPr>
              <w:t>7</w:t>
            </w:r>
          </w:p>
        </w:tc>
        <w:tc>
          <w:tcPr>
            <w:tcW w:w="1446" w:type="pct"/>
            <w:shd w:val="clear" w:color="auto" w:fill="auto"/>
            <w:vAlign w:val="center"/>
          </w:tcPr>
          <w:p w14:paraId="3D687703" w14:textId="6E6D05E9"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箱体夹抱翻转机构及箱体翻转设备</w:t>
            </w:r>
          </w:p>
        </w:tc>
        <w:tc>
          <w:tcPr>
            <w:tcW w:w="767" w:type="pct"/>
            <w:shd w:val="clear" w:color="auto" w:fill="auto"/>
            <w:vAlign w:val="center"/>
          </w:tcPr>
          <w:p w14:paraId="6BAA7AAA" w14:textId="0392A5E5"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2018107626387</w:t>
            </w:r>
          </w:p>
        </w:tc>
        <w:tc>
          <w:tcPr>
            <w:tcW w:w="426" w:type="pct"/>
            <w:shd w:val="clear" w:color="auto" w:fill="auto"/>
            <w:vAlign w:val="center"/>
          </w:tcPr>
          <w:p w14:paraId="0630BE07" w14:textId="24907E3B"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2018.7.11</w:t>
            </w:r>
          </w:p>
        </w:tc>
        <w:tc>
          <w:tcPr>
            <w:tcW w:w="1022" w:type="pct"/>
            <w:shd w:val="clear" w:color="auto" w:fill="auto"/>
            <w:vAlign w:val="center"/>
          </w:tcPr>
          <w:p w14:paraId="16F6C62C" w14:textId="0E30702F"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141D3F3C" w14:textId="56708670"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410F8B95" w14:textId="45ED6014"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等待实审提案</w:t>
            </w:r>
          </w:p>
        </w:tc>
      </w:tr>
      <w:tr w:rsidR="00722E5D" w14:paraId="1CACA3B6" w14:textId="77777777">
        <w:trPr>
          <w:cantSplit/>
          <w:trHeight w:val="454"/>
          <w:jc w:val="center"/>
        </w:trPr>
        <w:tc>
          <w:tcPr>
            <w:tcW w:w="262" w:type="pct"/>
            <w:shd w:val="clear" w:color="auto" w:fill="auto"/>
            <w:vAlign w:val="center"/>
          </w:tcPr>
          <w:p w14:paraId="71D9AA84" w14:textId="77777777" w:rsidR="00722E5D" w:rsidRDefault="00722E5D" w:rsidP="00722E5D">
            <w:pPr>
              <w:adjustRightInd w:val="0"/>
              <w:snapToGrid w:val="0"/>
              <w:jc w:val="center"/>
              <w:rPr>
                <w:rFonts w:ascii="Times New Roman" w:hAnsi="Times New Roman"/>
                <w:sz w:val="21"/>
                <w:szCs w:val="21"/>
              </w:rPr>
            </w:pPr>
            <w:r>
              <w:rPr>
                <w:rFonts w:ascii="Times New Roman" w:hAnsi="Times New Roman"/>
                <w:sz w:val="21"/>
                <w:szCs w:val="21"/>
              </w:rPr>
              <w:t>8</w:t>
            </w:r>
          </w:p>
        </w:tc>
        <w:tc>
          <w:tcPr>
            <w:tcW w:w="1446" w:type="pct"/>
            <w:shd w:val="clear" w:color="auto" w:fill="auto"/>
            <w:vAlign w:val="center"/>
          </w:tcPr>
          <w:p w14:paraId="466F7972" w14:textId="100720F8"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电视主板测试方法、装置、系统及测试上位机</w:t>
            </w:r>
          </w:p>
        </w:tc>
        <w:tc>
          <w:tcPr>
            <w:tcW w:w="767" w:type="pct"/>
            <w:shd w:val="clear" w:color="auto" w:fill="auto"/>
            <w:vAlign w:val="center"/>
          </w:tcPr>
          <w:p w14:paraId="3D92EF0B" w14:textId="1B62DA6C"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2018107626372</w:t>
            </w:r>
          </w:p>
        </w:tc>
        <w:tc>
          <w:tcPr>
            <w:tcW w:w="426" w:type="pct"/>
            <w:shd w:val="clear" w:color="auto" w:fill="auto"/>
            <w:vAlign w:val="center"/>
          </w:tcPr>
          <w:p w14:paraId="48E950A9" w14:textId="5F42E17A"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2018.7.11</w:t>
            </w:r>
          </w:p>
        </w:tc>
        <w:tc>
          <w:tcPr>
            <w:tcW w:w="1022" w:type="pct"/>
            <w:shd w:val="clear" w:color="auto" w:fill="auto"/>
            <w:vAlign w:val="center"/>
          </w:tcPr>
          <w:p w14:paraId="39C8512A" w14:textId="232A0A3C"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54DE9611" w14:textId="497F499D"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7A2FF3E5" w14:textId="02AE51B9"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驳回等复审请求</w:t>
            </w:r>
          </w:p>
        </w:tc>
      </w:tr>
      <w:tr w:rsidR="00722E5D" w14:paraId="48D490C8" w14:textId="77777777" w:rsidTr="00722E5D">
        <w:trPr>
          <w:cantSplit/>
          <w:trHeight w:val="454"/>
          <w:jc w:val="center"/>
        </w:trPr>
        <w:tc>
          <w:tcPr>
            <w:tcW w:w="262" w:type="pct"/>
            <w:shd w:val="clear" w:color="auto" w:fill="auto"/>
            <w:vAlign w:val="center"/>
          </w:tcPr>
          <w:p w14:paraId="261138FD" w14:textId="77777777" w:rsidR="00722E5D" w:rsidRDefault="00722E5D" w:rsidP="00722E5D">
            <w:pPr>
              <w:adjustRightInd w:val="0"/>
              <w:snapToGrid w:val="0"/>
              <w:jc w:val="center"/>
              <w:rPr>
                <w:rFonts w:ascii="Times New Roman" w:hAnsi="Times New Roman"/>
                <w:sz w:val="21"/>
                <w:szCs w:val="21"/>
              </w:rPr>
            </w:pPr>
            <w:r>
              <w:rPr>
                <w:rFonts w:ascii="Times New Roman" w:hAnsi="Times New Roman"/>
                <w:sz w:val="21"/>
                <w:szCs w:val="21"/>
              </w:rPr>
              <w:t>9</w:t>
            </w:r>
          </w:p>
        </w:tc>
        <w:tc>
          <w:tcPr>
            <w:tcW w:w="1446" w:type="pct"/>
            <w:shd w:val="clear" w:color="auto" w:fill="auto"/>
            <w:vAlign w:val="center"/>
          </w:tcPr>
          <w:p w14:paraId="7DC3FA67" w14:textId="34D95CA1"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多通道高速串行数字视频信号切换设备、切换方法及系统</w:t>
            </w:r>
          </w:p>
        </w:tc>
        <w:tc>
          <w:tcPr>
            <w:tcW w:w="767" w:type="pct"/>
            <w:shd w:val="clear" w:color="auto" w:fill="auto"/>
            <w:vAlign w:val="center"/>
          </w:tcPr>
          <w:p w14:paraId="626A3FF8" w14:textId="0DD251DE"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2018101933396</w:t>
            </w:r>
          </w:p>
        </w:tc>
        <w:tc>
          <w:tcPr>
            <w:tcW w:w="426" w:type="pct"/>
            <w:shd w:val="clear" w:color="auto" w:fill="auto"/>
            <w:vAlign w:val="center"/>
          </w:tcPr>
          <w:p w14:paraId="2125055B" w14:textId="5C60CFD9"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2018.3.8</w:t>
            </w:r>
          </w:p>
        </w:tc>
        <w:tc>
          <w:tcPr>
            <w:tcW w:w="1022" w:type="pct"/>
            <w:shd w:val="clear" w:color="auto" w:fill="auto"/>
            <w:vAlign w:val="center"/>
          </w:tcPr>
          <w:p w14:paraId="244B3BFE" w14:textId="2A0372CB"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75494122" w14:textId="7A70F0C0"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1654A898" w14:textId="3E283E07"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驳回等复审请求</w:t>
            </w:r>
          </w:p>
        </w:tc>
      </w:tr>
      <w:tr w:rsidR="00722E5D" w14:paraId="6C11E85C" w14:textId="77777777" w:rsidTr="00722E5D">
        <w:trPr>
          <w:cantSplit/>
          <w:trHeight w:val="454"/>
          <w:jc w:val="center"/>
        </w:trPr>
        <w:tc>
          <w:tcPr>
            <w:tcW w:w="262" w:type="pct"/>
            <w:shd w:val="clear" w:color="auto" w:fill="auto"/>
            <w:vAlign w:val="center"/>
          </w:tcPr>
          <w:p w14:paraId="1DC32006" w14:textId="77777777" w:rsidR="00722E5D" w:rsidRDefault="00722E5D" w:rsidP="00722E5D">
            <w:pPr>
              <w:adjustRightInd w:val="0"/>
              <w:snapToGrid w:val="0"/>
              <w:jc w:val="center"/>
              <w:rPr>
                <w:rFonts w:ascii="Times New Roman" w:hAnsi="Times New Roman"/>
                <w:sz w:val="21"/>
                <w:szCs w:val="21"/>
              </w:rPr>
            </w:pPr>
            <w:r>
              <w:rPr>
                <w:rFonts w:ascii="Times New Roman" w:hAnsi="Times New Roman"/>
                <w:sz w:val="21"/>
                <w:szCs w:val="21"/>
              </w:rPr>
              <w:t>10</w:t>
            </w:r>
          </w:p>
        </w:tc>
        <w:tc>
          <w:tcPr>
            <w:tcW w:w="1446" w:type="pct"/>
            <w:shd w:val="clear" w:color="auto" w:fill="auto"/>
            <w:vAlign w:val="center"/>
          </w:tcPr>
          <w:p w14:paraId="61B05813" w14:textId="4662897D"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电路板测试方法、装置、系统及测试上位机</w:t>
            </w:r>
          </w:p>
        </w:tc>
        <w:tc>
          <w:tcPr>
            <w:tcW w:w="767" w:type="pct"/>
            <w:shd w:val="clear" w:color="auto" w:fill="auto"/>
            <w:vAlign w:val="center"/>
          </w:tcPr>
          <w:p w14:paraId="452FBF32" w14:textId="5C9DD889"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2018107626368</w:t>
            </w:r>
          </w:p>
        </w:tc>
        <w:tc>
          <w:tcPr>
            <w:tcW w:w="426" w:type="pct"/>
            <w:shd w:val="clear" w:color="auto" w:fill="auto"/>
            <w:vAlign w:val="center"/>
          </w:tcPr>
          <w:p w14:paraId="53C6C963" w14:textId="5672406A"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2018.7.11</w:t>
            </w:r>
          </w:p>
        </w:tc>
        <w:tc>
          <w:tcPr>
            <w:tcW w:w="1022" w:type="pct"/>
            <w:shd w:val="clear" w:color="auto" w:fill="auto"/>
            <w:vAlign w:val="center"/>
          </w:tcPr>
          <w:p w14:paraId="0C28CE35" w14:textId="3529A8AE"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147B88AB" w14:textId="16238524"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6236D18D" w14:textId="750BCD42"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驳回等复审请求</w:t>
            </w:r>
          </w:p>
        </w:tc>
      </w:tr>
      <w:tr w:rsidR="00722E5D" w14:paraId="34B94A6C" w14:textId="77777777">
        <w:trPr>
          <w:cantSplit/>
          <w:trHeight w:val="454"/>
          <w:jc w:val="center"/>
        </w:trPr>
        <w:tc>
          <w:tcPr>
            <w:tcW w:w="262" w:type="pct"/>
            <w:shd w:val="clear" w:color="auto" w:fill="auto"/>
            <w:vAlign w:val="center"/>
          </w:tcPr>
          <w:p w14:paraId="060BFEF9" w14:textId="77777777" w:rsidR="00722E5D" w:rsidRDefault="00722E5D" w:rsidP="00722E5D">
            <w:pPr>
              <w:adjustRightInd w:val="0"/>
              <w:snapToGrid w:val="0"/>
              <w:jc w:val="center"/>
              <w:rPr>
                <w:rFonts w:ascii="Times New Roman" w:hAnsi="Times New Roman"/>
                <w:sz w:val="21"/>
                <w:szCs w:val="21"/>
              </w:rPr>
            </w:pPr>
            <w:r>
              <w:rPr>
                <w:rFonts w:ascii="Times New Roman" w:hAnsi="Times New Roman"/>
                <w:sz w:val="21"/>
                <w:szCs w:val="21"/>
              </w:rPr>
              <w:t>11</w:t>
            </w:r>
          </w:p>
        </w:tc>
        <w:tc>
          <w:tcPr>
            <w:tcW w:w="1446" w:type="pct"/>
            <w:shd w:val="clear" w:color="auto" w:fill="auto"/>
            <w:vAlign w:val="center"/>
          </w:tcPr>
          <w:p w14:paraId="15413927" w14:textId="64B4A3AB"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单主机多工位同步测试的调度方法及装置</w:t>
            </w:r>
          </w:p>
        </w:tc>
        <w:tc>
          <w:tcPr>
            <w:tcW w:w="767" w:type="pct"/>
            <w:shd w:val="clear" w:color="auto" w:fill="auto"/>
            <w:vAlign w:val="center"/>
          </w:tcPr>
          <w:p w14:paraId="023A4478" w14:textId="3AB9AE9E"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2018101935103</w:t>
            </w:r>
          </w:p>
        </w:tc>
        <w:tc>
          <w:tcPr>
            <w:tcW w:w="426" w:type="pct"/>
            <w:shd w:val="clear" w:color="auto" w:fill="auto"/>
            <w:vAlign w:val="center"/>
          </w:tcPr>
          <w:p w14:paraId="10616505" w14:textId="62E1B59E"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2018.3.8</w:t>
            </w:r>
          </w:p>
        </w:tc>
        <w:tc>
          <w:tcPr>
            <w:tcW w:w="1022" w:type="pct"/>
            <w:shd w:val="clear" w:color="auto" w:fill="auto"/>
            <w:vAlign w:val="center"/>
          </w:tcPr>
          <w:p w14:paraId="036D37DB" w14:textId="38A3F69A"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1004782C" w14:textId="59DA658C"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1682D886" w14:textId="20C5CC43" w:rsidR="00722E5D" w:rsidRPr="00722E5D" w:rsidRDefault="00722E5D" w:rsidP="00722E5D">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驳回等复审请求</w:t>
            </w:r>
          </w:p>
        </w:tc>
      </w:tr>
    </w:tbl>
    <w:bookmarkEnd w:id="36"/>
    <w:bookmarkEnd w:id="37"/>
    <w:p w14:paraId="4368DE7C"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二、全部或部分专利尚未申请成功的原因</w:t>
      </w:r>
    </w:p>
    <w:p w14:paraId="292C1F4D" w14:textId="362142EC"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截至本回复出具日，</w:t>
      </w:r>
      <w:bookmarkStart w:id="38" w:name="_Hlk69802969"/>
      <w:r w:rsidR="00722E5D" w:rsidRPr="00703BC2">
        <w:rPr>
          <w:rFonts w:ascii="Times New Roman" w:hAnsi="Times New Roman" w:hint="eastAsia"/>
        </w:rPr>
        <w:t>北洋天青申请中的专利</w:t>
      </w:r>
      <w:r w:rsidR="00722E5D">
        <w:rPr>
          <w:rFonts w:ascii="Times New Roman" w:hAnsi="Times New Roman" w:hint="eastAsia"/>
        </w:rPr>
        <w:t>最新进展</w:t>
      </w:r>
      <w:r w:rsidR="00722E5D" w:rsidRPr="00703BC2">
        <w:rPr>
          <w:rFonts w:ascii="Times New Roman" w:hAnsi="Times New Roman" w:hint="eastAsia"/>
        </w:rPr>
        <w:t>情况</w:t>
      </w:r>
      <w:r w:rsidR="00722E5D">
        <w:rPr>
          <w:rFonts w:ascii="Times New Roman" w:hAnsi="Times New Roman" w:hint="eastAsia"/>
        </w:rPr>
        <w:t>及部分</w:t>
      </w:r>
      <w:r w:rsidR="00722E5D" w:rsidRPr="003C3C51">
        <w:rPr>
          <w:rFonts w:ascii="Times New Roman" w:hAnsi="Times New Roman" w:hint="eastAsia"/>
        </w:rPr>
        <w:t>专利尚未获得授权的原因具体如下：</w:t>
      </w:r>
    </w:p>
    <w:tbl>
      <w:tblPr>
        <w:tblW w:w="4843"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37"/>
        <w:gridCol w:w="2328"/>
        <w:gridCol w:w="1177"/>
        <w:gridCol w:w="710"/>
        <w:gridCol w:w="708"/>
        <w:gridCol w:w="994"/>
        <w:gridCol w:w="1900"/>
      </w:tblGrid>
      <w:tr w:rsidR="000A0ACD" w14:paraId="7EBF3515" w14:textId="77777777" w:rsidTr="00416C9E">
        <w:trPr>
          <w:cantSplit/>
          <w:trHeight w:val="397"/>
          <w:tblHeader/>
          <w:jc w:val="center"/>
        </w:trPr>
        <w:tc>
          <w:tcPr>
            <w:tcW w:w="265" w:type="pct"/>
            <w:tcBorders>
              <w:top w:val="single" w:sz="12" w:space="0" w:color="auto"/>
              <w:bottom w:val="single" w:sz="4" w:space="0" w:color="auto"/>
              <w:right w:val="single" w:sz="4" w:space="0" w:color="auto"/>
            </w:tcBorders>
            <w:shd w:val="clear" w:color="auto" w:fill="auto"/>
            <w:noWrap/>
            <w:vAlign w:val="center"/>
          </w:tcPr>
          <w:p w14:paraId="1CB9A82A" w14:textId="77777777" w:rsidR="000A0ACD" w:rsidRDefault="00362A99">
            <w:pPr>
              <w:jc w:val="center"/>
              <w:rPr>
                <w:rFonts w:ascii="Times New Roman" w:hAnsi="Times New Roman" w:cs="Times New Roman"/>
                <w:b/>
                <w:bCs/>
                <w:sz w:val="21"/>
                <w:szCs w:val="21"/>
              </w:rPr>
            </w:pPr>
            <w:bookmarkStart w:id="39" w:name="_Hlk69132417"/>
            <w:r>
              <w:rPr>
                <w:rFonts w:ascii="Times New Roman" w:hAnsi="Times New Roman" w:cs="Times New Roman" w:hint="eastAsia"/>
                <w:b/>
                <w:bCs/>
                <w:sz w:val="21"/>
                <w:szCs w:val="21"/>
              </w:rPr>
              <w:t>序号</w:t>
            </w:r>
          </w:p>
        </w:tc>
        <w:tc>
          <w:tcPr>
            <w:tcW w:w="1410"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197508E9"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专利名称</w:t>
            </w:r>
          </w:p>
        </w:tc>
        <w:tc>
          <w:tcPr>
            <w:tcW w:w="713"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39E38838"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申请号</w:t>
            </w:r>
          </w:p>
        </w:tc>
        <w:tc>
          <w:tcPr>
            <w:tcW w:w="430"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68EDA14F"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申请日期</w:t>
            </w:r>
          </w:p>
        </w:tc>
        <w:tc>
          <w:tcPr>
            <w:tcW w:w="429"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7F525326"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专利类型</w:t>
            </w:r>
          </w:p>
        </w:tc>
        <w:tc>
          <w:tcPr>
            <w:tcW w:w="602" w:type="pct"/>
            <w:tcBorders>
              <w:top w:val="single" w:sz="12" w:space="0" w:color="auto"/>
              <w:left w:val="single" w:sz="4" w:space="0" w:color="auto"/>
              <w:bottom w:val="single" w:sz="4" w:space="0" w:color="auto"/>
              <w:right w:val="single" w:sz="4" w:space="0" w:color="auto"/>
            </w:tcBorders>
            <w:vAlign w:val="center"/>
          </w:tcPr>
          <w:p w14:paraId="144CD7E3"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状态</w:t>
            </w:r>
          </w:p>
        </w:tc>
        <w:tc>
          <w:tcPr>
            <w:tcW w:w="1151" w:type="pct"/>
            <w:tcBorders>
              <w:top w:val="single" w:sz="12" w:space="0" w:color="auto"/>
              <w:left w:val="single" w:sz="4" w:space="0" w:color="auto"/>
              <w:bottom w:val="single" w:sz="4" w:space="0" w:color="auto"/>
            </w:tcBorders>
            <w:vAlign w:val="center"/>
          </w:tcPr>
          <w:p w14:paraId="6302D556"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尚未申请成功的原因</w:t>
            </w:r>
          </w:p>
        </w:tc>
      </w:tr>
      <w:tr w:rsidR="00416C9E" w14:paraId="1867BBB9"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0864559A" w14:textId="57C8D2FF"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1</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4A8E0" w14:textId="707A9834"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一种堵料供料机及应用堵料供料机的自动注料系统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3F4821" w14:textId="3FA73F28"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2019104599679</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BF0104" w14:textId="318F206B"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2019.5.30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96C6ED" w14:textId="30524763"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525A4F15" w14:textId="37CEA74B"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等年登印费</w:t>
            </w:r>
          </w:p>
        </w:tc>
        <w:tc>
          <w:tcPr>
            <w:tcW w:w="1151" w:type="pct"/>
            <w:tcBorders>
              <w:top w:val="single" w:sz="4" w:space="0" w:color="auto"/>
              <w:left w:val="single" w:sz="4" w:space="0" w:color="auto"/>
              <w:bottom w:val="single" w:sz="4" w:space="0" w:color="auto"/>
            </w:tcBorders>
            <w:vAlign w:val="center"/>
          </w:tcPr>
          <w:p w14:paraId="6D98C26D" w14:textId="018FFA20"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2</w:t>
            </w:r>
            <w:r w:rsidRPr="00416C9E">
              <w:rPr>
                <w:rFonts w:ascii="Times New Roman" w:hAnsi="Times New Roman"/>
                <w:color w:val="000000"/>
                <w:sz w:val="21"/>
                <w:szCs w:val="21"/>
              </w:rPr>
              <w:t>021</w:t>
            </w:r>
            <w:r w:rsidRPr="00416C9E">
              <w:rPr>
                <w:rFonts w:ascii="Times New Roman" w:hAnsi="Times New Roman" w:hint="eastAsia"/>
                <w:color w:val="000000"/>
                <w:sz w:val="21"/>
                <w:szCs w:val="21"/>
              </w:rPr>
              <w:t>年</w:t>
            </w:r>
            <w:r w:rsidRPr="00416C9E">
              <w:rPr>
                <w:rFonts w:ascii="Times New Roman" w:hAnsi="Times New Roman" w:hint="eastAsia"/>
                <w:color w:val="000000"/>
                <w:sz w:val="21"/>
                <w:szCs w:val="21"/>
              </w:rPr>
              <w:t>4</w:t>
            </w:r>
            <w:r w:rsidRPr="00416C9E">
              <w:rPr>
                <w:rFonts w:ascii="Times New Roman" w:hAnsi="Times New Roman" w:hint="eastAsia"/>
                <w:color w:val="000000"/>
                <w:sz w:val="21"/>
                <w:szCs w:val="21"/>
              </w:rPr>
              <w:t>月</w:t>
            </w:r>
            <w:r w:rsidRPr="00416C9E">
              <w:rPr>
                <w:rFonts w:ascii="Times New Roman" w:hAnsi="Times New Roman" w:hint="eastAsia"/>
                <w:color w:val="000000"/>
                <w:sz w:val="21"/>
                <w:szCs w:val="21"/>
              </w:rPr>
              <w:t>1</w:t>
            </w:r>
            <w:r w:rsidRPr="00416C9E">
              <w:rPr>
                <w:rFonts w:ascii="Times New Roman" w:hAnsi="Times New Roman"/>
                <w:color w:val="000000"/>
                <w:sz w:val="21"/>
                <w:szCs w:val="21"/>
              </w:rPr>
              <w:t>6</w:t>
            </w:r>
            <w:r w:rsidRPr="00416C9E">
              <w:rPr>
                <w:rFonts w:ascii="Times New Roman" w:hAnsi="Times New Roman" w:hint="eastAsia"/>
                <w:color w:val="000000"/>
                <w:sz w:val="21"/>
                <w:szCs w:val="21"/>
              </w:rPr>
              <w:t>日取得《授予发明专利权通知书》，申请人办理登记手续后将颁发发明专利证书</w:t>
            </w:r>
          </w:p>
        </w:tc>
      </w:tr>
      <w:tr w:rsidR="00416C9E" w14:paraId="2803F159"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5E995FE1" w14:textId="150E422E"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sz w:val="21"/>
                <w:szCs w:val="21"/>
              </w:rPr>
              <w:t>2</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01301" w14:textId="2A92104D"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干衣机内筒涂胶设备及其涂胶工艺</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5E627" w14:textId="400294BB"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2018105682594</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B495F" w14:textId="20F742A1"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2018.5.30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AAE3C" w14:textId="1B14AAA8"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26FAFCDB" w14:textId="71234F4D"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05C314DC" w14:textId="6E5AB209"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416C9E" w14:paraId="05A9690F"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3A4EAA5D" w14:textId="769028B4"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sz w:val="21"/>
                <w:szCs w:val="21"/>
              </w:rPr>
              <w:t>3</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EA931D" w14:textId="44DD8FF6"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干衣机门体涂胶设备及其涂胶工艺</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ABDDE" w14:textId="349410E2"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2018105362948</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2AAB7" w14:textId="6E959D11"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2018.5.30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C09BE" w14:textId="2521F314"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4B5EA101" w14:textId="4EB5C1E0"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08537B2F" w14:textId="5DB44D3B"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416C9E" w14:paraId="59CAF47A"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4F3013A7" w14:textId="50FD9F2E"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sz w:val="21"/>
                <w:szCs w:val="21"/>
              </w:rPr>
              <w:t>4</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ED825" w14:textId="59092D3C"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一种洗衣机配重块安装工装及洗衣机安装系统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6BB2F" w14:textId="7290E1B1"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2018107592910</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7FFAD" w14:textId="1F6B7B8B"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2018.7.11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85528" w14:textId="3D34C241"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5337BA0B" w14:textId="0D66152D"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1BE92206" w14:textId="6381651D"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416C9E" w14:paraId="4796C86E"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5A11E447" w14:textId="0311D2FB"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sz w:val="21"/>
                <w:szCs w:val="21"/>
              </w:rPr>
              <w:t>5</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F7093" w14:textId="30E83301"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工装夹具及干衣机内筒装配设备</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EB01C" w14:textId="3C911567"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2018107628537</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F713FC" w14:textId="79A3F9EB"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2018.7.11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6A773" w14:textId="78425927"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0512DF1E" w14:textId="0B940A0E"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40062A6F" w14:textId="782695FA"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416C9E" w14:paraId="7801ED5B"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7E93F135" w14:textId="74EEEBA7"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6</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988E0" w14:textId="25766812"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箱体夹抱翻转机构及箱体翻转设备</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4AE59" w14:textId="2815A3C5"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2018107626387</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17649" w14:textId="50A75FB5"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2018.7.11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37C00" w14:textId="2BFDD279"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4C98EFA7" w14:textId="26CC8548"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222EC9D6" w14:textId="20907C8D"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416C9E" w14:paraId="6B86D44A"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7CFBBB5C" w14:textId="3D3A60F3"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7</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4FA9A3" w14:textId="17098CFB"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一种门体配送的空中积放控制系统及其方法</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BBDBC" w14:textId="0AFD0303"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2020113353223</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1AC83E" w14:textId="091E6FDD"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2020.11.25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09837" w14:textId="39BB7DDE"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0E5C3779" w14:textId="52ADBC4B"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02C8C6FF" w14:textId="78D0D044"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416C9E" w14:paraId="1A0559B7"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6E0FD367" w14:textId="156E0200"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8</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E0024" w14:textId="5E2704F3"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门壳自动线换模系统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C84A4F" w14:textId="06EF372C"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2020116035010</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77B76" w14:textId="646AF1A4"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2020.12.30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A831A3" w14:textId="2409470A"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2D4D927E" w14:textId="77777777" w:rsidR="00416C9E" w:rsidRPr="00416C9E" w:rsidRDefault="00416C9E" w:rsidP="00416C9E">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初审</w:t>
            </w:r>
          </w:p>
          <w:p w14:paraId="798516E6" w14:textId="13F9C611"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合格</w:t>
            </w:r>
          </w:p>
        </w:tc>
        <w:tc>
          <w:tcPr>
            <w:tcW w:w="1151" w:type="pct"/>
            <w:tcBorders>
              <w:top w:val="single" w:sz="4" w:space="0" w:color="auto"/>
              <w:left w:val="single" w:sz="4" w:space="0" w:color="auto"/>
              <w:bottom w:val="single" w:sz="4" w:space="0" w:color="auto"/>
            </w:tcBorders>
            <w:vAlign w:val="center"/>
          </w:tcPr>
          <w:p w14:paraId="01CC69D9" w14:textId="029F197E"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初审合格</w:t>
            </w:r>
            <w:r w:rsidRPr="00416C9E">
              <w:rPr>
                <w:rFonts w:ascii="Times New Roman" w:hAnsi="Times New Roman"/>
                <w:color w:val="000000"/>
                <w:sz w:val="21"/>
                <w:szCs w:val="21"/>
              </w:rPr>
              <w:t>,</w:t>
            </w:r>
            <w:r w:rsidRPr="00416C9E">
              <w:rPr>
                <w:rFonts w:ascii="Times New Roman" w:hAnsi="Times New Roman" w:hint="eastAsia"/>
                <w:color w:val="000000"/>
                <w:sz w:val="21"/>
                <w:szCs w:val="21"/>
              </w:rPr>
              <w:t>等待实质审查</w:t>
            </w:r>
          </w:p>
        </w:tc>
      </w:tr>
      <w:tr w:rsidR="00416C9E" w14:paraId="7248B5FB"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2E8B08CE" w14:textId="4FA8BAF6"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9</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DDA339" w14:textId="3F932E01"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一种冰箱自动上压机生产系统及其自动上压机生产方法</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B9A20" w14:textId="4289581B"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2020116035699</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47DFD" w14:textId="3DC75E78"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2020.12.30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C22DE0" w14:textId="5C39CA5E"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3D9B0136" w14:textId="77777777" w:rsidR="00416C9E" w:rsidRPr="00416C9E" w:rsidRDefault="00416C9E" w:rsidP="00416C9E">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5AB3A3FC" w14:textId="7E8A4948"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38A6CE64" w14:textId="65A8FD5B"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416C9E" w14:paraId="6617143E"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6A7A4E59" w14:textId="3ADBCCA6"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10</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CA962" w14:textId="3FE5CE62"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一种用于积放小车的强轴向力摩擦杆安装结构</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B1ADF" w14:textId="10F0A41D"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2020227565478</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62CA09" w14:textId="4BD75012"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2020.11.25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D79D7" w14:textId="6F8793D7"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0542BD4C" w14:textId="77777777" w:rsidR="00416C9E" w:rsidRPr="00416C9E" w:rsidRDefault="00416C9E" w:rsidP="00416C9E">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3F39BBA8" w14:textId="6C64BFDC"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24E0FB58" w14:textId="46565E8D"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416C9E" w14:paraId="195731C1"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1E706DFC" w14:textId="2004BE51"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11</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381FC2" w14:textId="09DE513F"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一种防脱轨的积放小车</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272CB2" w14:textId="0E22D414"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2020227565552</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A6CA0" w14:textId="4092A3C8"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2020.11.25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6064D" w14:textId="66C92504"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3E209959" w14:textId="77777777" w:rsidR="00416C9E" w:rsidRPr="00416C9E" w:rsidRDefault="00416C9E" w:rsidP="00416C9E">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5CFE14E9" w14:textId="03A7C6AC"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1A751945" w14:textId="26741E3C"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416C9E" w14:paraId="10A59DFB"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411C69BE" w14:textId="7CB1CEFF"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12</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17370" w14:textId="74E40CC7"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一种吊胆提升机组</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69297" w14:textId="6D05ACFB"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2020227596885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26AEB" w14:textId="1C904479"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2020.11.25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C9ED3" w14:textId="37F1B042"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7F0D52A3" w14:textId="77777777" w:rsidR="00416C9E" w:rsidRPr="00416C9E" w:rsidRDefault="00416C9E" w:rsidP="00416C9E">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1C7F1D54" w14:textId="3D282C8E"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5394DB15" w14:textId="054AD47C"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416C9E" w14:paraId="1A6D5F12"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3CAA687F" w14:textId="2CD43DF5"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13</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77A075" w14:textId="3A6A111D"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一种新型摩擦杆动力传输机构</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39DEB" w14:textId="55CC17E1"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2020227623312</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E0C1F" w14:textId="16E6C5C9"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2020.11.25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3F39A" w14:textId="2DD46A45"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47A2C181" w14:textId="77777777" w:rsidR="00416C9E" w:rsidRPr="00416C9E" w:rsidRDefault="00416C9E" w:rsidP="00416C9E">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777AC846" w14:textId="49E65658"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3C621932" w14:textId="0BE49DAE"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416C9E" w14:paraId="2472560B"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70E4E916" w14:textId="7B84FF0C"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14</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EF000" w14:textId="0AD942C3"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一种模具立体仓库</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D9DEFB" w14:textId="58DBB7EB"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2020229581085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C18C1" w14:textId="234F928A"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2020.12.9</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E6839" w14:textId="534CA471"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3A13BB70" w14:textId="77777777" w:rsidR="00416C9E" w:rsidRPr="00416C9E" w:rsidRDefault="00416C9E" w:rsidP="00416C9E">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704AA128" w14:textId="220A96D9"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7A15768F" w14:textId="29D1D91C"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416C9E" w14:paraId="7EC6E023"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515BB4D8" w14:textId="1E7E2A1D"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15</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59BEF" w14:textId="6702F923"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一种冰箱自动上压机生产系统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BF505" w14:textId="7AC58E60"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2020232655900</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38874" w14:textId="344E5588"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2020.12.30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67022" w14:textId="36858A8D"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5B6DB71D" w14:textId="77777777" w:rsidR="00416C9E" w:rsidRPr="00416C9E" w:rsidRDefault="00416C9E" w:rsidP="00416C9E">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1E7A5F9D" w14:textId="1B16CB93"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57B2BB43" w14:textId="2C1B3F30"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416C9E" w14:paraId="488139D0"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72049E90" w14:textId="28CC83C8"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16</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3E35D" w14:textId="127274DF"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门壳自动线换模系统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633BC" w14:textId="5A348E53"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2020232911150</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BA20C" w14:textId="4657A4B0"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2020.12.30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4454F" w14:textId="1476ABF8"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280E60F8" w14:textId="77777777" w:rsidR="00416C9E" w:rsidRPr="00416C9E" w:rsidRDefault="00416C9E" w:rsidP="00416C9E">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79CED4DB" w14:textId="4AAAC85C"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0EC8CD86" w14:textId="5561BEC3"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416C9E" w14:paraId="41A68665"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2093B9E1" w14:textId="2DB7F608"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17</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EB3FE" w14:textId="410C41BF"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电视主板测试方法、装置、系统及测试上位机</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C0D84" w14:textId="3D627022"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2018107626372</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F2631" w14:textId="082EB29C"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2018.7.11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90A35" w14:textId="03AD06D6"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61395603" w14:textId="3C039B4F"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驳回等复审请求</w:t>
            </w:r>
          </w:p>
        </w:tc>
        <w:tc>
          <w:tcPr>
            <w:tcW w:w="1151" w:type="pct"/>
            <w:tcBorders>
              <w:top w:val="single" w:sz="4" w:space="0" w:color="auto"/>
              <w:left w:val="single" w:sz="4" w:space="0" w:color="auto"/>
              <w:bottom w:val="single" w:sz="4" w:space="0" w:color="auto"/>
            </w:tcBorders>
            <w:vAlign w:val="center"/>
          </w:tcPr>
          <w:p w14:paraId="6FA5AB38" w14:textId="098D1D92"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审查认为不具有创造性</w:t>
            </w:r>
          </w:p>
        </w:tc>
      </w:tr>
      <w:tr w:rsidR="00416C9E" w14:paraId="4F4768B6"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2C7E9EB1" w14:textId="6919AB6B"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18</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AC984" w14:textId="4D47A164"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多通道高速串行数字视频信号切换设备、切换方法及系统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17EEF" w14:textId="43567292"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2018101933396</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DF5039" w14:textId="5CA86676"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2018.3.8</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5536E" w14:textId="2DE0CDCD"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552E69B1" w14:textId="61C909DA"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驳回等复审请求</w:t>
            </w:r>
          </w:p>
        </w:tc>
        <w:tc>
          <w:tcPr>
            <w:tcW w:w="1151" w:type="pct"/>
            <w:tcBorders>
              <w:top w:val="single" w:sz="4" w:space="0" w:color="auto"/>
              <w:left w:val="single" w:sz="4" w:space="0" w:color="auto"/>
              <w:bottom w:val="single" w:sz="4" w:space="0" w:color="auto"/>
            </w:tcBorders>
            <w:vAlign w:val="center"/>
          </w:tcPr>
          <w:p w14:paraId="7099971F" w14:textId="2A395A3F"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审查认为不具有创造性</w:t>
            </w:r>
          </w:p>
        </w:tc>
      </w:tr>
      <w:tr w:rsidR="00416C9E" w14:paraId="228B7999" w14:textId="77777777" w:rsidTr="00416C9E">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0188F00D" w14:textId="650AC500"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19</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6DE5B5" w14:textId="1D776ED0"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电路板测试方法、装置、系统及测试上位机</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12396D" w14:textId="5DA67738"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2018107626368</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20CE5" w14:textId="4FF54D17"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2018.7.11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5A899" w14:textId="306C98D2"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00C1D5A5" w14:textId="23F61226"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驳回等复审请求</w:t>
            </w:r>
          </w:p>
        </w:tc>
        <w:tc>
          <w:tcPr>
            <w:tcW w:w="1151" w:type="pct"/>
            <w:tcBorders>
              <w:top w:val="single" w:sz="4" w:space="0" w:color="auto"/>
              <w:left w:val="single" w:sz="4" w:space="0" w:color="auto"/>
              <w:bottom w:val="single" w:sz="4" w:space="0" w:color="auto"/>
            </w:tcBorders>
            <w:vAlign w:val="center"/>
          </w:tcPr>
          <w:p w14:paraId="272DC92D" w14:textId="06ABF07F"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审查认为不具有创造性</w:t>
            </w:r>
          </w:p>
        </w:tc>
      </w:tr>
      <w:tr w:rsidR="00416C9E" w14:paraId="537DCBE3" w14:textId="77777777" w:rsidTr="00416C9E">
        <w:trPr>
          <w:cantSplit/>
          <w:trHeight w:val="397"/>
          <w:jc w:val="center"/>
        </w:trPr>
        <w:tc>
          <w:tcPr>
            <w:tcW w:w="265" w:type="pct"/>
            <w:tcBorders>
              <w:top w:val="single" w:sz="4" w:space="0" w:color="auto"/>
              <w:bottom w:val="single" w:sz="12" w:space="0" w:color="auto"/>
              <w:right w:val="single" w:sz="4" w:space="0" w:color="auto"/>
            </w:tcBorders>
            <w:shd w:val="clear" w:color="auto" w:fill="auto"/>
            <w:noWrap/>
            <w:vAlign w:val="center"/>
          </w:tcPr>
          <w:p w14:paraId="5BC4B50A" w14:textId="69D329BD" w:rsidR="00416C9E" w:rsidRPr="00416C9E" w:rsidRDefault="00416C9E" w:rsidP="00416C9E">
            <w:pPr>
              <w:jc w:val="center"/>
              <w:rPr>
                <w:rFonts w:ascii="Times New Roman" w:hAnsi="Times New Roman" w:cs="Times New Roman"/>
                <w:sz w:val="21"/>
                <w:szCs w:val="21"/>
              </w:rPr>
            </w:pPr>
            <w:r w:rsidRPr="00416C9E">
              <w:rPr>
                <w:rFonts w:ascii="Times New Roman" w:hAnsi="Times New Roman"/>
                <w:sz w:val="21"/>
                <w:szCs w:val="21"/>
              </w:rPr>
              <w:t>20</w:t>
            </w:r>
          </w:p>
        </w:tc>
        <w:tc>
          <w:tcPr>
            <w:tcW w:w="1410"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246229A6" w14:textId="2AE65391"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单主机多工位同步测试的调度方法及装置</w:t>
            </w:r>
          </w:p>
        </w:tc>
        <w:tc>
          <w:tcPr>
            <w:tcW w:w="713"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64E47B67" w14:textId="3E289B40"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2018101935103</w:t>
            </w:r>
          </w:p>
        </w:tc>
        <w:tc>
          <w:tcPr>
            <w:tcW w:w="430"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2C5EFDCE" w14:textId="312EE7FB" w:rsidR="00416C9E" w:rsidRPr="00416C9E" w:rsidRDefault="00416C9E" w:rsidP="00416C9E">
            <w:pPr>
              <w:jc w:val="center"/>
              <w:rPr>
                <w:rFonts w:ascii="Times New Roman" w:hAnsi="Times New Roman" w:cs="Times New Roman"/>
                <w:color w:val="000000"/>
                <w:sz w:val="21"/>
                <w:szCs w:val="21"/>
              </w:rPr>
            </w:pPr>
            <w:r w:rsidRPr="00416C9E">
              <w:rPr>
                <w:rFonts w:ascii="Times New Roman" w:hAnsi="Times New Roman"/>
                <w:color w:val="000000"/>
                <w:sz w:val="21"/>
                <w:szCs w:val="21"/>
              </w:rPr>
              <w:t>2018.3.8</w:t>
            </w:r>
          </w:p>
        </w:tc>
        <w:tc>
          <w:tcPr>
            <w:tcW w:w="429"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533B8414" w14:textId="1090DBAF"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12" w:space="0" w:color="auto"/>
              <w:right w:val="single" w:sz="4" w:space="0" w:color="auto"/>
            </w:tcBorders>
            <w:vAlign w:val="center"/>
          </w:tcPr>
          <w:p w14:paraId="2D46CE9B" w14:textId="18B1C60D" w:rsidR="00416C9E" w:rsidRPr="00416C9E" w:rsidRDefault="00416C9E" w:rsidP="00416C9E">
            <w:pPr>
              <w:jc w:val="center"/>
              <w:rPr>
                <w:rFonts w:ascii="Times New Roman" w:hAnsi="Times New Roman" w:cs="Times New Roman"/>
                <w:sz w:val="21"/>
                <w:szCs w:val="21"/>
              </w:rPr>
            </w:pPr>
            <w:r w:rsidRPr="00416C9E">
              <w:rPr>
                <w:rFonts w:ascii="Times New Roman" w:hAnsi="Times New Roman" w:hint="eastAsia"/>
                <w:color w:val="000000"/>
                <w:sz w:val="21"/>
                <w:szCs w:val="21"/>
              </w:rPr>
              <w:t>驳回等复审请求</w:t>
            </w:r>
          </w:p>
        </w:tc>
        <w:tc>
          <w:tcPr>
            <w:tcW w:w="1151" w:type="pct"/>
            <w:tcBorders>
              <w:top w:val="single" w:sz="4" w:space="0" w:color="auto"/>
              <w:left w:val="single" w:sz="4" w:space="0" w:color="auto"/>
              <w:bottom w:val="single" w:sz="12" w:space="0" w:color="auto"/>
            </w:tcBorders>
            <w:vAlign w:val="center"/>
          </w:tcPr>
          <w:p w14:paraId="1070D3E6" w14:textId="7B11E012" w:rsidR="00416C9E" w:rsidRPr="00416C9E" w:rsidRDefault="00416C9E" w:rsidP="00416C9E">
            <w:pPr>
              <w:jc w:val="both"/>
              <w:rPr>
                <w:rFonts w:ascii="Times New Roman" w:hAnsi="Times New Roman" w:cs="Times New Roman"/>
                <w:sz w:val="21"/>
                <w:szCs w:val="21"/>
              </w:rPr>
            </w:pPr>
            <w:r w:rsidRPr="00416C9E">
              <w:rPr>
                <w:rFonts w:ascii="Times New Roman" w:hAnsi="Times New Roman" w:hint="eastAsia"/>
                <w:color w:val="000000"/>
                <w:sz w:val="21"/>
                <w:szCs w:val="21"/>
              </w:rPr>
              <w:t>审查认为不具有创造性</w:t>
            </w:r>
          </w:p>
        </w:tc>
      </w:tr>
    </w:tbl>
    <w:p w14:paraId="1C03992F" w14:textId="4A3BEF97" w:rsidR="000A0ACD" w:rsidRDefault="00915B82">
      <w:pPr>
        <w:spacing w:beforeLines="50" w:before="156" w:line="360" w:lineRule="auto"/>
        <w:ind w:firstLineChars="200" w:firstLine="480"/>
        <w:jc w:val="both"/>
        <w:rPr>
          <w:rFonts w:ascii="Times New Roman" w:hAnsi="Times New Roman" w:cs="Times New Roman"/>
          <w:bCs/>
          <w:color w:val="000000"/>
          <w:szCs w:val="21"/>
        </w:rPr>
      </w:pPr>
      <w:bookmarkStart w:id="40" w:name="_Hlk69806836"/>
      <w:bookmarkEnd w:id="38"/>
      <w:bookmarkEnd w:id="39"/>
      <w:r w:rsidRPr="003C3C51">
        <w:rPr>
          <w:rFonts w:ascii="Times New Roman" w:hAnsi="Times New Roman" w:hint="eastAsia"/>
          <w:bCs/>
          <w:color w:val="000000"/>
        </w:rPr>
        <w:t>标的公司申请日为</w:t>
      </w:r>
      <w:r w:rsidRPr="003C3C51">
        <w:rPr>
          <w:rFonts w:ascii="Times New Roman" w:hAnsi="Times New Roman" w:hint="eastAsia"/>
          <w:bCs/>
          <w:color w:val="000000"/>
        </w:rPr>
        <w:t>2</w:t>
      </w:r>
      <w:r w:rsidRPr="003C3C51">
        <w:rPr>
          <w:rFonts w:ascii="Times New Roman" w:hAnsi="Times New Roman"/>
          <w:bCs/>
          <w:color w:val="000000"/>
        </w:rPr>
        <w:t>020</w:t>
      </w:r>
      <w:r w:rsidRPr="003C3C51">
        <w:rPr>
          <w:rFonts w:ascii="Times New Roman" w:hAnsi="Times New Roman" w:hint="eastAsia"/>
          <w:bCs/>
          <w:color w:val="000000"/>
        </w:rPr>
        <w:t>年</w:t>
      </w:r>
      <w:r w:rsidRPr="003C3C51">
        <w:rPr>
          <w:rFonts w:ascii="Times New Roman" w:hAnsi="Times New Roman" w:hint="eastAsia"/>
          <w:bCs/>
          <w:color w:val="000000"/>
        </w:rPr>
        <w:t>1</w:t>
      </w:r>
      <w:r w:rsidRPr="003C3C51">
        <w:rPr>
          <w:rFonts w:ascii="Times New Roman" w:hAnsi="Times New Roman" w:hint="eastAsia"/>
          <w:bCs/>
          <w:color w:val="000000"/>
        </w:rPr>
        <w:t>月</w:t>
      </w:r>
      <w:r w:rsidRPr="003C3C51">
        <w:rPr>
          <w:rFonts w:ascii="Times New Roman" w:hAnsi="Times New Roman" w:hint="eastAsia"/>
          <w:bCs/>
          <w:color w:val="000000"/>
        </w:rPr>
        <w:t>1</w:t>
      </w:r>
      <w:r w:rsidRPr="003C3C51">
        <w:rPr>
          <w:rFonts w:ascii="Times New Roman" w:hAnsi="Times New Roman" w:hint="eastAsia"/>
          <w:bCs/>
          <w:color w:val="000000"/>
        </w:rPr>
        <w:t>日以前</w:t>
      </w:r>
      <w:r>
        <w:rPr>
          <w:rFonts w:ascii="Times New Roman" w:hAnsi="Times New Roman" w:hint="eastAsia"/>
          <w:bCs/>
          <w:color w:val="000000"/>
        </w:rPr>
        <w:t>且</w:t>
      </w:r>
      <w:r w:rsidRPr="003C3C51">
        <w:rPr>
          <w:rFonts w:ascii="Times New Roman" w:hAnsi="Times New Roman" w:hint="eastAsia"/>
          <w:bCs/>
          <w:color w:val="000000"/>
        </w:rPr>
        <w:t>尚未获得授权的专利</w:t>
      </w:r>
      <w:r>
        <w:rPr>
          <w:rFonts w:ascii="Times New Roman" w:hAnsi="Times New Roman" w:hint="eastAsia"/>
          <w:bCs/>
          <w:color w:val="000000"/>
        </w:rPr>
        <w:t>共</w:t>
      </w:r>
      <w:r>
        <w:rPr>
          <w:rFonts w:ascii="Times New Roman" w:hAnsi="Times New Roman" w:hint="eastAsia"/>
          <w:bCs/>
          <w:color w:val="000000"/>
        </w:rPr>
        <w:t>1</w:t>
      </w:r>
      <w:r>
        <w:rPr>
          <w:rFonts w:ascii="Times New Roman" w:hAnsi="Times New Roman"/>
          <w:bCs/>
          <w:color w:val="000000"/>
        </w:rPr>
        <w:t>0</w:t>
      </w:r>
      <w:r>
        <w:rPr>
          <w:rFonts w:ascii="Times New Roman" w:hAnsi="Times New Roman" w:hint="eastAsia"/>
          <w:bCs/>
          <w:color w:val="000000"/>
        </w:rPr>
        <w:t>项，尚未获得授权的主要原因为专利申请已进入实质审查阶段等待审查意见，或者专利主管部门认为申请的专利不具有创造性作出驳回决定，该等原因系发明专利申请过程中的常见情况，</w:t>
      </w:r>
      <w:bookmarkEnd w:id="40"/>
      <w:r w:rsidR="00416C9E">
        <w:rPr>
          <w:rFonts w:ascii="Times New Roman" w:hAnsi="Times New Roman" w:hint="eastAsia"/>
          <w:bCs/>
          <w:color w:val="000000"/>
        </w:rPr>
        <w:t>专利申请人通常需要根据专利主管部门的意见做出一次或多次答复，才能获得授权。对于被驳回的专利申请，标的公司目前正在研讨论证是否提出专利复审申请或其他专利申请；对于专利主管部门提出的审查意见，标的公司将积极给予答复，以推动申请进程的完成并获得授权专利。</w:t>
      </w:r>
    </w:p>
    <w:p w14:paraId="5118721F"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）标的资产核心技术人员在其他企事业单位任职或投资情况（如有）及其原因，该等行为是否违反与标的资产签订的竞业限制等相关协议。</w:t>
      </w:r>
    </w:p>
    <w:p w14:paraId="31DEE521" w14:textId="337A3F9E"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截至本回复出具日，</w:t>
      </w:r>
      <w:r w:rsidR="00722E5D" w:rsidRPr="00701684">
        <w:rPr>
          <w:rFonts w:ascii="Times New Roman" w:hAnsi="Times New Roman" w:hint="eastAsia"/>
          <w:bCs/>
          <w:color w:val="000000"/>
        </w:rPr>
        <w:t>标的公司</w:t>
      </w:r>
      <w:r w:rsidR="00722E5D">
        <w:rPr>
          <w:rFonts w:ascii="Times New Roman" w:hAnsi="Times New Roman" w:hint="eastAsia"/>
          <w:bCs/>
          <w:color w:val="000000"/>
        </w:rPr>
        <w:t>的核心技术人员为</w:t>
      </w:r>
      <w:r w:rsidR="00722E5D" w:rsidRPr="00701684">
        <w:rPr>
          <w:rFonts w:ascii="Times New Roman" w:hAnsi="Times New Roman" w:hint="eastAsia"/>
          <w:bCs/>
          <w:color w:val="000000"/>
        </w:rPr>
        <w:t>周业荣、程云南、张李强、刘成斌、帅智强</w:t>
      </w:r>
      <w:r w:rsidR="00722E5D">
        <w:rPr>
          <w:rFonts w:ascii="Times New Roman" w:hAnsi="Times New Roman" w:hint="eastAsia"/>
          <w:bCs/>
          <w:color w:val="000000"/>
        </w:rPr>
        <w:t>。</w:t>
      </w:r>
    </w:p>
    <w:p w14:paraId="27C3D816" w14:textId="5394ACC4" w:rsidR="000A0ACD" w:rsidRDefault="00722E5D">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hint="eastAsia"/>
          <w:bCs/>
          <w:color w:val="000000"/>
        </w:rPr>
        <w:t>根据标的公司核心技术人员填写的《自然人情况查询表及承诺》及出具的承诺，</w:t>
      </w:r>
      <w:bookmarkStart w:id="41" w:name="_Hlk69480499"/>
      <w:r w:rsidRPr="00701684">
        <w:rPr>
          <w:rFonts w:ascii="Times New Roman" w:hAnsi="Times New Roman" w:hint="eastAsia"/>
          <w:bCs/>
          <w:color w:val="000000"/>
        </w:rPr>
        <w:t>标的公司</w:t>
      </w:r>
      <w:r>
        <w:rPr>
          <w:rFonts w:ascii="Times New Roman" w:hAnsi="Times New Roman" w:hint="eastAsia"/>
          <w:bCs/>
          <w:color w:val="000000"/>
        </w:rPr>
        <w:t>的核心技术人员均</w:t>
      </w:r>
      <w:r w:rsidRPr="00701684">
        <w:rPr>
          <w:rFonts w:ascii="Times New Roman" w:hAnsi="Times New Roman" w:hint="eastAsia"/>
          <w:bCs/>
          <w:color w:val="000000"/>
        </w:rPr>
        <w:t>不存在在其他企事业单位任职或投资的情况，不存在违反与标的公司签订的竞业限制等相关协议的情形。</w:t>
      </w:r>
      <w:bookmarkEnd w:id="41"/>
    </w:p>
    <w:p w14:paraId="1F457E5D"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4</w:t>
      </w:r>
      <w:r>
        <w:rPr>
          <w:rFonts w:ascii="Times New Roman" w:eastAsia="黑体" w:hAnsi="Times New Roman" w:cs="Times New Roman" w:hint="eastAsia"/>
          <w:b/>
          <w:color w:val="000000"/>
          <w:szCs w:val="21"/>
        </w:rPr>
        <w:t>）报告期内标的资产技术人员离职情况，防止交易完成后核心技术人员流失的措施及其充分性</w:t>
      </w:r>
    </w:p>
    <w:p w14:paraId="480D7C5E"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一、报告期内标的资产技术人员离职情况</w:t>
      </w:r>
    </w:p>
    <w:p w14:paraId="48690009" w14:textId="10C8C646" w:rsidR="000A0ACD" w:rsidRDefault="00722E5D">
      <w:pPr>
        <w:spacing w:beforeLines="50" w:before="156" w:line="360" w:lineRule="auto"/>
        <w:ind w:firstLineChars="200" w:firstLine="480"/>
        <w:jc w:val="both"/>
        <w:rPr>
          <w:rFonts w:ascii="Times New Roman" w:hAnsi="Times New Roman" w:cs="Times New Roman"/>
          <w:bCs/>
          <w:color w:val="000000"/>
          <w:szCs w:val="21"/>
        </w:rPr>
      </w:pPr>
      <w:r w:rsidRPr="00701684">
        <w:rPr>
          <w:rFonts w:ascii="Times New Roman" w:hAnsi="Times New Roman" w:hint="eastAsia"/>
          <w:bCs/>
          <w:color w:val="000000"/>
        </w:rPr>
        <w:t>标的公司及其子公司</w:t>
      </w:r>
      <w:r w:rsidRPr="00701684">
        <w:rPr>
          <w:rFonts w:ascii="Times New Roman" w:hAnsi="Times New Roman"/>
          <w:bCs/>
          <w:color w:val="000000"/>
        </w:rPr>
        <w:t>2018</w:t>
      </w:r>
      <w:r w:rsidRPr="00701684">
        <w:rPr>
          <w:rFonts w:ascii="Times New Roman" w:hAnsi="Times New Roman"/>
          <w:bCs/>
          <w:color w:val="000000"/>
        </w:rPr>
        <w:t>年</w:t>
      </w:r>
      <w:r w:rsidRPr="00701684">
        <w:rPr>
          <w:rFonts w:ascii="Times New Roman" w:hAnsi="Times New Roman"/>
          <w:bCs/>
          <w:color w:val="000000"/>
        </w:rPr>
        <w:t>1</w:t>
      </w:r>
      <w:r w:rsidRPr="00701684">
        <w:rPr>
          <w:rFonts w:ascii="Times New Roman" w:hAnsi="Times New Roman"/>
          <w:bCs/>
          <w:color w:val="000000"/>
        </w:rPr>
        <w:t>月</w:t>
      </w:r>
      <w:r w:rsidRPr="00701684">
        <w:rPr>
          <w:rFonts w:ascii="Times New Roman" w:hAnsi="Times New Roman"/>
          <w:bCs/>
          <w:color w:val="000000"/>
        </w:rPr>
        <w:t>1</w:t>
      </w:r>
      <w:r w:rsidRPr="00701684">
        <w:rPr>
          <w:rFonts w:ascii="Times New Roman" w:hAnsi="Times New Roman"/>
          <w:bCs/>
          <w:color w:val="000000"/>
        </w:rPr>
        <w:t>日在岗技术人员人数为</w:t>
      </w:r>
      <w:r w:rsidRPr="00701684">
        <w:rPr>
          <w:rFonts w:ascii="Times New Roman" w:hAnsi="Times New Roman"/>
          <w:bCs/>
          <w:color w:val="000000"/>
        </w:rPr>
        <w:t>23</w:t>
      </w:r>
      <w:r w:rsidRPr="00701684">
        <w:rPr>
          <w:rFonts w:ascii="Times New Roman" w:hAnsi="Times New Roman"/>
          <w:bCs/>
          <w:color w:val="000000"/>
        </w:rPr>
        <w:t>人，</w:t>
      </w:r>
      <w:r w:rsidRPr="00701684">
        <w:rPr>
          <w:rFonts w:ascii="Times New Roman" w:hAnsi="Times New Roman" w:hint="eastAsia"/>
          <w:bCs/>
          <w:color w:val="000000"/>
        </w:rPr>
        <w:t>截至</w:t>
      </w:r>
      <w:r w:rsidRPr="00701684">
        <w:rPr>
          <w:rFonts w:ascii="Times New Roman" w:hAnsi="Times New Roman"/>
          <w:bCs/>
          <w:color w:val="000000"/>
        </w:rPr>
        <w:t>2020</w:t>
      </w:r>
      <w:r w:rsidRPr="00701684">
        <w:rPr>
          <w:rFonts w:ascii="Times New Roman" w:hAnsi="Times New Roman"/>
          <w:bCs/>
          <w:color w:val="000000"/>
        </w:rPr>
        <w:t>年</w:t>
      </w:r>
      <w:r w:rsidRPr="00701684">
        <w:rPr>
          <w:rFonts w:ascii="Times New Roman" w:hAnsi="Times New Roman"/>
          <w:bCs/>
          <w:color w:val="000000"/>
        </w:rPr>
        <w:t>12</w:t>
      </w:r>
      <w:r w:rsidRPr="00701684">
        <w:rPr>
          <w:rFonts w:ascii="Times New Roman" w:hAnsi="Times New Roman"/>
          <w:bCs/>
          <w:color w:val="000000"/>
        </w:rPr>
        <w:t>月</w:t>
      </w:r>
      <w:r w:rsidRPr="00701684">
        <w:rPr>
          <w:rFonts w:ascii="Times New Roman" w:hAnsi="Times New Roman"/>
          <w:bCs/>
          <w:color w:val="000000"/>
        </w:rPr>
        <w:t>31</w:t>
      </w:r>
      <w:r w:rsidRPr="00701684">
        <w:rPr>
          <w:rFonts w:ascii="Times New Roman" w:hAnsi="Times New Roman"/>
          <w:bCs/>
          <w:color w:val="000000"/>
        </w:rPr>
        <w:t>日在岗技术人员人数为</w:t>
      </w:r>
      <w:r w:rsidRPr="00701684">
        <w:rPr>
          <w:rFonts w:ascii="Times New Roman" w:hAnsi="Times New Roman"/>
          <w:bCs/>
          <w:color w:val="000000"/>
        </w:rPr>
        <w:t>40</w:t>
      </w:r>
      <w:r w:rsidRPr="00701684">
        <w:rPr>
          <w:rFonts w:ascii="Times New Roman" w:hAnsi="Times New Roman"/>
          <w:bCs/>
          <w:color w:val="000000"/>
        </w:rPr>
        <w:t>人。</w:t>
      </w:r>
      <w:r w:rsidRPr="00701684">
        <w:rPr>
          <w:rFonts w:ascii="Times New Roman" w:hAnsi="Times New Roman" w:hint="eastAsia"/>
          <w:bCs/>
          <w:color w:val="000000"/>
        </w:rPr>
        <w:t>标的</w:t>
      </w:r>
      <w:r w:rsidRPr="00701684">
        <w:rPr>
          <w:rFonts w:ascii="Times New Roman" w:hAnsi="Times New Roman"/>
          <w:bCs/>
          <w:color w:val="000000"/>
        </w:rPr>
        <w:t>公司技术人员</w:t>
      </w:r>
      <w:r>
        <w:rPr>
          <w:rFonts w:ascii="Times New Roman" w:hAnsi="Times New Roman" w:hint="eastAsia"/>
          <w:bCs/>
          <w:color w:val="000000"/>
        </w:rPr>
        <w:t>2</w:t>
      </w:r>
      <w:r>
        <w:rPr>
          <w:rFonts w:ascii="Times New Roman" w:hAnsi="Times New Roman"/>
          <w:bCs/>
          <w:color w:val="000000"/>
        </w:rPr>
        <w:t>018</w:t>
      </w:r>
      <w:r>
        <w:rPr>
          <w:rFonts w:ascii="Times New Roman" w:hAnsi="Times New Roman" w:hint="eastAsia"/>
          <w:bCs/>
          <w:color w:val="000000"/>
        </w:rPr>
        <w:t>年度新增</w:t>
      </w:r>
      <w:r>
        <w:rPr>
          <w:rFonts w:ascii="Times New Roman" w:hAnsi="Times New Roman" w:hint="eastAsia"/>
          <w:bCs/>
          <w:color w:val="000000"/>
        </w:rPr>
        <w:t>1</w:t>
      </w:r>
      <w:r>
        <w:rPr>
          <w:rFonts w:ascii="Times New Roman" w:hAnsi="Times New Roman"/>
          <w:bCs/>
          <w:color w:val="000000"/>
        </w:rPr>
        <w:t>4</w:t>
      </w:r>
      <w:r>
        <w:rPr>
          <w:rFonts w:ascii="Times New Roman" w:hAnsi="Times New Roman" w:hint="eastAsia"/>
          <w:bCs/>
          <w:color w:val="000000"/>
        </w:rPr>
        <w:t>人，离职</w:t>
      </w:r>
      <w:r>
        <w:rPr>
          <w:rFonts w:ascii="Times New Roman" w:hAnsi="Times New Roman" w:hint="eastAsia"/>
          <w:bCs/>
          <w:color w:val="000000"/>
        </w:rPr>
        <w:t>1</w:t>
      </w:r>
      <w:r>
        <w:rPr>
          <w:rFonts w:ascii="Times New Roman" w:hAnsi="Times New Roman"/>
          <w:bCs/>
          <w:color w:val="000000"/>
        </w:rPr>
        <w:t>4</w:t>
      </w:r>
      <w:r>
        <w:rPr>
          <w:rFonts w:ascii="Times New Roman" w:hAnsi="Times New Roman" w:hint="eastAsia"/>
          <w:bCs/>
          <w:color w:val="000000"/>
        </w:rPr>
        <w:t>人；</w:t>
      </w:r>
      <w:r>
        <w:rPr>
          <w:rFonts w:ascii="Times New Roman" w:hAnsi="Times New Roman" w:hint="eastAsia"/>
          <w:bCs/>
          <w:color w:val="000000"/>
        </w:rPr>
        <w:t>2</w:t>
      </w:r>
      <w:r>
        <w:rPr>
          <w:rFonts w:ascii="Times New Roman" w:hAnsi="Times New Roman"/>
          <w:bCs/>
          <w:color w:val="000000"/>
        </w:rPr>
        <w:t>019</w:t>
      </w:r>
      <w:r>
        <w:rPr>
          <w:rFonts w:ascii="Times New Roman" w:hAnsi="Times New Roman" w:hint="eastAsia"/>
          <w:bCs/>
          <w:color w:val="000000"/>
        </w:rPr>
        <w:t>年度新增</w:t>
      </w:r>
      <w:r>
        <w:rPr>
          <w:rFonts w:ascii="Times New Roman" w:hAnsi="Times New Roman" w:hint="eastAsia"/>
          <w:bCs/>
          <w:color w:val="000000"/>
        </w:rPr>
        <w:t>3</w:t>
      </w:r>
      <w:r>
        <w:rPr>
          <w:rFonts w:ascii="Times New Roman" w:hAnsi="Times New Roman"/>
          <w:bCs/>
          <w:color w:val="000000"/>
        </w:rPr>
        <w:t>5</w:t>
      </w:r>
      <w:r>
        <w:rPr>
          <w:rFonts w:ascii="Times New Roman" w:hAnsi="Times New Roman" w:hint="eastAsia"/>
          <w:bCs/>
          <w:color w:val="000000"/>
        </w:rPr>
        <w:t>人，离职</w:t>
      </w:r>
      <w:r>
        <w:rPr>
          <w:rFonts w:ascii="Times New Roman" w:hAnsi="Times New Roman"/>
          <w:bCs/>
          <w:color w:val="000000"/>
        </w:rPr>
        <w:t>12</w:t>
      </w:r>
      <w:r>
        <w:rPr>
          <w:rFonts w:ascii="Times New Roman" w:hAnsi="Times New Roman" w:hint="eastAsia"/>
          <w:bCs/>
          <w:color w:val="000000"/>
        </w:rPr>
        <w:t>人；</w:t>
      </w:r>
      <w:r>
        <w:rPr>
          <w:rFonts w:ascii="Times New Roman" w:hAnsi="Times New Roman" w:hint="eastAsia"/>
          <w:bCs/>
          <w:color w:val="000000"/>
        </w:rPr>
        <w:t>2</w:t>
      </w:r>
      <w:r>
        <w:rPr>
          <w:rFonts w:ascii="Times New Roman" w:hAnsi="Times New Roman"/>
          <w:bCs/>
          <w:color w:val="000000"/>
        </w:rPr>
        <w:t>020</w:t>
      </w:r>
      <w:r>
        <w:rPr>
          <w:rFonts w:ascii="Times New Roman" w:hAnsi="Times New Roman" w:hint="eastAsia"/>
          <w:bCs/>
          <w:color w:val="000000"/>
        </w:rPr>
        <w:t>年度新增</w:t>
      </w:r>
      <w:r>
        <w:rPr>
          <w:rFonts w:ascii="Times New Roman" w:hAnsi="Times New Roman"/>
          <w:bCs/>
          <w:color w:val="000000"/>
        </w:rPr>
        <w:t>18</w:t>
      </w:r>
      <w:r>
        <w:rPr>
          <w:rFonts w:ascii="Times New Roman" w:hAnsi="Times New Roman" w:hint="eastAsia"/>
          <w:bCs/>
          <w:color w:val="000000"/>
        </w:rPr>
        <w:t>人，离职</w:t>
      </w:r>
      <w:r>
        <w:rPr>
          <w:rFonts w:ascii="Times New Roman" w:hAnsi="Times New Roman" w:hint="eastAsia"/>
          <w:bCs/>
          <w:color w:val="000000"/>
        </w:rPr>
        <w:t>2</w:t>
      </w:r>
      <w:r>
        <w:rPr>
          <w:rFonts w:ascii="Times New Roman" w:hAnsi="Times New Roman"/>
          <w:bCs/>
          <w:color w:val="000000"/>
        </w:rPr>
        <w:t>4</w:t>
      </w:r>
      <w:r w:rsidRPr="00701684">
        <w:rPr>
          <w:rFonts w:ascii="Times New Roman" w:hAnsi="Times New Roman"/>
          <w:bCs/>
          <w:color w:val="000000"/>
        </w:rPr>
        <w:t>人</w:t>
      </w:r>
      <w:r>
        <w:rPr>
          <w:rFonts w:ascii="Times New Roman" w:hAnsi="Times New Roman" w:hint="eastAsia"/>
          <w:bCs/>
          <w:color w:val="000000"/>
        </w:rPr>
        <w:t>（</w:t>
      </w:r>
      <w:r w:rsidRPr="00D6265D">
        <w:rPr>
          <w:rFonts w:ascii="Times New Roman" w:hAnsi="Times New Roman"/>
          <w:bCs/>
          <w:color w:val="000000"/>
        </w:rPr>
        <w:t>2018</w:t>
      </w:r>
      <w:r w:rsidRPr="00D6265D">
        <w:rPr>
          <w:rFonts w:ascii="Times New Roman" w:hAnsi="Times New Roman" w:hint="eastAsia"/>
          <w:bCs/>
          <w:color w:val="000000"/>
        </w:rPr>
        <w:t>年</w:t>
      </w:r>
      <w:r w:rsidRPr="00D6265D">
        <w:rPr>
          <w:rFonts w:ascii="Times New Roman" w:hAnsi="Times New Roman"/>
          <w:bCs/>
          <w:color w:val="000000"/>
        </w:rPr>
        <w:t>1</w:t>
      </w:r>
      <w:r w:rsidRPr="00D6265D">
        <w:rPr>
          <w:rFonts w:ascii="Times New Roman" w:hAnsi="Times New Roman" w:hint="eastAsia"/>
          <w:bCs/>
          <w:color w:val="000000"/>
        </w:rPr>
        <w:t>月</w:t>
      </w:r>
      <w:r w:rsidRPr="00D6265D">
        <w:rPr>
          <w:rFonts w:ascii="Times New Roman" w:hAnsi="Times New Roman"/>
          <w:bCs/>
          <w:color w:val="000000"/>
        </w:rPr>
        <w:t>1</w:t>
      </w:r>
      <w:r w:rsidRPr="00D6265D">
        <w:rPr>
          <w:rFonts w:ascii="Times New Roman" w:hAnsi="Times New Roman" w:hint="eastAsia"/>
          <w:bCs/>
          <w:color w:val="000000"/>
        </w:rPr>
        <w:t>日至</w:t>
      </w:r>
      <w:r w:rsidRPr="00D6265D">
        <w:rPr>
          <w:rFonts w:ascii="Times New Roman" w:hAnsi="Times New Roman"/>
          <w:bCs/>
          <w:color w:val="000000"/>
        </w:rPr>
        <w:t>2020</w:t>
      </w:r>
      <w:r w:rsidRPr="00D6265D">
        <w:rPr>
          <w:rFonts w:ascii="Times New Roman" w:hAnsi="Times New Roman" w:hint="eastAsia"/>
          <w:bCs/>
          <w:color w:val="000000"/>
        </w:rPr>
        <w:t>年</w:t>
      </w:r>
      <w:r w:rsidRPr="00D6265D">
        <w:rPr>
          <w:rFonts w:ascii="Times New Roman" w:hAnsi="Times New Roman"/>
          <w:bCs/>
          <w:color w:val="000000"/>
        </w:rPr>
        <w:t>12</w:t>
      </w:r>
      <w:r w:rsidRPr="00D6265D">
        <w:rPr>
          <w:rFonts w:ascii="Times New Roman" w:hAnsi="Times New Roman" w:hint="eastAsia"/>
          <w:bCs/>
          <w:color w:val="000000"/>
        </w:rPr>
        <w:t>月</w:t>
      </w:r>
      <w:r w:rsidRPr="00D6265D">
        <w:rPr>
          <w:rFonts w:ascii="Times New Roman" w:hAnsi="Times New Roman"/>
          <w:bCs/>
          <w:color w:val="000000"/>
        </w:rPr>
        <w:t>31</w:t>
      </w:r>
      <w:r w:rsidRPr="00D6265D">
        <w:rPr>
          <w:rFonts w:ascii="Times New Roman" w:hAnsi="Times New Roman" w:hint="eastAsia"/>
          <w:bCs/>
          <w:color w:val="000000"/>
        </w:rPr>
        <w:t>日期间的技术人员新增人数和离职人数的统计口径不包含试用期届满前离职的非正式员工</w:t>
      </w:r>
      <w:r>
        <w:rPr>
          <w:rFonts w:ascii="Times New Roman" w:hAnsi="Times New Roman" w:hint="eastAsia"/>
          <w:bCs/>
          <w:color w:val="000000"/>
        </w:rPr>
        <w:t>）</w:t>
      </w:r>
      <w:r w:rsidRPr="00701684">
        <w:rPr>
          <w:rFonts w:ascii="Times New Roman" w:hAnsi="Times New Roman"/>
          <w:bCs/>
          <w:color w:val="000000"/>
        </w:rPr>
        <w:t>。标的公司报告期内技术人员变动较大，主要原因为公司业务快速发展，订单量不断增加，标的公司不断补充技术人员，与此同时对技术人员综合素质要求不断提高，标的公司为提高管理效率和技术要求，对部分技术人员进行有序调整，其变动符合标的公司实际业务情况。</w:t>
      </w:r>
    </w:p>
    <w:p w14:paraId="7F332398" w14:textId="039AAC27" w:rsidR="000A0ACD" w:rsidRDefault="00722E5D">
      <w:pPr>
        <w:spacing w:beforeLines="50" w:before="156" w:line="360" w:lineRule="auto"/>
        <w:ind w:firstLineChars="200" w:firstLine="480"/>
        <w:jc w:val="both"/>
        <w:rPr>
          <w:rFonts w:ascii="Times New Roman" w:hAnsi="Times New Roman" w:cs="Times New Roman"/>
          <w:bCs/>
          <w:color w:val="000000"/>
          <w:szCs w:val="21"/>
        </w:rPr>
      </w:pPr>
      <w:r w:rsidRPr="00701684">
        <w:rPr>
          <w:rFonts w:ascii="Times New Roman" w:hAnsi="Times New Roman" w:hint="eastAsia"/>
          <w:bCs/>
          <w:color w:val="000000"/>
        </w:rPr>
        <w:t>标的公司目前核心技术人员为周业荣、程云南、张李强、刘成斌、帅智强。报告期内，除</w:t>
      </w:r>
      <w:r w:rsidR="00915B82">
        <w:rPr>
          <w:rFonts w:ascii="Times New Roman" w:hAnsi="Times New Roman" w:hint="eastAsia"/>
          <w:bCs/>
          <w:color w:val="000000"/>
        </w:rPr>
        <w:t>肖中海、</w:t>
      </w:r>
      <w:r w:rsidRPr="00701684">
        <w:rPr>
          <w:rFonts w:ascii="Times New Roman" w:hAnsi="Times New Roman" w:hint="eastAsia"/>
          <w:bCs/>
          <w:color w:val="000000"/>
        </w:rPr>
        <w:t>周建勇和朱可辉因个人原因离职外，报告期内标的公司其他核心技术人员未出现离职情形。标的公司其他技术骨干人员较为稳定，上述技术人员变动不会对公司持续经营能力产生重大影响。</w:t>
      </w:r>
    </w:p>
    <w:p w14:paraId="67E9859D"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二、防止交易完成后核心技术人员流失的措施及其充分性</w:t>
      </w:r>
    </w:p>
    <w:p w14:paraId="04B7BA92"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为防止核心技术人员的流失，标的公司已采取以下措施：</w:t>
      </w:r>
    </w:p>
    <w:p w14:paraId="177D210C" w14:textId="01774EDD"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1</w:t>
      </w:r>
      <w:r>
        <w:rPr>
          <w:rFonts w:ascii="Times New Roman" w:hAnsi="Times New Roman" w:cs="Times New Roman" w:hint="eastAsia"/>
          <w:bCs/>
          <w:color w:val="000000"/>
          <w:szCs w:val="21"/>
        </w:rPr>
        <w:t>、</w:t>
      </w:r>
      <w:r w:rsidR="00722E5D" w:rsidRPr="00722E5D">
        <w:rPr>
          <w:rFonts w:ascii="Times New Roman" w:hAnsi="Times New Roman" w:cs="Times New Roman" w:hint="eastAsia"/>
          <w:bCs/>
          <w:color w:val="000000"/>
          <w:szCs w:val="21"/>
        </w:rPr>
        <w:t>标的公司已与全部核心技术人员签订较长期限的劳动合同和《保密协议》，保证核心技术人员的稳定。</w:t>
      </w:r>
    </w:p>
    <w:p w14:paraId="36699111" w14:textId="3D32F092"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w:t>
      </w:r>
      <w:r w:rsidR="00722E5D" w:rsidRPr="00701684">
        <w:rPr>
          <w:rFonts w:ascii="Times New Roman" w:hAnsi="Times New Roman" w:hint="eastAsia"/>
          <w:bCs/>
          <w:color w:val="000000"/>
        </w:rPr>
        <w:t>标的公司为核心技术人员提供了具有市场竞争力的薪酬及相关福利待遇，并持续完善绩效考核体系，从而进一步增强公司对核心技术人员的吸引力，有效保障核心技术人员的积极性及稳定性。</w:t>
      </w:r>
    </w:p>
    <w:p w14:paraId="0AEF0C80" w14:textId="785203C6"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w:t>
      </w:r>
      <w:r w:rsidR="00722E5D" w:rsidRPr="00701684">
        <w:rPr>
          <w:rFonts w:ascii="Times New Roman" w:hAnsi="Times New Roman" w:hint="eastAsia"/>
          <w:bCs/>
          <w:color w:val="000000"/>
        </w:rPr>
        <w:t>标的公司制定了较为健全的研发管理制度，对标的公司研发工作的日常管理、研发项目申报、设计和开发做出了明确的规范，保障了研发工作的规范化、流程化、高效化。</w:t>
      </w:r>
    </w:p>
    <w:p w14:paraId="0FBF3D6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标的公司制定了完善的培训体系，由公司组织、部门组织、自发学习三个层次组成，充分整合企业内部资源与外部资源，根据市场变化及产业发展战略调整，完善管理层、核心技术人员的知识结构，在给予管理层、核心技术人员不断提升技术与业务能力的同时使之更好地满足标的公司战略发展的需要。</w:t>
      </w:r>
    </w:p>
    <w:p w14:paraId="36A27287"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如果本次交易顺利完成，标的公司将成为上市公司的控股子公司，标的公司所有核心技术人员的劳动合同签订主体保持不变，上市公司将继续执行以上协议及安排，并采取进一步措施保证核心技术人员的稳定性：</w:t>
      </w:r>
    </w:p>
    <w:p w14:paraId="1110790A"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1</w:t>
      </w:r>
      <w:r>
        <w:rPr>
          <w:rFonts w:ascii="Times New Roman" w:hAnsi="Times New Roman" w:cs="Times New Roman" w:hint="eastAsia"/>
          <w:bCs/>
          <w:color w:val="000000"/>
          <w:szCs w:val="21"/>
        </w:rPr>
        <w:t>）敦促标的公司继续执行相关协议或安排，最大限度地保证北洋天青核心技术人员的稳定性和经营策略的持续性，通过多元化的措施安排，从制度上保证核心人员的稳定性。</w:t>
      </w:r>
    </w:p>
    <w:p w14:paraId="40003FD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）本次交易完成后，上市公司将积极与相关人员沟通，争取与更多核心技术人员签订长期或永久无固定期限期的劳动合同，尽量延长与核心人员的劳动合同服务期限，保持核心人员的稳定性。</w:t>
      </w:r>
    </w:p>
    <w:p w14:paraId="649EC2D8"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对于标的公司的优秀技术人员，未来上市公司将为其提供更具市场竞争力的薪酬体系，并适时聘请标的公司重要技术人员成为上市公司核心业务负责人，赋予其充分的经营自主权以保障相关业务的进一步发展，保证本次交易完成后上市公司核心技术人员的稳定性。</w:t>
      </w:r>
    </w:p>
    <w:p w14:paraId="39A5D633" w14:textId="2B81F879" w:rsidR="000A0ACD" w:rsidRDefault="00722E5D">
      <w:pPr>
        <w:spacing w:beforeLines="50" w:before="156" w:line="360" w:lineRule="auto"/>
        <w:ind w:firstLineChars="200" w:firstLine="480"/>
        <w:jc w:val="both"/>
        <w:rPr>
          <w:rFonts w:ascii="Times New Roman" w:hAnsi="Times New Roman" w:cs="Times New Roman"/>
          <w:bCs/>
          <w:color w:val="000000"/>
          <w:szCs w:val="21"/>
        </w:rPr>
      </w:pPr>
      <w:r w:rsidRPr="00701684">
        <w:rPr>
          <w:rFonts w:ascii="Times New Roman" w:hAnsi="Times New Roman" w:hint="eastAsia"/>
          <w:bCs/>
          <w:color w:val="000000"/>
        </w:rPr>
        <w:t>综上，上市公司及标的公司已建立了防止核心技术人员流失的相应措施，以保持标的公司核心技术人员的稳定性和可持续性，能够充分防止本次交易完成后核心技术人员流失。</w:t>
      </w:r>
    </w:p>
    <w:p w14:paraId="2A17346D"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三、独立财务顾问及律师核查意见</w:t>
      </w:r>
    </w:p>
    <w:p w14:paraId="57430187"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经核查，独立财务顾问及律师认为：结合标的资产技术人员数量、研发费用占营业收入的比重，以及同行业可比公司的专利数量、技术储备、研发获奖情况等，认为标的资产属于家电行业的领先企业的依据充分。标的公司核心技术人员不存在在其他企事业单位任职或投资的情况，不存在违反与标的公司签订的竞业限制等相关协议的情形。上市公司及标的公司已建立了防止核心技术人员流失的相应措施，以保持标的公司核心技术人员的稳定性和可持续性，能够充分防止本次交易完成后核心技术人员流失。</w:t>
      </w:r>
    </w:p>
    <w:p w14:paraId="409E8045" w14:textId="77777777" w:rsidR="000A0ACD" w:rsidRDefault="000A0ACD">
      <w:pPr>
        <w:pStyle w:val="afffff"/>
        <w:sectPr w:rsidR="000A0ACD">
          <w:pgSz w:w="11906" w:h="16838"/>
          <w:pgMar w:top="1440" w:right="1800" w:bottom="1440" w:left="1800" w:header="851" w:footer="992" w:gutter="0"/>
          <w:cols w:space="425"/>
          <w:docGrid w:type="lines" w:linePitch="312"/>
        </w:sectPr>
      </w:pPr>
      <w:bookmarkStart w:id="42" w:name="_Toc69256851"/>
      <w:bookmarkStart w:id="43" w:name="_Toc69256871"/>
    </w:p>
    <w:p w14:paraId="1BABA3F2" w14:textId="77777777" w:rsidR="000A0ACD" w:rsidRDefault="00362A99">
      <w:pPr>
        <w:pStyle w:val="afffff"/>
      </w:pPr>
      <w:r>
        <w:rPr>
          <w:rFonts w:hint="eastAsia"/>
        </w:rPr>
        <w:t>第六题</w:t>
      </w:r>
      <w:bookmarkEnd w:id="42"/>
      <w:bookmarkEnd w:id="43"/>
    </w:p>
    <w:p w14:paraId="22BD3C54"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）黄晓峰、李红夫妇为标的资产实际控制人，黄晓峰担任标的资产执行董事兼法人代表，赵庆担任董事长。</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）杨平自</w:t>
      </w:r>
      <w:r>
        <w:rPr>
          <w:rFonts w:ascii="Times New Roman" w:eastAsia="黑体" w:hAnsi="Times New Roman" w:cs="Times New Roman" w:hint="eastAsia"/>
          <w:b/>
          <w:color w:val="000000"/>
          <w:szCs w:val="21"/>
        </w:rPr>
        <w:t>1994</w:t>
      </w:r>
      <w:r>
        <w:rPr>
          <w:rFonts w:ascii="Times New Roman" w:eastAsia="黑体" w:hAnsi="Times New Roman" w:cs="Times New Roman" w:hint="eastAsia"/>
          <w:b/>
          <w:color w:val="000000"/>
          <w:szCs w:val="21"/>
        </w:rPr>
        <w:t>年至今担任天津大明机电股份有限公司质检员，目前兼任标的资产董事。傅敦、徐炳雷、修军担任标的资产监事、采购部长或其他管理职务的同时，均存在于其他单位兼职的情形。请你公司：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）结合报告期内标的资产股东大会、董事会、监事会的人员构成及运作情况，补充披露标的资产是否具备健全有效的法人治理结构。</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报告期内核心管理团队成员的姓名、职务和在外兼职、投资情况及原因，兼职或投资行为是否违反相关法律法规及公司规章制度、是否影响其勤勉尽责履职，兼职或投资单位与标的资产有无关联关系或经营同类业务。</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）补充披露交易完成后强化标的资产内部治理的具体措施。请独立财务顾问和律师核查并发表明确意见。</w:t>
      </w:r>
    </w:p>
    <w:p w14:paraId="50C02BF2" w14:textId="77777777" w:rsidR="000A0ACD" w:rsidRDefault="00362A99">
      <w:pPr>
        <w:pStyle w:val="affffd"/>
        <w:spacing w:before="156"/>
        <w:ind w:firstLine="482"/>
        <w:rPr>
          <w:b/>
        </w:rPr>
      </w:pPr>
      <w:r>
        <w:rPr>
          <w:rFonts w:hint="eastAsia"/>
          <w:b/>
        </w:rPr>
        <w:t>【回复说明】</w:t>
      </w:r>
    </w:p>
    <w:p w14:paraId="7762BD0D" w14:textId="1D033084"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）结合报告期内标的资产股东大会、董事会、监事会的人员构成及运作情况，补充披露标的资产是否具备健全有效的法人治理结构</w:t>
      </w:r>
    </w:p>
    <w:p w14:paraId="21FB8945"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一、报告期内标的公司的股东大会、董事会、监事会的人员构成</w:t>
      </w:r>
    </w:p>
    <w:p w14:paraId="49CDE51F"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（一）报告期内标的公司的股东大会人员构成及其变化情况</w:t>
      </w:r>
    </w:p>
    <w:p w14:paraId="7ADBB3EB" w14:textId="77777777" w:rsidR="000A0ACD" w:rsidRDefault="00362A99">
      <w:pPr>
        <w:spacing w:beforeLines="50" w:before="156" w:line="360" w:lineRule="auto"/>
        <w:ind w:firstLineChars="200" w:firstLine="482"/>
        <w:jc w:val="both"/>
        <w:rPr>
          <w:rFonts w:ascii="Times New Roman" w:hAnsi="Times New Roman" w:cs="Times New Roman"/>
          <w:b/>
        </w:rPr>
      </w:pPr>
      <w:r>
        <w:rPr>
          <w:rFonts w:ascii="Times New Roman" w:hAnsi="Times New Roman" w:cs="Times New Roman" w:hint="eastAsia"/>
          <w:b/>
        </w:rPr>
        <w:t>1</w:t>
      </w:r>
      <w:r>
        <w:rPr>
          <w:rFonts w:ascii="Times New Roman" w:hAnsi="Times New Roman" w:cs="Times New Roman" w:hint="eastAsia"/>
          <w:b/>
        </w:rPr>
        <w:t>、</w:t>
      </w:r>
      <w:r>
        <w:rPr>
          <w:rFonts w:ascii="Times New Roman" w:hAnsi="Times New Roman" w:cs="Times New Roman" w:hint="eastAsia"/>
          <w:b/>
        </w:rPr>
        <w:t>2018</w:t>
      </w:r>
      <w:r>
        <w:rPr>
          <w:rFonts w:ascii="Times New Roman" w:hAnsi="Times New Roman" w:cs="Times New Roman" w:hint="eastAsia"/>
          <w:b/>
        </w:rPr>
        <w:t>年</w:t>
      </w:r>
      <w:r>
        <w:rPr>
          <w:rFonts w:ascii="Times New Roman" w:hAnsi="Times New Roman" w:cs="Times New Roman"/>
          <w:b/>
        </w:rPr>
        <w:t>1</w:t>
      </w:r>
      <w:r>
        <w:rPr>
          <w:rFonts w:ascii="Times New Roman" w:hAnsi="Times New Roman" w:cs="Times New Roman"/>
          <w:b/>
        </w:rPr>
        <w:t>月</w:t>
      </w:r>
      <w:r>
        <w:rPr>
          <w:rFonts w:ascii="Times New Roman" w:hAnsi="Times New Roman" w:cs="Times New Roman"/>
          <w:b/>
        </w:rPr>
        <w:t>1</w:t>
      </w:r>
      <w:r>
        <w:rPr>
          <w:rFonts w:ascii="Times New Roman" w:hAnsi="Times New Roman" w:cs="Times New Roman"/>
          <w:b/>
        </w:rPr>
        <w:t>日</w:t>
      </w:r>
      <w:r>
        <w:rPr>
          <w:rFonts w:ascii="Times New Roman" w:hAnsi="Times New Roman" w:cs="Times New Roman" w:hint="eastAsia"/>
          <w:b/>
        </w:rPr>
        <w:t>，标的公司的股权结构如下：</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74"/>
        <w:gridCol w:w="2079"/>
        <w:gridCol w:w="2933"/>
        <w:gridCol w:w="2236"/>
      </w:tblGrid>
      <w:tr w:rsidR="000A0ACD" w14:paraId="2B68B982" w14:textId="77777777">
        <w:trPr>
          <w:cantSplit/>
          <w:trHeight w:val="397"/>
          <w:tblHeader/>
          <w:jc w:val="center"/>
        </w:trPr>
        <w:tc>
          <w:tcPr>
            <w:tcW w:w="747" w:type="pct"/>
            <w:shd w:val="clear" w:color="auto" w:fill="FFFFFF"/>
            <w:vAlign w:val="center"/>
          </w:tcPr>
          <w:p w14:paraId="59924085"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序号</w:t>
            </w:r>
          </w:p>
        </w:tc>
        <w:tc>
          <w:tcPr>
            <w:tcW w:w="1220" w:type="pct"/>
            <w:shd w:val="clear" w:color="auto" w:fill="FFFFFF"/>
            <w:vAlign w:val="center"/>
          </w:tcPr>
          <w:p w14:paraId="5AC21BC9"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股东姓名</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名称</w:t>
            </w:r>
          </w:p>
        </w:tc>
        <w:tc>
          <w:tcPr>
            <w:tcW w:w="1721" w:type="pct"/>
            <w:shd w:val="clear" w:color="auto" w:fill="FFFFFF"/>
            <w:vAlign w:val="center"/>
          </w:tcPr>
          <w:p w14:paraId="63B0D651"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持股数（股）</w:t>
            </w:r>
          </w:p>
        </w:tc>
        <w:tc>
          <w:tcPr>
            <w:tcW w:w="1312" w:type="pct"/>
            <w:shd w:val="clear" w:color="auto" w:fill="FFFFFF"/>
            <w:vAlign w:val="center"/>
          </w:tcPr>
          <w:p w14:paraId="121ADBA3"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持股比例（</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p>
        </w:tc>
      </w:tr>
      <w:tr w:rsidR="0023728B" w14:paraId="55EED49C" w14:textId="77777777">
        <w:trPr>
          <w:cantSplit/>
          <w:trHeight w:val="397"/>
          <w:jc w:val="center"/>
        </w:trPr>
        <w:tc>
          <w:tcPr>
            <w:tcW w:w="747" w:type="pct"/>
            <w:shd w:val="clear" w:color="auto" w:fill="FFFFFF"/>
            <w:vAlign w:val="center"/>
          </w:tcPr>
          <w:p w14:paraId="6BA17A07"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220" w:type="pct"/>
            <w:shd w:val="clear" w:color="auto" w:fill="FFFFFF"/>
            <w:vAlign w:val="center"/>
          </w:tcPr>
          <w:p w14:paraId="2CD35B86" w14:textId="3BA4B4F3"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李红</w:t>
            </w:r>
          </w:p>
        </w:tc>
        <w:tc>
          <w:tcPr>
            <w:tcW w:w="1721" w:type="pct"/>
            <w:shd w:val="clear" w:color="auto" w:fill="FFFFFF"/>
            <w:vAlign w:val="center"/>
          </w:tcPr>
          <w:p w14:paraId="436AFC9F" w14:textId="02225CA8"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7,615,854</w:t>
            </w:r>
          </w:p>
        </w:tc>
        <w:tc>
          <w:tcPr>
            <w:tcW w:w="1312" w:type="pct"/>
            <w:shd w:val="clear" w:color="auto" w:fill="FFFFFF"/>
            <w:vAlign w:val="center"/>
          </w:tcPr>
          <w:p w14:paraId="7A6A2A89" w14:textId="45CC8B9E"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38.34</w:t>
            </w:r>
          </w:p>
        </w:tc>
      </w:tr>
      <w:tr w:rsidR="0023728B" w14:paraId="7757C0C1" w14:textId="77777777">
        <w:trPr>
          <w:cantSplit/>
          <w:trHeight w:val="397"/>
          <w:jc w:val="center"/>
        </w:trPr>
        <w:tc>
          <w:tcPr>
            <w:tcW w:w="747" w:type="pct"/>
            <w:shd w:val="clear" w:color="auto" w:fill="FFFFFF"/>
            <w:vAlign w:val="center"/>
          </w:tcPr>
          <w:p w14:paraId="465F54D7"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220" w:type="pct"/>
            <w:shd w:val="clear" w:color="auto" w:fill="FFFFFF"/>
            <w:vAlign w:val="center"/>
          </w:tcPr>
          <w:p w14:paraId="524692B9" w14:textId="67B72E2D"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赵庆</w:t>
            </w:r>
          </w:p>
        </w:tc>
        <w:tc>
          <w:tcPr>
            <w:tcW w:w="1721" w:type="pct"/>
            <w:shd w:val="clear" w:color="auto" w:fill="FFFFFF"/>
            <w:vAlign w:val="center"/>
          </w:tcPr>
          <w:p w14:paraId="78779C25" w14:textId="5AE3F292"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2,774,229</w:t>
            </w:r>
          </w:p>
        </w:tc>
        <w:tc>
          <w:tcPr>
            <w:tcW w:w="1312" w:type="pct"/>
            <w:shd w:val="clear" w:color="auto" w:fill="FFFFFF"/>
            <w:vAlign w:val="center"/>
          </w:tcPr>
          <w:p w14:paraId="1FAE2896" w14:textId="52E89EF6"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13.97</w:t>
            </w:r>
          </w:p>
        </w:tc>
      </w:tr>
      <w:tr w:rsidR="0023728B" w14:paraId="1829184C" w14:textId="77777777">
        <w:trPr>
          <w:cantSplit/>
          <w:trHeight w:val="397"/>
          <w:jc w:val="center"/>
        </w:trPr>
        <w:tc>
          <w:tcPr>
            <w:tcW w:w="747" w:type="pct"/>
            <w:shd w:val="clear" w:color="auto" w:fill="FFFFFF"/>
            <w:vAlign w:val="center"/>
          </w:tcPr>
          <w:p w14:paraId="7C8AAA24"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220" w:type="pct"/>
            <w:shd w:val="clear" w:color="auto" w:fill="FFFFFF"/>
            <w:vAlign w:val="center"/>
          </w:tcPr>
          <w:p w14:paraId="6EAE14FF" w14:textId="1636394E"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青岛艾特诺</w:t>
            </w:r>
          </w:p>
        </w:tc>
        <w:tc>
          <w:tcPr>
            <w:tcW w:w="1721" w:type="pct"/>
            <w:shd w:val="clear" w:color="auto" w:fill="FFFFFF"/>
            <w:vAlign w:val="center"/>
          </w:tcPr>
          <w:p w14:paraId="27686676" w14:textId="145E52D6"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1,987,942</w:t>
            </w:r>
          </w:p>
        </w:tc>
        <w:tc>
          <w:tcPr>
            <w:tcW w:w="1312" w:type="pct"/>
            <w:shd w:val="clear" w:color="auto" w:fill="FFFFFF"/>
            <w:vAlign w:val="center"/>
          </w:tcPr>
          <w:p w14:paraId="6B2F7F07" w14:textId="70908D99"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10.01</w:t>
            </w:r>
          </w:p>
        </w:tc>
      </w:tr>
      <w:tr w:rsidR="0023728B" w14:paraId="522621A2" w14:textId="77777777">
        <w:trPr>
          <w:cantSplit/>
          <w:trHeight w:val="397"/>
          <w:jc w:val="center"/>
        </w:trPr>
        <w:tc>
          <w:tcPr>
            <w:tcW w:w="747" w:type="pct"/>
            <w:shd w:val="clear" w:color="auto" w:fill="FFFFFF"/>
            <w:vAlign w:val="center"/>
          </w:tcPr>
          <w:p w14:paraId="7B95CCAF"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220" w:type="pct"/>
            <w:shd w:val="clear" w:color="auto" w:fill="FFFFFF"/>
            <w:vAlign w:val="center"/>
          </w:tcPr>
          <w:p w14:paraId="3CDA54CE" w14:textId="147A3E4C"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杨平</w:t>
            </w:r>
          </w:p>
        </w:tc>
        <w:tc>
          <w:tcPr>
            <w:tcW w:w="1721" w:type="pct"/>
            <w:shd w:val="clear" w:color="auto" w:fill="FFFFFF"/>
            <w:vAlign w:val="center"/>
          </w:tcPr>
          <w:p w14:paraId="1EF426CC" w14:textId="1DDE10F1"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1,834,289</w:t>
            </w:r>
          </w:p>
        </w:tc>
        <w:tc>
          <w:tcPr>
            <w:tcW w:w="1312" w:type="pct"/>
            <w:shd w:val="clear" w:color="auto" w:fill="FFFFFF"/>
            <w:vAlign w:val="center"/>
          </w:tcPr>
          <w:p w14:paraId="17813049" w14:textId="0FA41F19"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9.23</w:t>
            </w:r>
          </w:p>
        </w:tc>
      </w:tr>
      <w:tr w:rsidR="0023728B" w14:paraId="30514D21" w14:textId="77777777">
        <w:trPr>
          <w:cantSplit/>
          <w:trHeight w:val="397"/>
          <w:jc w:val="center"/>
        </w:trPr>
        <w:tc>
          <w:tcPr>
            <w:tcW w:w="747" w:type="pct"/>
            <w:shd w:val="clear" w:color="auto" w:fill="FFFFFF"/>
            <w:vAlign w:val="center"/>
          </w:tcPr>
          <w:p w14:paraId="1BE517C6"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220" w:type="pct"/>
            <w:shd w:val="clear" w:color="auto" w:fill="FFFFFF"/>
            <w:vAlign w:val="center"/>
          </w:tcPr>
          <w:p w14:paraId="3ECDCB31" w14:textId="75FD72A7"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当代文化</w:t>
            </w:r>
          </w:p>
        </w:tc>
        <w:tc>
          <w:tcPr>
            <w:tcW w:w="1721" w:type="pct"/>
            <w:shd w:val="clear" w:color="auto" w:fill="FFFFFF"/>
            <w:vAlign w:val="center"/>
          </w:tcPr>
          <w:p w14:paraId="77F8DC7B" w14:textId="6884555D"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1,714,286</w:t>
            </w:r>
          </w:p>
        </w:tc>
        <w:tc>
          <w:tcPr>
            <w:tcW w:w="1312" w:type="pct"/>
            <w:shd w:val="clear" w:color="auto" w:fill="FFFFFF"/>
            <w:vAlign w:val="center"/>
          </w:tcPr>
          <w:p w14:paraId="212F580A" w14:textId="208AB22E"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8.63</w:t>
            </w:r>
          </w:p>
        </w:tc>
      </w:tr>
      <w:tr w:rsidR="0023728B" w14:paraId="0291D532" w14:textId="77777777">
        <w:trPr>
          <w:cantSplit/>
          <w:trHeight w:val="397"/>
          <w:jc w:val="center"/>
        </w:trPr>
        <w:tc>
          <w:tcPr>
            <w:tcW w:w="747" w:type="pct"/>
            <w:shd w:val="clear" w:color="auto" w:fill="FFFFFF"/>
            <w:vAlign w:val="center"/>
          </w:tcPr>
          <w:p w14:paraId="3A08A821"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220" w:type="pct"/>
            <w:shd w:val="clear" w:color="auto" w:fill="FFFFFF"/>
            <w:vAlign w:val="center"/>
          </w:tcPr>
          <w:p w14:paraId="7926DC37" w14:textId="1CC0FE34"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肖中海</w:t>
            </w:r>
          </w:p>
        </w:tc>
        <w:tc>
          <w:tcPr>
            <w:tcW w:w="1721" w:type="pct"/>
            <w:shd w:val="clear" w:color="auto" w:fill="FFFFFF"/>
            <w:vAlign w:val="center"/>
          </w:tcPr>
          <w:p w14:paraId="62DB2F34" w14:textId="0F1CE701"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1,500,000</w:t>
            </w:r>
          </w:p>
        </w:tc>
        <w:tc>
          <w:tcPr>
            <w:tcW w:w="1312" w:type="pct"/>
            <w:shd w:val="clear" w:color="auto" w:fill="FFFFFF"/>
            <w:vAlign w:val="center"/>
          </w:tcPr>
          <w:p w14:paraId="0DAEB63C" w14:textId="6286F214"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7.55</w:t>
            </w:r>
          </w:p>
        </w:tc>
      </w:tr>
      <w:tr w:rsidR="0023728B" w14:paraId="1023E2EE" w14:textId="77777777">
        <w:trPr>
          <w:cantSplit/>
          <w:trHeight w:val="397"/>
          <w:jc w:val="center"/>
        </w:trPr>
        <w:tc>
          <w:tcPr>
            <w:tcW w:w="747" w:type="pct"/>
            <w:shd w:val="clear" w:color="auto" w:fill="FFFFFF"/>
            <w:vAlign w:val="center"/>
          </w:tcPr>
          <w:p w14:paraId="2FAC97E3"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220" w:type="pct"/>
            <w:shd w:val="clear" w:color="auto" w:fill="FFFFFF"/>
            <w:vAlign w:val="center"/>
          </w:tcPr>
          <w:p w14:paraId="0B4BA634" w14:textId="598EDBF7"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夏涛</w:t>
            </w:r>
          </w:p>
        </w:tc>
        <w:tc>
          <w:tcPr>
            <w:tcW w:w="1721" w:type="pct"/>
            <w:shd w:val="clear" w:color="auto" w:fill="FFFFFF"/>
            <w:vAlign w:val="center"/>
          </w:tcPr>
          <w:p w14:paraId="7033CEFC" w14:textId="112BEB9C"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683,761</w:t>
            </w:r>
          </w:p>
        </w:tc>
        <w:tc>
          <w:tcPr>
            <w:tcW w:w="1312" w:type="pct"/>
            <w:shd w:val="clear" w:color="auto" w:fill="FFFFFF"/>
            <w:vAlign w:val="center"/>
          </w:tcPr>
          <w:p w14:paraId="0E989F4C" w14:textId="117BEF52"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3.44</w:t>
            </w:r>
          </w:p>
        </w:tc>
      </w:tr>
      <w:tr w:rsidR="0023728B" w14:paraId="52D19A26" w14:textId="77777777">
        <w:trPr>
          <w:cantSplit/>
          <w:trHeight w:val="397"/>
          <w:jc w:val="center"/>
        </w:trPr>
        <w:tc>
          <w:tcPr>
            <w:tcW w:w="747" w:type="pct"/>
            <w:shd w:val="clear" w:color="auto" w:fill="FFFFFF"/>
            <w:vAlign w:val="center"/>
          </w:tcPr>
          <w:p w14:paraId="4BC58067"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220" w:type="pct"/>
            <w:shd w:val="clear" w:color="auto" w:fill="FFFFFF"/>
            <w:vAlign w:val="center"/>
          </w:tcPr>
          <w:p w14:paraId="72DBD53E" w14:textId="35F2F5ED"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王华东</w:t>
            </w:r>
          </w:p>
        </w:tc>
        <w:tc>
          <w:tcPr>
            <w:tcW w:w="1721" w:type="pct"/>
            <w:shd w:val="clear" w:color="auto" w:fill="FFFFFF"/>
            <w:vAlign w:val="center"/>
          </w:tcPr>
          <w:p w14:paraId="7690A5F4" w14:textId="2B7F598A"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683,761</w:t>
            </w:r>
          </w:p>
        </w:tc>
        <w:tc>
          <w:tcPr>
            <w:tcW w:w="1312" w:type="pct"/>
            <w:shd w:val="clear" w:color="auto" w:fill="FFFFFF"/>
            <w:vAlign w:val="center"/>
          </w:tcPr>
          <w:p w14:paraId="263B7A5A" w14:textId="7FE0335F"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3.44</w:t>
            </w:r>
          </w:p>
        </w:tc>
      </w:tr>
      <w:tr w:rsidR="0023728B" w14:paraId="0AA569CE" w14:textId="77777777">
        <w:trPr>
          <w:cantSplit/>
          <w:trHeight w:val="397"/>
          <w:jc w:val="center"/>
        </w:trPr>
        <w:tc>
          <w:tcPr>
            <w:tcW w:w="747" w:type="pct"/>
            <w:shd w:val="clear" w:color="auto" w:fill="FFFFFF"/>
            <w:vAlign w:val="center"/>
          </w:tcPr>
          <w:p w14:paraId="4E137A45"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1220" w:type="pct"/>
            <w:shd w:val="clear" w:color="auto" w:fill="FFFFFF"/>
            <w:vAlign w:val="center"/>
          </w:tcPr>
          <w:p w14:paraId="5C469A6E" w14:textId="7836DA23"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钱雨嫣</w:t>
            </w:r>
          </w:p>
        </w:tc>
        <w:tc>
          <w:tcPr>
            <w:tcW w:w="1721" w:type="pct"/>
            <w:shd w:val="clear" w:color="auto" w:fill="FFFFFF"/>
            <w:vAlign w:val="center"/>
          </w:tcPr>
          <w:p w14:paraId="1B9F6759" w14:textId="2F7A885C"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341,880</w:t>
            </w:r>
          </w:p>
        </w:tc>
        <w:tc>
          <w:tcPr>
            <w:tcW w:w="1312" w:type="pct"/>
            <w:shd w:val="clear" w:color="auto" w:fill="FFFFFF"/>
            <w:vAlign w:val="center"/>
          </w:tcPr>
          <w:p w14:paraId="4D4C7EB3" w14:textId="1E565238"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1.72</w:t>
            </w:r>
          </w:p>
        </w:tc>
      </w:tr>
      <w:tr w:rsidR="0023728B" w14:paraId="7170B4D9" w14:textId="77777777">
        <w:trPr>
          <w:cantSplit/>
          <w:trHeight w:val="397"/>
          <w:jc w:val="center"/>
        </w:trPr>
        <w:tc>
          <w:tcPr>
            <w:tcW w:w="747" w:type="pct"/>
            <w:shd w:val="clear" w:color="auto" w:fill="FFFFFF"/>
            <w:vAlign w:val="center"/>
          </w:tcPr>
          <w:p w14:paraId="06D8AFF9"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1220" w:type="pct"/>
            <w:shd w:val="clear" w:color="auto" w:fill="FFFFFF"/>
            <w:vAlign w:val="center"/>
          </w:tcPr>
          <w:p w14:paraId="41E39669" w14:textId="517E19B2"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修军</w:t>
            </w:r>
          </w:p>
        </w:tc>
        <w:tc>
          <w:tcPr>
            <w:tcW w:w="1721" w:type="pct"/>
            <w:shd w:val="clear" w:color="auto" w:fill="FFFFFF"/>
            <w:vAlign w:val="center"/>
          </w:tcPr>
          <w:p w14:paraId="530E0167" w14:textId="14155BAC"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178,571</w:t>
            </w:r>
          </w:p>
        </w:tc>
        <w:tc>
          <w:tcPr>
            <w:tcW w:w="1312" w:type="pct"/>
            <w:shd w:val="clear" w:color="auto" w:fill="FFFFFF"/>
            <w:vAlign w:val="center"/>
          </w:tcPr>
          <w:p w14:paraId="5B589C4A" w14:textId="1F00756B"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0.90</w:t>
            </w:r>
          </w:p>
        </w:tc>
      </w:tr>
      <w:tr w:rsidR="0023728B" w14:paraId="25131026" w14:textId="77777777">
        <w:trPr>
          <w:cantSplit/>
          <w:trHeight w:val="397"/>
          <w:jc w:val="center"/>
        </w:trPr>
        <w:tc>
          <w:tcPr>
            <w:tcW w:w="747" w:type="pct"/>
            <w:shd w:val="clear" w:color="auto" w:fill="FFFFFF"/>
            <w:vAlign w:val="center"/>
          </w:tcPr>
          <w:p w14:paraId="0BD6CD3D"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1220" w:type="pct"/>
            <w:shd w:val="clear" w:color="auto" w:fill="FFFFFF"/>
            <w:vAlign w:val="center"/>
          </w:tcPr>
          <w:p w14:paraId="4A8C5FEC" w14:textId="31858D20"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李威</w:t>
            </w:r>
          </w:p>
        </w:tc>
        <w:tc>
          <w:tcPr>
            <w:tcW w:w="1721" w:type="pct"/>
            <w:shd w:val="clear" w:color="auto" w:fill="FFFFFF"/>
            <w:vAlign w:val="center"/>
          </w:tcPr>
          <w:p w14:paraId="0648B482" w14:textId="3BA15C6C"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173,504</w:t>
            </w:r>
          </w:p>
        </w:tc>
        <w:tc>
          <w:tcPr>
            <w:tcW w:w="1312" w:type="pct"/>
            <w:shd w:val="clear" w:color="auto" w:fill="FFFFFF"/>
            <w:vAlign w:val="center"/>
          </w:tcPr>
          <w:p w14:paraId="2E41958D" w14:textId="59E2B355"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0.87</w:t>
            </w:r>
          </w:p>
        </w:tc>
      </w:tr>
      <w:tr w:rsidR="0023728B" w14:paraId="640521B1" w14:textId="77777777">
        <w:trPr>
          <w:cantSplit/>
          <w:trHeight w:val="397"/>
          <w:jc w:val="center"/>
        </w:trPr>
        <w:tc>
          <w:tcPr>
            <w:tcW w:w="747" w:type="pct"/>
            <w:shd w:val="clear" w:color="auto" w:fill="FFFFFF"/>
            <w:vAlign w:val="center"/>
          </w:tcPr>
          <w:p w14:paraId="675F580C"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1220" w:type="pct"/>
            <w:shd w:val="clear" w:color="auto" w:fill="FFFFFF"/>
            <w:vAlign w:val="center"/>
          </w:tcPr>
          <w:p w14:paraId="4FC1A0D2" w14:textId="405B90CE"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傅敦</w:t>
            </w:r>
          </w:p>
        </w:tc>
        <w:tc>
          <w:tcPr>
            <w:tcW w:w="1721" w:type="pct"/>
            <w:shd w:val="clear" w:color="auto" w:fill="FFFFFF"/>
            <w:vAlign w:val="center"/>
          </w:tcPr>
          <w:p w14:paraId="524377AC" w14:textId="095B9D36"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128,571</w:t>
            </w:r>
          </w:p>
        </w:tc>
        <w:tc>
          <w:tcPr>
            <w:tcW w:w="1312" w:type="pct"/>
            <w:shd w:val="clear" w:color="auto" w:fill="FFFFFF"/>
            <w:vAlign w:val="center"/>
          </w:tcPr>
          <w:p w14:paraId="0152E418" w14:textId="280D1D94"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0.65</w:t>
            </w:r>
          </w:p>
        </w:tc>
      </w:tr>
      <w:tr w:rsidR="0023728B" w14:paraId="6E54A471" w14:textId="77777777">
        <w:trPr>
          <w:cantSplit/>
          <w:trHeight w:val="397"/>
          <w:jc w:val="center"/>
        </w:trPr>
        <w:tc>
          <w:tcPr>
            <w:tcW w:w="747" w:type="pct"/>
            <w:shd w:val="clear" w:color="auto" w:fill="FFFFFF"/>
            <w:vAlign w:val="center"/>
          </w:tcPr>
          <w:p w14:paraId="33EA6D40"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1220" w:type="pct"/>
            <w:shd w:val="clear" w:color="auto" w:fill="FFFFFF"/>
            <w:vAlign w:val="center"/>
          </w:tcPr>
          <w:p w14:paraId="436E0F69" w14:textId="6DBEDA6D"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陈政言</w:t>
            </w:r>
          </w:p>
        </w:tc>
        <w:tc>
          <w:tcPr>
            <w:tcW w:w="1721" w:type="pct"/>
            <w:shd w:val="clear" w:color="auto" w:fill="FFFFFF"/>
            <w:vAlign w:val="center"/>
          </w:tcPr>
          <w:p w14:paraId="7051FCD8" w14:textId="0581E924"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128,205</w:t>
            </w:r>
          </w:p>
        </w:tc>
        <w:tc>
          <w:tcPr>
            <w:tcW w:w="1312" w:type="pct"/>
            <w:shd w:val="clear" w:color="auto" w:fill="FFFFFF"/>
            <w:vAlign w:val="center"/>
          </w:tcPr>
          <w:p w14:paraId="145DD22C" w14:textId="31A33545"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0.65</w:t>
            </w:r>
          </w:p>
        </w:tc>
      </w:tr>
      <w:tr w:rsidR="0023728B" w14:paraId="421DE0F1" w14:textId="77777777">
        <w:trPr>
          <w:cantSplit/>
          <w:trHeight w:val="397"/>
          <w:jc w:val="center"/>
        </w:trPr>
        <w:tc>
          <w:tcPr>
            <w:tcW w:w="747" w:type="pct"/>
            <w:shd w:val="clear" w:color="auto" w:fill="FFFFFF"/>
            <w:vAlign w:val="center"/>
          </w:tcPr>
          <w:p w14:paraId="403587AD"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14</w:t>
            </w:r>
          </w:p>
        </w:tc>
        <w:tc>
          <w:tcPr>
            <w:tcW w:w="1220" w:type="pct"/>
            <w:shd w:val="clear" w:color="auto" w:fill="FFFFFF"/>
            <w:vAlign w:val="center"/>
          </w:tcPr>
          <w:p w14:paraId="60A2BECE" w14:textId="64BCD191"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张利</w:t>
            </w:r>
          </w:p>
        </w:tc>
        <w:tc>
          <w:tcPr>
            <w:tcW w:w="1721" w:type="pct"/>
            <w:shd w:val="clear" w:color="auto" w:fill="FFFFFF"/>
            <w:vAlign w:val="center"/>
          </w:tcPr>
          <w:p w14:paraId="5E7EBF33" w14:textId="06F04E39"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68,376</w:t>
            </w:r>
          </w:p>
        </w:tc>
        <w:tc>
          <w:tcPr>
            <w:tcW w:w="1312" w:type="pct"/>
            <w:shd w:val="clear" w:color="auto" w:fill="FFFFFF"/>
            <w:vAlign w:val="center"/>
          </w:tcPr>
          <w:p w14:paraId="3F79E39D" w14:textId="274B405C"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0.34</w:t>
            </w:r>
          </w:p>
        </w:tc>
      </w:tr>
      <w:tr w:rsidR="0023728B" w14:paraId="501AEF0F" w14:textId="77777777">
        <w:trPr>
          <w:cantSplit/>
          <w:trHeight w:val="397"/>
          <w:jc w:val="center"/>
        </w:trPr>
        <w:tc>
          <w:tcPr>
            <w:tcW w:w="747" w:type="pct"/>
            <w:shd w:val="clear" w:color="auto" w:fill="FFFFFF"/>
            <w:vAlign w:val="center"/>
          </w:tcPr>
          <w:p w14:paraId="0F4B4E67"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1220" w:type="pct"/>
            <w:shd w:val="clear" w:color="auto" w:fill="FFFFFF"/>
            <w:vAlign w:val="center"/>
          </w:tcPr>
          <w:p w14:paraId="570B7885" w14:textId="0E5FC921"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徐炳雷</w:t>
            </w:r>
          </w:p>
        </w:tc>
        <w:tc>
          <w:tcPr>
            <w:tcW w:w="1721" w:type="pct"/>
            <w:shd w:val="clear" w:color="auto" w:fill="FFFFFF"/>
            <w:vAlign w:val="center"/>
          </w:tcPr>
          <w:p w14:paraId="6E1B5B82" w14:textId="08AD713D"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44,444</w:t>
            </w:r>
          </w:p>
        </w:tc>
        <w:tc>
          <w:tcPr>
            <w:tcW w:w="1312" w:type="pct"/>
            <w:shd w:val="clear" w:color="auto" w:fill="FFFFFF"/>
            <w:vAlign w:val="center"/>
          </w:tcPr>
          <w:p w14:paraId="2A927839" w14:textId="5D7EDD07"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0.22</w:t>
            </w:r>
          </w:p>
        </w:tc>
      </w:tr>
      <w:tr w:rsidR="0023728B" w14:paraId="230F8775" w14:textId="77777777">
        <w:trPr>
          <w:cantSplit/>
          <w:trHeight w:val="397"/>
          <w:jc w:val="center"/>
        </w:trPr>
        <w:tc>
          <w:tcPr>
            <w:tcW w:w="747" w:type="pct"/>
            <w:shd w:val="clear" w:color="auto" w:fill="FFFFFF"/>
            <w:vAlign w:val="center"/>
          </w:tcPr>
          <w:p w14:paraId="3451EFD0"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1220" w:type="pct"/>
            <w:shd w:val="clear" w:color="auto" w:fill="FFFFFF"/>
            <w:vAlign w:val="center"/>
          </w:tcPr>
          <w:p w14:paraId="4669BE7A" w14:textId="78DC0883"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英入才</w:t>
            </w:r>
          </w:p>
        </w:tc>
        <w:tc>
          <w:tcPr>
            <w:tcW w:w="1721" w:type="pct"/>
            <w:shd w:val="clear" w:color="auto" w:fill="FFFFFF"/>
            <w:vAlign w:val="center"/>
          </w:tcPr>
          <w:p w14:paraId="61BD25D6" w14:textId="1C11C872"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1,709</w:t>
            </w:r>
          </w:p>
        </w:tc>
        <w:tc>
          <w:tcPr>
            <w:tcW w:w="1312" w:type="pct"/>
            <w:shd w:val="clear" w:color="auto" w:fill="FFFFFF"/>
            <w:vAlign w:val="center"/>
          </w:tcPr>
          <w:p w14:paraId="30616294" w14:textId="43F28521"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0.01</w:t>
            </w:r>
          </w:p>
        </w:tc>
      </w:tr>
      <w:tr w:rsidR="0023728B" w14:paraId="4C732F27" w14:textId="77777777">
        <w:trPr>
          <w:cantSplit/>
          <w:trHeight w:val="397"/>
          <w:jc w:val="center"/>
        </w:trPr>
        <w:tc>
          <w:tcPr>
            <w:tcW w:w="747" w:type="pct"/>
            <w:shd w:val="clear" w:color="auto" w:fill="FFFFFF"/>
            <w:vAlign w:val="center"/>
          </w:tcPr>
          <w:p w14:paraId="25CC561E"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17</w:t>
            </w:r>
          </w:p>
        </w:tc>
        <w:tc>
          <w:tcPr>
            <w:tcW w:w="1220" w:type="pct"/>
            <w:shd w:val="clear" w:color="auto" w:fill="FFFFFF"/>
            <w:vAlign w:val="center"/>
          </w:tcPr>
          <w:p w14:paraId="2B1082BC" w14:textId="349D4B7C"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阳伦胜</w:t>
            </w:r>
          </w:p>
        </w:tc>
        <w:tc>
          <w:tcPr>
            <w:tcW w:w="1721" w:type="pct"/>
            <w:shd w:val="clear" w:color="auto" w:fill="FFFFFF"/>
            <w:vAlign w:val="center"/>
          </w:tcPr>
          <w:p w14:paraId="337424DD" w14:textId="00BC1DF5"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1,709</w:t>
            </w:r>
          </w:p>
        </w:tc>
        <w:tc>
          <w:tcPr>
            <w:tcW w:w="1312" w:type="pct"/>
            <w:shd w:val="clear" w:color="auto" w:fill="FFFFFF"/>
            <w:vAlign w:val="center"/>
          </w:tcPr>
          <w:p w14:paraId="09B6FF77" w14:textId="69328FA2"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0.01</w:t>
            </w:r>
          </w:p>
        </w:tc>
      </w:tr>
      <w:tr w:rsidR="0023728B" w14:paraId="52C0C728" w14:textId="77777777">
        <w:trPr>
          <w:cantSplit/>
          <w:trHeight w:val="397"/>
          <w:jc w:val="center"/>
        </w:trPr>
        <w:tc>
          <w:tcPr>
            <w:tcW w:w="747" w:type="pct"/>
            <w:shd w:val="clear" w:color="auto" w:fill="FFFFFF"/>
            <w:vAlign w:val="center"/>
          </w:tcPr>
          <w:p w14:paraId="79E4CA79" w14:textId="77777777" w:rsidR="0023728B" w:rsidRDefault="0023728B" w:rsidP="0023728B">
            <w:pPr>
              <w:jc w:val="center"/>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1220" w:type="pct"/>
            <w:shd w:val="clear" w:color="auto" w:fill="FFFFFF"/>
            <w:vAlign w:val="center"/>
          </w:tcPr>
          <w:p w14:paraId="593885F5" w14:textId="1897D43E" w:rsidR="0023728B" w:rsidRPr="0023728B" w:rsidRDefault="0023728B" w:rsidP="0023728B">
            <w:pPr>
              <w:jc w:val="center"/>
              <w:rPr>
                <w:rFonts w:ascii="Times New Roman" w:hAnsi="Times New Roman" w:cs="Times New Roman"/>
                <w:color w:val="000000"/>
                <w:sz w:val="21"/>
                <w:szCs w:val="21"/>
              </w:rPr>
            </w:pPr>
            <w:r w:rsidRPr="0023728B">
              <w:rPr>
                <w:rFonts w:ascii="Times New Roman" w:hAnsi="Times New Roman"/>
                <w:color w:val="000000"/>
                <w:sz w:val="21"/>
                <w:szCs w:val="21"/>
              </w:rPr>
              <w:t>辛兰</w:t>
            </w:r>
          </w:p>
        </w:tc>
        <w:tc>
          <w:tcPr>
            <w:tcW w:w="1721" w:type="pct"/>
            <w:shd w:val="clear" w:color="auto" w:fill="FFFFFF"/>
            <w:vAlign w:val="center"/>
          </w:tcPr>
          <w:p w14:paraId="6877E789" w14:textId="48E1E6E3"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1,709</w:t>
            </w:r>
          </w:p>
        </w:tc>
        <w:tc>
          <w:tcPr>
            <w:tcW w:w="1312" w:type="pct"/>
            <w:shd w:val="clear" w:color="auto" w:fill="FFFFFF"/>
            <w:vAlign w:val="center"/>
          </w:tcPr>
          <w:p w14:paraId="5AFA634F" w14:textId="0A52DD1B" w:rsidR="0023728B" w:rsidRPr="0023728B" w:rsidRDefault="0023728B" w:rsidP="0023728B">
            <w:pPr>
              <w:jc w:val="right"/>
              <w:rPr>
                <w:rFonts w:ascii="Times New Roman" w:hAnsi="Times New Roman" w:cs="Times New Roman"/>
                <w:color w:val="000000"/>
                <w:sz w:val="21"/>
                <w:szCs w:val="21"/>
              </w:rPr>
            </w:pPr>
            <w:r w:rsidRPr="0023728B">
              <w:rPr>
                <w:rFonts w:ascii="Times New Roman" w:hAnsi="Times New Roman"/>
                <w:color w:val="000000"/>
                <w:sz w:val="21"/>
                <w:szCs w:val="21"/>
              </w:rPr>
              <w:t>0.01</w:t>
            </w:r>
          </w:p>
        </w:tc>
      </w:tr>
      <w:tr w:rsidR="000A0ACD" w14:paraId="7546D41A" w14:textId="77777777">
        <w:trPr>
          <w:cantSplit/>
          <w:trHeight w:val="397"/>
          <w:jc w:val="center"/>
        </w:trPr>
        <w:tc>
          <w:tcPr>
            <w:tcW w:w="1967" w:type="pct"/>
            <w:gridSpan w:val="2"/>
            <w:shd w:val="clear" w:color="auto" w:fill="FFFFFF"/>
            <w:vAlign w:val="center"/>
          </w:tcPr>
          <w:p w14:paraId="418FF457"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721" w:type="pct"/>
            <w:shd w:val="clear" w:color="auto" w:fill="FFFFFF"/>
            <w:vAlign w:val="center"/>
          </w:tcPr>
          <w:p w14:paraId="4A9D7264"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19,862,800</w:t>
            </w:r>
          </w:p>
        </w:tc>
        <w:tc>
          <w:tcPr>
            <w:tcW w:w="1312" w:type="pct"/>
            <w:shd w:val="clear" w:color="auto" w:fill="FFFFFF"/>
            <w:vAlign w:val="center"/>
          </w:tcPr>
          <w:p w14:paraId="153A366E"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r>
    </w:tbl>
    <w:p w14:paraId="3943E7DA" w14:textId="77777777" w:rsidR="000A0ACD" w:rsidRDefault="00362A99">
      <w:pPr>
        <w:spacing w:beforeLines="50" w:before="156" w:line="360" w:lineRule="auto"/>
        <w:ind w:firstLineChars="200" w:firstLine="482"/>
        <w:jc w:val="both"/>
        <w:rPr>
          <w:rFonts w:ascii="Times New Roman" w:hAnsi="Times New Roman" w:cs="Times New Roman"/>
          <w:b/>
        </w:rPr>
      </w:pPr>
      <w:r>
        <w:rPr>
          <w:rFonts w:ascii="Times New Roman" w:hAnsi="Times New Roman" w:cs="Times New Roman" w:hint="eastAsia"/>
          <w:b/>
        </w:rPr>
        <w:t>2</w:t>
      </w:r>
      <w:r>
        <w:rPr>
          <w:rFonts w:ascii="Times New Roman" w:hAnsi="Times New Roman" w:cs="Times New Roman" w:hint="eastAsia"/>
          <w:b/>
        </w:rPr>
        <w:t>、</w:t>
      </w:r>
      <w:r>
        <w:rPr>
          <w:rFonts w:ascii="Times New Roman" w:hAnsi="Times New Roman" w:cs="Times New Roman" w:hint="eastAsia"/>
          <w:b/>
        </w:rPr>
        <w:t>2018</w:t>
      </w:r>
      <w:r>
        <w:rPr>
          <w:rFonts w:ascii="Times New Roman" w:hAnsi="Times New Roman" w:cs="Times New Roman" w:hint="eastAsia"/>
          <w:b/>
        </w:rPr>
        <w:t>年</w:t>
      </w:r>
      <w:r>
        <w:rPr>
          <w:rFonts w:ascii="Times New Roman" w:hAnsi="Times New Roman" w:cs="Times New Roman"/>
          <w:b/>
        </w:rPr>
        <w:t>1</w:t>
      </w:r>
      <w:r>
        <w:rPr>
          <w:rFonts w:ascii="Times New Roman" w:hAnsi="Times New Roman" w:cs="Times New Roman"/>
          <w:b/>
        </w:rPr>
        <w:t>月</w:t>
      </w:r>
      <w:r>
        <w:rPr>
          <w:rFonts w:ascii="Times New Roman" w:hAnsi="Times New Roman" w:cs="Times New Roman"/>
          <w:b/>
        </w:rPr>
        <w:t>1</w:t>
      </w:r>
      <w:r>
        <w:rPr>
          <w:rFonts w:ascii="Times New Roman" w:hAnsi="Times New Roman" w:cs="Times New Roman"/>
          <w:b/>
        </w:rPr>
        <w:t>日</w:t>
      </w:r>
      <w:r>
        <w:rPr>
          <w:rFonts w:ascii="Times New Roman" w:hAnsi="Times New Roman" w:cs="Times New Roman" w:hint="eastAsia"/>
          <w:b/>
        </w:rPr>
        <w:t>至标的公司终止挂牌期间的股东大会人员变化</w:t>
      </w:r>
    </w:p>
    <w:p w14:paraId="7D225A27"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2018</w:t>
      </w:r>
      <w:r>
        <w:rPr>
          <w:rFonts w:ascii="Times New Roman" w:hAnsi="Times New Roman" w:cs="Times New Roman" w:hint="eastAsia"/>
          <w:bCs/>
          <w:color w:val="000000"/>
          <w:szCs w:val="21"/>
        </w:rPr>
        <w:t>年</w:t>
      </w:r>
      <w:r>
        <w:rPr>
          <w:rFonts w:ascii="Times New Roman" w:hAnsi="Times New Roman" w:cs="Times New Roman"/>
          <w:bCs/>
          <w:color w:val="000000"/>
          <w:szCs w:val="21"/>
        </w:rPr>
        <w:t>1</w:t>
      </w:r>
      <w:r>
        <w:rPr>
          <w:rFonts w:ascii="Times New Roman" w:hAnsi="Times New Roman" w:cs="Times New Roman"/>
          <w:bCs/>
          <w:color w:val="000000"/>
          <w:szCs w:val="21"/>
        </w:rPr>
        <w:t>月</w:t>
      </w:r>
      <w:r>
        <w:rPr>
          <w:rFonts w:ascii="Times New Roman" w:hAnsi="Times New Roman" w:cs="Times New Roman"/>
          <w:bCs/>
          <w:color w:val="000000"/>
          <w:szCs w:val="21"/>
        </w:rPr>
        <w:t>1</w:t>
      </w:r>
      <w:r>
        <w:rPr>
          <w:rFonts w:ascii="Times New Roman" w:hAnsi="Times New Roman" w:cs="Times New Roman"/>
          <w:bCs/>
          <w:color w:val="000000"/>
          <w:szCs w:val="21"/>
        </w:rPr>
        <w:t>日</w:t>
      </w:r>
      <w:r>
        <w:rPr>
          <w:rFonts w:ascii="Times New Roman" w:hAnsi="Times New Roman" w:cs="Times New Roman" w:hint="eastAsia"/>
          <w:bCs/>
          <w:color w:val="000000"/>
          <w:szCs w:val="21"/>
        </w:rPr>
        <w:t>至标的公司终止挂牌期间，北洋天青股东的股份交易情况具体如下：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24"/>
        <w:gridCol w:w="1701"/>
        <w:gridCol w:w="1616"/>
        <w:gridCol w:w="2132"/>
        <w:gridCol w:w="1549"/>
      </w:tblGrid>
      <w:tr w:rsidR="000A0ACD" w14:paraId="46079E8B" w14:textId="77777777">
        <w:trPr>
          <w:cantSplit/>
          <w:trHeight w:val="397"/>
          <w:tblHeader/>
          <w:jc w:val="center"/>
        </w:trPr>
        <w:tc>
          <w:tcPr>
            <w:tcW w:w="894" w:type="pct"/>
            <w:shd w:val="clear" w:color="auto" w:fill="auto"/>
            <w:vAlign w:val="center"/>
          </w:tcPr>
          <w:p w14:paraId="29E980B5"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转让方</w:t>
            </w:r>
          </w:p>
        </w:tc>
        <w:tc>
          <w:tcPr>
            <w:tcW w:w="998" w:type="pct"/>
            <w:shd w:val="clear" w:color="auto" w:fill="auto"/>
            <w:vAlign w:val="center"/>
          </w:tcPr>
          <w:p w14:paraId="7DFB6103"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受让方</w:t>
            </w:r>
          </w:p>
        </w:tc>
        <w:tc>
          <w:tcPr>
            <w:tcW w:w="948" w:type="pct"/>
            <w:shd w:val="clear" w:color="auto" w:fill="auto"/>
            <w:vAlign w:val="center"/>
          </w:tcPr>
          <w:p w14:paraId="2FC5B850"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股份数（股）</w:t>
            </w:r>
          </w:p>
        </w:tc>
        <w:tc>
          <w:tcPr>
            <w:tcW w:w="1251" w:type="pct"/>
            <w:shd w:val="clear" w:color="auto" w:fill="auto"/>
            <w:vAlign w:val="center"/>
          </w:tcPr>
          <w:p w14:paraId="4F3C913B"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转让价格（元</w:t>
            </w:r>
            <w:r>
              <w:rPr>
                <w:rFonts w:ascii="Times New Roman" w:hAnsi="Times New Roman" w:cs="Times New Roman" w:hint="eastAsia"/>
                <w:b/>
                <w:bCs/>
                <w:color w:val="000000"/>
                <w:sz w:val="21"/>
                <w:szCs w:val="21"/>
                <w:lang w:bidi="ar"/>
              </w:rPr>
              <w:t>/</w:t>
            </w:r>
            <w:r>
              <w:rPr>
                <w:rFonts w:ascii="Times New Roman" w:hAnsi="Times New Roman" w:cs="Times New Roman" w:hint="eastAsia"/>
                <w:b/>
                <w:bCs/>
                <w:color w:val="000000"/>
                <w:sz w:val="21"/>
                <w:szCs w:val="21"/>
                <w:lang w:bidi="ar"/>
              </w:rPr>
              <w:t>股）</w:t>
            </w:r>
          </w:p>
        </w:tc>
        <w:tc>
          <w:tcPr>
            <w:tcW w:w="909" w:type="pct"/>
            <w:shd w:val="clear" w:color="auto" w:fill="auto"/>
            <w:vAlign w:val="center"/>
          </w:tcPr>
          <w:p w14:paraId="619C58CD" w14:textId="77777777" w:rsidR="000A0ACD" w:rsidRDefault="00362A99">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转让时间</w:t>
            </w:r>
          </w:p>
        </w:tc>
      </w:tr>
      <w:tr w:rsidR="000A0ACD" w14:paraId="6AF0078A" w14:textId="77777777">
        <w:trPr>
          <w:cantSplit/>
          <w:trHeight w:val="397"/>
          <w:jc w:val="center"/>
        </w:trPr>
        <w:tc>
          <w:tcPr>
            <w:tcW w:w="894" w:type="pct"/>
            <w:vMerge w:val="restart"/>
            <w:shd w:val="clear" w:color="auto" w:fill="auto"/>
            <w:vAlign w:val="center"/>
          </w:tcPr>
          <w:p w14:paraId="2D5A0DD1"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当代文化</w:t>
            </w:r>
          </w:p>
        </w:tc>
        <w:tc>
          <w:tcPr>
            <w:tcW w:w="998" w:type="pct"/>
            <w:shd w:val="clear" w:color="auto" w:fill="auto"/>
            <w:vAlign w:val="center"/>
          </w:tcPr>
          <w:p w14:paraId="72D0E42A"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钱祥丰</w:t>
            </w:r>
          </w:p>
        </w:tc>
        <w:tc>
          <w:tcPr>
            <w:tcW w:w="948" w:type="pct"/>
            <w:shd w:val="clear" w:color="auto" w:fill="auto"/>
            <w:vAlign w:val="center"/>
          </w:tcPr>
          <w:p w14:paraId="52CE05E9"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1,000</w:t>
            </w:r>
          </w:p>
        </w:tc>
        <w:tc>
          <w:tcPr>
            <w:tcW w:w="1251" w:type="pct"/>
            <w:shd w:val="clear" w:color="auto" w:fill="auto"/>
            <w:vAlign w:val="center"/>
          </w:tcPr>
          <w:p w14:paraId="44C58FCA"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6A2A118C"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2018.01.24</w:t>
            </w:r>
          </w:p>
        </w:tc>
      </w:tr>
      <w:tr w:rsidR="000A0ACD" w14:paraId="24F62EC7" w14:textId="77777777">
        <w:trPr>
          <w:cantSplit/>
          <w:trHeight w:val="397"/>
          <w:jc w:val="center"/>
        </w:trPr>
        <w:tc>
          <w:tcPr>
            <w:tcW w:w="894" w:type="pct"/>
            <w:vMerge/>
            <w:shd w:val="clear" w:color="auto" w:fill="auto"/>
            <w:vAlign w:val="center"/>
          </w:tcPr>
          <w:p w14:paraId="155E379D" w14:textId="77777777" w:rsidR="000A0ACD" w:rsidRDefault="000A0ACD">
            <w:pPr>
              <w:adjustRightInd w:val="0"/>
              <w:snapToGrid w:val="0"/>
              <w:jc w:val="center"/>
              <w:rPr>
                <w:rFonts w:ascii="Times New Roman" w:hAnsi="Times New Roman" w:cs="Times New Roman"/>
                <w:color w:val="000000"/>
                <w:sz w:val="21"/>
                <w:szCs w:val="21"/>
                <w:lang w:bidi="ar"/>
              </w:rPr>
            </w:pPr>
          </w:p>
        </w:tc>
        <w:tc>
          <w:tcPr>
            <w:tcW w:w="998" w:type="pct"/>
            <w:vMerge w:val="restart"/>
            <w:shd w:val="clear" w:color="auto" w:fill="auto"/>
            <w:vAlign w:val="center"/>
          </w:tcPr>
          <w:p w14:paraId="5A884CE3"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王晓晖</w:t>
            </w:r>
          </w:p>
        </w:tc>
        <w:tc>
          <w:tcPr>
            <w:tcW w:w="948" w:type="pct"/>
            <w:shd w:val="clear" w:color="auto" w:fill="auto"/>
            <w:vAlign w:val="center"/>
          </w:tcPr>
          <w:p w14:paraId="39FA8BEA"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900,000</w:t>
            </w:r>
          </w:p>
        </w:tc>
        <w:tc>
          <w:tcPr>
            <w:tcW w:w="1251" w:type="pct"/>
            <w:shd w:val="clear" w:color="auto" w:fill="auto"/>
            <w:vAlign w:val="center"/>
          </w:tcPr>
          <w:p w14:paraId="5BD6559D"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489F5E6C"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2018.01.24</w:t>
            </w:r>
          </w:p>
        </w:tc>
      </w:tr>
      <w:tr w:rsidR="000A0ACD" w14:paraId="7AA910A1" w14:textId="77777777">
        <w:trPr>
          <w:cantSplit/>
          <w:trHeight w:val="397"/>
          <w:jc w:val="center"/>
        </w:trPr>
        <w:tc>
          <w:tcPr>
            <w:tcW w:w="894" w:type="pct"/>
            <w:vMerge/>
            <w:shd w:val="clear" w:color="auto" w:fill="auto"/>
            <w:vAlign w:val="center"/>
          </w:tcPr>
          <w:p w14:paraId="136D3E18" w14:textId="77777777" w:rsidR="000A0ACD" w:rsidRDefault="000A0ACD">
            <w:pPr>
              <w:adjustRightInd w:val="0"/>
              <w:snapToGrid w:val="0"/>
              <w:jc w:val="center"/>
              <w:rPr>
                <w:rFonts w:ascii="Times New Roman" w:hAnsi="Times New Roman" w:cs="Times New Roman"/>
                <w:color w:val="000000"/>
                <w:sz w:val="21"/>
                <w:szCs w:val="21"/>
                <w:lang w:bidi="ar"/>
              </w:rPr>
            </w:pPr>
          </w:p>
        </w:tc>
        <w:tc>
          <w:tcPr>
            <w:tcW w:w="998" w:type="pct"/>
            <w:vMerge/>
            <w:shd w:val="clear" w:color="auto" w:fill="auto"/>
            <w:vAlign w:val="center"/>
          </w:tcPr>
          <w:p w14:paraId="60F3E23A" w14:textId="77777777" w:rsidR="000A0ACD" w:rsidRDefault="000A0ACD">
            <w:pPr>
              <w:adjustRightInd w:val="0"/>
              <w:snapToGrid w:val="0"/>
              <w:jc w:val="center"/>
              <w:rPr>
                <w:rFonts w:ascii="Times New Roman" w:hAnsi="Times New Roman" w:cs="Times New Roman"/>
                <w:color w:val="000000"/>
                <w:sz w:val="21"/>
                <w:szCs w:val="21"/>
                <w:lang w:bidi="ar"/>
              </w:rPr>
            </w:pPr>
          </w:p>
        </w:tc>
        <w:tc>
          <w:tcPr>
            <w:tcW w:w="948" w:type="pct"/>
            <w:shd w:val="clear" w:color="auto" w:fill="auto"/>
            <w:vAlign w:val="center"/>
          </w:tcPr>
          <w:p w14:paraId="073ABE2A"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810,000</w:t>
            </w:r>
          </w:p>
        </w:tc>
        <w:tc>
          <w:tcPr>
            <w:tcW w:w="1251" w:type="pct"/>
            <w:shd w:val="clear" w:color="auto" w:fill="auto"/>
            <w:vAlign w:val="center"/>
          </w:tcPr>
          <w:p w14:paraId="739E04BB"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102871F9"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2018.01.26</w:t>
            </w:r>
          </w:p>
        </w:tc>
      </w:tr>
      <w:tr w:rsidR="000A0ACD" w14:paraId="65346D93" w14:textId="77777777">
        <w:trPr>
          <w:cantSplit/>
          <w:trHeight w:val="397"/>
          <w:jc w:val="center"/>
        </w:trPr>
        <w:tc>
          <w:tcPr>
            <w:tcW w:w="894" w:type="pct"/>
            <w:vMerge/>
            <w:shd w:val="clear" w:color="auto" w:fill="auto"/>
            <w:vAlign w:val="center"/>
          </w:tcPr>
          <w:p w14:paraId="42EFF303" w14:textId="77777777" w:rsidR="000A0ACD" w:rsidRDefault="000A0ACD">
            <w:pPr>
              <w:adjustRightInd w:val="0"/>
              <w:snapToGrid w:val="0"/>
              <w:jc w:val="center"/>
              <w:rPr>
                <w:rFonts w:ascii="Times New Roman" w:hAnsi="Times New Roman" w:cs="Times New Roman"/>
                <w:color w:val="000000"/>
                <w:sz w:val="21"/>
                <w:szCs w:val="21"/>
                <w:lang w:bidi="ar"/>
              </w:rPr>
            </w:pPr>
          </w:p>
        </w:tc>
        <w:tc>
          <w:tcPr>
            <w:tcW w:w="998" w:type="pct"/>
            <w:vMerge/>
            <w:shd w:val="clear" w:color="auto" w:fill="auto"/>
            <w:vAlign w:val="center"/>
          </w:tcPr>
          <w:p w14:paraId="0A4AA41E" w14:textId="77777777" w:rsidR="000A0ACD" w:rsidRDefault="000A0ACD">
            <w:pPr>
              <w:adjustRightInd w:val="0"/>
              <w:snapToGrid w:val="0"/>
              <w:jc w:val="center"/>
              <w:rPr>
                <w:rFonts w:ascii="Times New Roman" w:hAnsi="Times New Roman" w:cs="Times New Roman"/>
                <w:color w:val="000000"/>
                <w:sz w:val="21"/>
                <w:szCs w:val="21"/>
                <w:lang w:bidi="ar"/>
              </w:rPr>
            </w:pPr>
          </w:p>
        </w:tc>
        <w:tc>
          <w:tcPr>
            <w:tcW w:w="948" w:type="pct"/>
            <w:shd w:val="clear" w:color="auto" w:fill="auto"/>
            <w:vAlign w:val="center"/>
          </w:tcPr>
          <w:p w14:paraId="6C86C732"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3,000</w:t>
            </w:r>
          </w:p>
        </w:tc>
        <w:tc>
          <w:tcPr>
            <w:tcW w:w="1251" w:type="pct"/>
            <w:shd w:val="clear" w:color="auto" w:fill="auto"/>
            <w:vAlign w:val="center"/>
          </w:tcPr>
          <w:p w14:paraId="0994C121"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2AC1BB1F"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2018.01.29</w:t>
            </w:r>
          </w:p>
        </w:tc>
      </w:tr>
      <w:tr w:rsidR="000A0ACD" w14:paraId="3557A7B4" w14:textId="77777777">
        <w:trPr>
          <w:cantSplit/>
          <w:trHeight w:val="397"/>
          <w:jc w:val="center"/>
        </w:trPr>
        <w:tc>
          <w:tcPr>
            <w:tcW w:w="894" w:type="pct"/>
            <w:vMerge/>
            <w:shd w:val="clear" w:color="auto" w:fill="auto"/>
            <w:vAlign w:val="center"/>
          </w:tcPr>
          <w:p w14:paraId="275C8E06" w14:textId="77777777" w:rsidR="000A0ACD" w:rsidRDefault="000A0ACD">
            <w:pPr>
              <w:adjustRightInd w:val="0"/>
              <w:snapToGrid w:val="0"/>
              <w:jc w:val="center"/>
              <w:rPr>
                <w:rFonts w:ascii="Times New Roman" w:hAnsi="Times New Roman" w:cs="Times New Roman"/>
                <w:color w:val="000000"/>
                <w:sz w:val="21"/>
                <w:szCs w:val="21"/>
                <w:lang w:bidi="ar"/>
              </w:rPr>
            </w:pPr>
          </w:p>
        </w:tc>
        <w:tc>
          <w:tcPr>
            <w:tcW w:w="998" w:type="pct"/>
            <w:vMerge/>
            <w:shd w:val="clear" w:color="auto" w:fill="auto"/>
            <w:vAlign w:val="center"/>
          </w:tcPr>
          <w:p w14:paraId="24C14C0E" w14:textId="77777777" w:rsidR="000A0ACD" w:rsidRDefault="000A0ACD">
            <w:pPr>
              <w:adjustRightInd w:val="0"/>
              <w:snapToGrid w:val="0"/>
              <w:jc w:val="center"/>
              <w:rPr>
                <w:rFonts w:ascii="Times New Roman" w:hAnsi="Times New Roman" w:cs="Times New Roman"/>
                <w:color w:val="000000"/>
                <w:sz w:val="21"/>
                <w:szCs w:val="21"/>
                <w:lang w:bidi="ar"/>
              </w:rPr>
            </w:pPr>
          </w:p>
        </w:tc>
        <w:tc>
          <w:tcPr>
            <w:tcW w:w="948" w:type="pct"/>
            <w:shd w:val="clear" w:color="auto" w:fill="auto"/>
            <w:vAlign w:val="center"/>
          </w:tcPr>
          <w:p w14:paraId="268F80B1"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286</w:t>
            </w:r>
          </w:p>
        </w:tc>
        <w:tc>
          <w:tcPr>
            <w:tcW w:w="1251" w:type="pct"/>
            <w:shd w:val="clear" w:color="auto" w:fill="auto"/>
            <w:vAlign w:val="center"/>
          </w:tcPr>
          <w:p w14:paraId="6A48C457"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04A126BC"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2018.01.30</w:t>
            </w:r>
          </w:p>
        </w:tc>
      </w:tr>
      <w:tr w:rsidR="000A0ACD" w14:paraId="3CE11412" w14:textId="77777777">
        <w:trPr>
          <w:cantSplit/>
          <w:trHeight w:val="397"/>
          <w:jc w:val="center"/>
        </w:trPr>
        <w:tc>
          <w:tcPr>
            <w:tcW w:w="894" w:type="pct"/>
            <w:vMerge w:val="restart"/>
            <w:shd w:val="clear" w:color="auto" w:fill="auto"/>
            <w:vAlign w:val="center"/>
          </w:tcPr>
          <w:p w14:paraId="7EC98113"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肖中海</w:t>
            </w:r>
          </w:p>
        </w:tc>
        <w:tc>
          <w:tcPr>
            <w:tcW w:w="998" w:type="pct"/>
            <w:shd w:val="clear" w:color="auto" w:fill="auto"/>
            <w:vAlign w:val="center"/>
          </w:tcPr>
          <w:p w14:paraId="1369AA32"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曹义海</w:t>
            </w:r>
          </w:p>
        </w:tc>
        <w:tc>
          <w:tcPr>
            <w:tcW w:w="948" w:type="pct"/>
            <w:shd w:val="clear" w:color="auto" w:fill="auto"/>
            <w:vAlign w:val="center"/>
          </w:tcPr>
          <w:p w14:paraId="57B2F00B"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1,000</w:t>
            </w:r>
          </w:p>
        </w:tc>
        <w:tc>
          <w:tcPr>
            <w:tcW w:w="1251" w:type="pct"/>
            <w:shd w:val="clear" w:color="auto" w:fill="auto"/>
            <w:vAlign w:val="center"/>
          </w:tcPr>
          <w:p w14:paraId="06AFB276"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4.28</w:t>
            </w:r>
          </w:p>
        </w:tc>
        <w:tc>
          <w:tcPr>
            <w:tcW w:w="909" w:type="pct"/>
            <w:shd w:val="clear" w:color="auto" w:fill="auto"/>
            <w:vAlign w:val="center"/>
          </w:tcPr>
          <w:p w14:paraId="1D5E11E4"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2019.12.19</w:t>
            </w:r>
          </w:p>
        </w:tc>
      </w:tr>
      <w:tr w:rsidR="000A0ACD" w14:paraId="3EFE54EF" w14:textId="77777777">
        <w:trPr>
          <w:cantSplit/>
          <w:trHeight w:val="397"/>
          <w:jc w:val="center"/>
        </w:trPr>
        <w:tc>
          <w:tcPr>
            <w:tcW w:w="894" w:type="pct"/>
            <w:vMerge/>
            <w:shd w:val="clear" w:color="auto" w:fill="auto"/>
            <w:vAlign w:val="center"/>
          </w:tcPr>
          <w:p w14:paraId="21CBD1E1" w14:textId="77777777" w:rsidR="000A0ACD" w:rsidRDefault="000A0ACD">
            <w:pPr>
              <w:adjustRightInd w:val="0"/>
              <w:snapToGrid w:val="0"/>
              <w:jc w:val="center"/>
              <w:rPr>
                <w:rFonts w:ascii="Times New Roman" w:hAnsi="Times New Roman" w:cs="Times New Roman"/>
                <w:color w:val="000000"/>
                <w:sz w:val="21"/>
                <w:szCs w:val="21"/>
                <w:lang w:bidi="ar"/>
              </w:rPr>
            </w:pPr>
          </w:p>
        </w:tc>
        <w:tc>
          <w:tcPr>
            <w:tcW w:w="998" w:type="pct"/>
            <w:vMerge w:val="restart"/>
            <w:shd w:val="clear" w:color="auto" w:fill="auto"/>
            <w:vAlign w:val="center"/>
          </w:tcPr>
          <w:p w14:paraId="233F6853"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李红</w:t>
            </w:r>
          </w:p>
        </w:tc>
        <w:tc>
          <w:tcPr>
            <w:tcW w:w="948" w:type="pct"/>
            <w:shd w:val="clear" w:color="auto" w:fill="auto"/>
            <w:vAlign w:val="center"/>
          </w:tcPr>
          <w:p w14:paraId="52920BD9"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100,000</w:t>
            </w:r>
          </w:p>
        </w:tc>
        <w:tc>
          <w:tcPr>
            <w:tcW w:w="1251" w:type="pct"/>
            <w:shd w:val="clear" w:color="auto" w:fill="auto"/>
            <w:vAlign w:val="center"/>
          </w:tcPr>
          <w:p w14:paraId="47DD598D"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2.15</w:t>
            </w:r>
          </w:p>
        </w:tc>
        <w:tc>
          <w:tcPr>
            <w:tcW w:w="909" w:type="pct"/>
            <w:shd w:val="clear" w:color="auto" w:fill="auto"/>
            <w:vAlign w:val="center"/>
          </w:tcPr>
          <w:p w14:paraId="11C14846"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2019.12.20</w:t>
            </w:r>
          </w:p>
        </w:tc>
      </w:tr>
      <w:tr w:rsidR="000A0ACD" w14:paraId="10226EB8" w14:textId="77777777">
        <w:trPr>
          <w:cantSplit/>
          <w:trHeight w:val="397"/>
          <w:jc w:val="center"/>
        </w:trPr>
        <w:tc>
          <w:tcPr>
            <w:tcW w:w="894" w:type="pct"/>
            <w:vMerge/>
            <w:shd w:val="clear" w:color="auto" w:fill="auto"/>
            <w:vAlign w:val="center"/>
          </w:tcPr>
          <w:p w14:paraId="3E0D34CF" w14:textId="77777777" w:rsidR="000A0ACD" w:rsidRDefault="000A0ACD">
            <w:pPr>
              <w:adjustRightInd w:val="0"/>
              <w:snapToGrid w:val="0"/>
              <w:jc w:val="center"/>
              <w:rPr>
                <w:rFonts w:ascii="Times New Roman" w:hAnsi="Times New Roman" w:cs="Times New Roman"/>
                <w:color w:val="000000"/>
                <w:sz w:val="21"/>
                <w:szCs w:val="21"/>
                <w:lang w:bidi="ar"/>
              </w:rPr>
            </w:pPr>
          </w:p>
        </w:tc>
        <w:tc>
          <w:tcPr>
            <w:tcW w:w="998" w:type="pct"/>
            <w:vMerge/>
            <w:shd w:val="clear" w:color="auto" w:fill="auto"/>
            <w:vAlign w:val="center"/>
          </w:tcPr>
          <w:p w14:paraId="1BAFB6D4" w14:textId="77777777" w:rsidR="000A0ACD" w:rsidRDefault="000A0ACD">
            <w:pPr>
              <w:adjustRightInd w:val="0"/>
              <w:snapToGrid w:val="0"/>
              <w:jc w:val="center"/>
              <w:rPr>
                <w:rFonts w:ascii="Times New Roman" w:hAnsi="Times New Roman" w:cs="Times New Roman"/>
                <w:color w:val="000000"/>
                <w:sz w:val="21"/>
                <w:szCs w:val="21"/>
                <w:lang w:bidi="ar"/>
              </w:rPr>
            </w:pPr>
          </w:p>
        </w:tc>
        <w:tc>
          <w:tcPr>
            <w:tcW w:w="948" w:type="pct"/>
            <w:shd w:val="clear" w:color="auto" w:fill="auto"/>
            <w:vAlign w:val="center"/>
          </w:tcPr>
          <w:p w14:paraId="3F059D63"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230,000</w:t>
            </w:r>
          </w:p>
        </w:tc>
        <w:tc>
          <w:tcPr>
            <w:tcW w:w="1251" w:type="pct"/>
            <w:shd w:val="clear" w:color="auto" w:fill="auto"/>
            <w:vAlign w:val="center"/>
          </w:tcPr>
          <w:p w14:paraId="5573A58C"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2.15</w:t>
            </w:r>
          </w:p>
        </w:tc>
        <w:tc>
          <w:tcPr>
            <w:tcW w:w="909" w:type="pct"/>
            <w:shd w:val="clear" w:color="auto" w:fill="auto"/>
            <w:vAlign w:val="center"/>
          </w:tcPr>
          <w:p w14:paraId="50A2C9BE"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2019.12.23</w:t>
            </w:r>
          </w:p>
        </w:tc>
      </w:tr>
      <w:tr w:rsidR="000A0ACD" w14:paraId="0C1B1BF1" w14:textId="77777777">
        <w:trPr>
          <w:cantSplit/>
          <w:trHeight w:val="397"/>
          <w:jc w:val="center"/>
        </w:trPr>
        <w:tc>
          <w:tcPr>
            <w:tcW w:w="894" w:type="pct"/>
            <w:shd w:val="clear" w:color="auto" w:fill="auto"/>
            <w:vAlign w:val="center"/>
          </w:tcPr>
          <w:p w14:paraId="13FE4384"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曹义海</w:t>
            </w:r>
          </w:p>
        </w:tc>
        <w:tc>
          <w:tcPr>
            <w:tcW w:w="998" w:type="pct"/>
            <w:shd w:val="clear" w:color="auto" w:fill="auto"/>
            <w:vAlign w:val="center"/>
          </w:tcPr>
          <w:p w14:paraId="1C70DB0C"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李祥华</w:t>
            </w:r>
          </w:p>
        </w:tc>
        <w:tc>
          <w:tcPr>
            <w:tcW w:w="948" w:type="pct"/>
            <w:shd w:val="clear" w:color="auto" w:fill="auto"/>
            <w:vAlign w:val="center"/>
          </w:tcPr>
          <w:p w14:paraId="309028C3"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1,000</w:t>
            </w:r>
          </w:p>
        </w:tc>
        <w:tc>
          <w:tcPr>
            <w:tcW w:w="1251" w:type="pct"/>
            <w:shd w:val="clear" w:color="auto" w:fill="auto"/>
            <w:vAlign w:val="center"/>
          </w:tcPr>
          <w:p w14:paraId="25788CAB"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1CB94F12"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2019.12.25</w:t>
            </w:r>
          </w:p>
        </w:tc>
      </w:tr>
      <w:tr w:rsidR="000A0ACD" w14:paraId="4E08FFBC" w14:textId="77777777">
        <w:trPr>
          <w:cantSplit/>
          <w:trHeight w:val="397"/>
          <w:jc w:val="center"/>
        </w:trPr>
        <w:tc>
          <w:tcPr>
            <w:tcW w:w="894" w:type="pct"/>
            <w:shd w:val="clear" w:color="auto" w:fill="auto"/>
            <w:vAlign w:val="center"/>
          </w:tcPr>
          <w:p w14:paraId="070B9B16"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李威</w:t>
            </w:r>
          </w:p>
        </w:tc>
        <w:tc>
          <w:tcPr>
            <w:tcW w:w="998" w:type="pct"/>
            <w:shd w:val="clear" w:color="auto" w:fill="auto"/>
            <w:vAlign w:val="center"/>
          </w:tcPr>
          <w:p w14:paraId="634946C0"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李红</w:t>
            </w:r>
          </w:p>
        </w:tc>
        <w:tc>
          <w:tcPr>
            <w:tcW w:w="948" w:type="pct"/>
            <w:shd w:val="clear" w:color="auto" w:fill="auto"/>
            <w:vAlign w:val="center"/>
          </w:tcPr>
          <w:p w14:paraId="0D2C1097"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173,000</w:t>
            </w:r>
          </w:p>
        </w:tc>
        <w:tc>
          <w:tcPr>
            <w:tcW w:w="1251" w:type="pct"/>
            <w:shd w:val="clear" w:color="auto" w:fill="auto"/>
            <w:vAlign w:val="center"/>
          </w:tcPr>
          <w:p w14:paraId="6E85265A" w14:textId="77777777" w:rsidR="000A0ACD" w:rsidRDefault="00362A99">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3.01</w:t>
            </w:r>
          </w:p>
        </w:tc>
        <w:tc>
          <w:tcPr>
            <w:tcW w:w="909" w:type="pct"/>
            <w:shd w:val="clear" w:color="auto" w:fill="auto"/>
            <w:vAlign w:val="center"/>
          </w:tcPr>
          <w:p w14:paraId="051D3F10" w14:textId="77777777" w:rsidR="000A0ACD" w:rsidRDefault="00362A99">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2019.12.27</w:t>
            </w:r>
          </w:p>
        </w:tc>
      </w:tr>
    </w:tbl>
    <w:p w14:paraId="4A47AE9B"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截至北洋天青</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12</w:t>
      </w:r>
      <w:r>
        <w:rPr>
          <w:rFonts w:ascii="Times New Roman" w:hAnsi="Times New Roman" w:cs="Times New Roman" w:hint="eastAsia"/>
          <w:bCs/>
          <w:color w:val="000000"/>
          <w:szCs w:val="21"/>
        </w:rPr>
        <w:t>日终止挂牌时，北洋天青的股权结构如下：</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4"/>
        <w:gridCol w:w="2335"/>
        <w:gridCol w:w="2800"/>
        <w:gridCol w:w="2393"/>
      </w:tblGrid>
      <w:tr w:rsidR="000A0ACD" w14:paraId="3FDC5294" w14:textId="77777777">
        <w:trPr>
          <w:cantSplit/>
          <w:trHeight w:val="397"/>
          <w:tblHeader/>
          <w:jc w:val="center"/>
        </w:trPr>
        <w:tc>
          <w:tcPr>
            <w:tcW w:w="583" w:type="pct"/>
            <w:vAlign w:val="center"/>
          </w:tcPr>
          <w:p w14:paraId="3B024BF2" w14:textId="77777777" w:rsidR="000A0ACD" w:rsidRDefault="00362A99">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序号</w:t>
            </w:r>
          </w:p>
        </w:tc>
        <w:tc>
          <w:tcPr>
            <w:tcW w:w="1370" w:type="pct"/>
            <w:vAlign w:val="center"/>
          </w:tcPr>
          <w:p w14:paraId="6228625F" w14:textId="77777777" w:rsidR="000A0ACD" w:rsidRDefault="00362A99">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股东</w:t>
            </w:r>
          </w:p>
        </w:tc>
        <w:tc>
          <w:tcPr>
            <w:tcW w:w="1643" w:type="pct"/>
            <w:vAlign w:val="center"/>
          </w:tcPr>
          <w:p w14:paraId="4252C016" w14:textId="77777777" w:rsidR="000A0ACD" w:rsidRDefault="00362A99">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持股数（股）</w:t>
            </w:r>
          </w:p>
        </w:tc>
        <w:tc>
          <w:tcPr>
            <w:tcW w:w="1404" w:type="pct"/>
            <w:vAlign w:val="center"/>
          </w:tcPr>
          <w:p w14:paraId="7B9FE335" w14:textId="77777777" w:rsidR="000A0ACD" w:rsidRDefault="00362A99">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持股比例（</w:t>
            </w:r>
            <w:r>
              <w:rPr>
                <w:rFonts w:ascii="Times New Roman" w:hAnsi="Times New Roman" w:cs="Times New Roman" w:hint="eastAsia"/>
                <w:b/>
                <w:color w:val="000000"/>
                <w:sz w:val="21"/>
                <w:szCs w:val="21"/>
              </w:rPr>
              <w:t>%</w:t>
            </w:r>
            <w:r>
              <w:rPr>
                <w:rFonts w:ascii="Times New Roman" w:hAnsi="Times New Roman" w:cs="Times New Roman" w:hint="eastAsia"/>
                <w:b/>
                <w:color w:val="000000"/>
                <w:sz w:val="21"/>
                <w:szCs w:val="21"/>
              </w:rPr>
              <w:t>）</w:t>
            </w:r>
          </w:p>
        </w:tc>
      </w:tr>
      <w:tr w:rsidR="000A0ACD" w14:paraId="0313944F" w14:textId="77777777">
        <w:trPr>
          <w:cantSplit/>
          <w:trHeight w:val="397"/>
          <w:jc w:val="center"/>
        </w:trPr>
        <w:tc>
          <w:tcPr>
            <w:tcW w:w="583" w:type="pct"/>
            <w:shd w:val="clear" w:color="auto" w:fill="FFFFFF"/>
            <w:vAlign w:val="center"/>
          </w:tcPr>
          <w:p w14:paraId="0258C805"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1</w:t>
            </w:r>
          </w:p>
        </w:tc>
        <w:tc>
          <w:tcPr>
            <w:tcW w:w="1370" w:type="pct"/>
            <w:shd w:val="clear" w:color="auto" w:fill="FFFFFF"/>
            <w:vAlign w:val="center"/>
          </w:tcPr>
          <w:p w14:paraId="22FE0989"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李红</w:t>
            </w:r>
          </w:p>
        </w:tc>
        <w:tc>
          <w:tcPr>
            <w:tcW w:w="1643" w:type="pct"/>
            <w:shd w:val="clear" w:color="auto" w:fill="FFFFFF"/>
            <w:vAlign w:val="center"/>
          </w:tcPr>
          <w:p w14:paraId="06C09C9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8,118,854</w:t>
            </w:r>
          </w:p>
        </w:tc>
        <w:tc>
          <w:tcPr>
            <w:tcW w:w="1404" w:type="pct"/>
            <w:shd w:val="clear" w:color="auto" w:fill="FFFFFF"/>
            <w:vAlign w:val="center"/>
          </w:tcPr>
          <w:p w14:paraId="264368AE"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40.87</w:t>
            </w:r>
          </w:p>
        </w:tc>
      </w:tr>
      <w:tr w:rsidR="000A0ACD" w14:paraId="3346E46F" w14:textId="77777777">
        <w:trPr>
          <w:cantSplit/>
          <w:trHeight w:val="397"/>
          <w:jc w:val="center"/>
        </w:trPr>
        <w:tc>
          <w:tcPr>
            <w:tcW w:w="583" w:type="pct"/>
            <w:shd w:val="clear" w:color="auto" w:fill="FFFFFF"/>
            <w:vAlign w:val="center"/>
          </w:tcPr>
          <w:p w14:paraId="212D5DE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370" w:type="pct"/>
            <w:shd w:val="clear" w:color="auto" w:fill="FFFFFF"/>
            <w:vAlign w:val="center"/>
          </w:tcPr>
          <w:p w14:paraId="64788AD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赵庆</w:t>
            </w:r>
          </w:p>
        </w:tc>
        <w:tc>
          <w:tcPr>
            <w:tcW w:w="1643" w:type="pct"/>
            <w:shd w:val="clear" w:color="auto" w:fill="FFFFFF"/>
            <w:vAlign w:val="center"/>
          </w:tcPr>
          <w:p w14:paraId="7F741B3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2,774,229</w:t>
            </w:r>
          </w:p>
        </w:tc>
        <w:tc>
          <w:tcPr>
            <w:tcW w:w="1404" w:type="pct"/>
            <w:shd w:val="clear" w:color="auto" w:fill="FFFFFF"/>
            <w:vAlign w:val="center"/>
          </w:tcPr>
          <w:p w14:paraId="24462D5C"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13.97</w:t>
            </w:r>
          </w:p>
        </w:tc>
      </w:tr>
      <w:tr w:rsidR="000A0ACD" w14:paraId="00D796CA" w14:textId="77777777">
        <w:trPr>
          <w:cantSplit/>
          <w:trHeight w:val="397"/>
          <w:jc w:val="center"/>
        </w:trPr>
        <w:tc>
          <w:tcPr>
            <w:tcW w:w="583" w:type="pct"/>
            <w:shd w:val="clear" w:color="auto" w:fill="FFFFFF"/>
            <w:vAlign w:val="center"/>
          </w:tcPr>
          <w:p w14:paraId="41B6512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370" w:type="pct"/>
            <w:shd w:val="clear" w:color="auto" w:fill="FFFFFF"/>
            <w:vAlign w:val="center"/>
          </w:tcPr>
          <w:p w14:paraId="0A538B4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青岛艾特诺</w:t>
            </w:r>
          </w:p>
        </w:tc>
        <w:tc>
          <w:tcPr>
            <w:tcW w:w="1643" w:type="pct"/>
            <w:shd w:val="clear" w:color="auto" w:fill="FFFFFF"/>
            <w:vAlign w:val="center"/>
          </w:tcPr>
          <w:p w14:paraId="4211E06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1,987,942</w:t>
            </w:r>
          </w:p>
        </w:tc>
        <w:tc>
          <w:tcPr>
            <w:tcW w:w="1404" w:type="pct"/>
            <w:shd w:val="clear" w:color="auto" w:fill="FFFFFF"/>
            <w:vAlign w:val="center"/>
          </w:tcPr>
          <w:p w14:paraId="42DBAF0E"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10.01</w:t>
            </w:r>
          </w:p>
        </w:tc>
      </w:tr>
      <w:tr w:rsidR="000A0ACD" w14:paraId="294914A3" w14:textId="77777777">
        <w:trPr>
          <w:cantSplit/>
          <w:trHeight w:val="397"/>
          <w:jc w:val="center"/>
        </w:trPr>
        <w:tc>
          <w:tcPr>
            <w:tcW w:w="583" w:type="pct"/>
            <w:shd w:val="clear" w:color="auto" w:fill="FFFFFF"/>
            <w:vAlign w:val="center"/>
          </w:tcPr>
          <w:p w14:paraId="69C069A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370" w:type="pct"/>
            <w:shd w:val="clear" w:color="auto" w:fill="FFFFFF"/>
            <w:vAlign w:val="center"/>
          </w:tcPr>
          <w:p w14:paraId="15A2BE5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杨平</w:t>
            </w:r>
          </w:p>
        </w:tc>
        <w:tc>
          <w:tcPr>
            <w:tcW w:w="1643" w:type="pct"/>
            <w:shd w:val="clear" w:color="auto" w:fill="FFFFFF"/>
            <w:vAlign w:val="center"/>
          </w:tcPr>
          <w:p w14:paraId="1F6D8A5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1,834,289</w:t>
            </w:r>
          </w:p>
        </w:tc>
        <w:tc>
          <w:tcPr>
            <w:tcW w:w="1404" w:type="pct"/>
            <w:shd w:val="clear" w:color="auto" w:fill="FFFFFF"/>
            <w:vAlign w:val="center"/>
          </w:tcPr>
          <w:p w14:paraId="4860166C" w14:textId="65B74EE4"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9.2</w:t>
            </w:r>
            <w:r>
              <w:rPr>
                <w:rFonts w:ascii="Times New Roman" w:eastAsia="等线" w:hAnsi="Times New Roman" w:cs="Times New Roman" w:hint="eastAsia"/>
                <w:color w:val="000000"/>
                <w:sz w:val="21"/>
                <w:szCs w:val="21"/>
              </w:rPr>
              <w:t>3</w:t>
            </w:r>
          </w:p>
        </w:tc>
      </w:tr>
      <w:tr w:rsidR="000A0ACD" w14:paraId="65ED9771" w14:textId="77777777">
        <w:trPr>
          <w:cantSplit/>
          <w:trHeight w:val="397"/>
          <w:jc w:val="center"/>
        </w:trPr>
        <w:tc>
          <w:tcPr>
            <w:tcW w:w="583" w:type="pct"/>
            <w:shd w:val="clear" w:color="auto" w:fill="FFFFFF"/>
            <w:vAlign w:val="center"/>
          </w:tcPr>
          <w:p w14:paraId="73A97E2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370" w:type="pct"/>
            <w:shd w:val="clear" w:color="auto" w:fill="FFFFFF"/>
            <w:vAlign w:val="center"/>
          </w:tcPr>
          <w:p w14:paraId="485A000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王晓晖</w:t>
            </w:r>
          </w:p>
        </w:tc>
        <w:tc>
          <w:tcPr>
            <w:tcW w:w="1643" w:type="pct"/>
            <w:shd w:val="clear" w:color="auto" w:fill="FFFFFF"/>
            <w:vAlign w:val="center"/>
          </w:tcPr>
          <w:p w14:paraId="3FBEEBD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1,713,286</w:t>
            </w:r>
          </w:p>
        </w:tc>
        <w:tc>
          <w:tcPr>
            <w:tcW w:w="1404" w:type="pct"/>
            <w:shd w:val="clear" w:color="auto" w:fill="FFFFFF"/>
            <w:vAlign w:val="center"/>
          </w:tcPr>
          <w:p w14:paraId="1A69BFBE"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8.63</w:t>
            </w:r>
          </w:p>
        </w:tc>
      </w:tr>
      <w:tr w:rsidR="000A0ACD" w14:paraId="33094254" w14:textId="77777777">
        <w:trPr>
          <w:cantSplit/>
          <w:trHeight w:val="397"/>
          <w:jc w:val="center"/>
        </w:trPr>
        <w:tc>
          <w:tcPr>
            <w:tcW w:w="583" w:type="pct"/>
            <w:shd w:val="clear" w:color="auto" w:fill="FFFFFF"/>
            <w:vAlign w:val="center"/>
          </w:tcPr>
          <w:p w14:paraId="66D7A57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370" w:type="pct"/>
            <w:shd w:val="clear" w:color="auto" w:fill="FFFFFF"/>
            <w:vAlign w:val="center"/>
          </w:tcPr>
          <w:p w14:paraId="79F390C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肖中海</w:t>
            </w:r>
          </w:p>
        </w:tc>
        <w:tc>
          <w:tcPr>
            <w:tcW w:w="1643" w:type="pct"/>
            <w:shd w:val="clear" w:color="auto" w:fill="FFFFFF"/>
            <w:vAlign w:val="center"/>
          </w:tcPr>
          <w:p w14:paraId="10063E9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1,169,000</w:t>
            </w:r>
          </w:p>
        </w:tc>
        <w:tc>
          <w:tcPr>
            <w:tcW w:w="1404" w:type="pct"/>
            <w:shd w:val="clear" w:color="auto" w:fill="FFFFFF"/>
            <w:vAlign w:val="center"/>
          </w:tcPr>
          <w:p w14:paraId="5A9C2376"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5.89</w:t>
            </w:r>
          </w:p>
        </w:tc>
      </w:tr>
      <w:tr w:rsidR="000A0ACD" w14:paraId="0FB6014D" w14:textId="77777777">
        <w:trPr>
          <w:cantSplit/>
          <w:trHeight w:val="397"/>
          <w:jc w:val="center"/>
        </w:trPr>
        <w:tc>
          <w:tcPr>
            <w:tcW w:w="583" w:type="pct"/>
            <w:shd w:val="clear" w:color="auto" w:fill="FFFFFF"/>
            <w:vAlign w:val="center"/>
          </w:tcPr>
          <w:p w14:paraId="05426FE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370" w:type="pct"/>
            <w:shd w:val="clear" w:color="auto" w:fill="FFFFFF"/>
            <w:vAlign w:val="center"/>
          </w:tcPr>
          <w:p w14:paraId="60CBAD2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夏涛</w:t>
            </w:r>
          </w:p>
        </w:tc>
        <w:tc>
          <w:tcPr>
            <w:tcW w:w="1643" w:type="pct"/>
            <w:shd w:val="clear" w:color="auto" w:fill="FFFFFF"/>
            <w:vAlign w:val="center"/>
          </w:tcPr>
          <w:p w14:paraId="00BED93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683,761</w:t>
            </w:r>
          </w:p>
        </w:tc>
        <w:tc>
          <w:tcPr>
            <w:tcW w:w="1404" w:type="pct"/>
            <w:shd w:val="clear" w:color="auto" w:fill="FFFFFF"/>
            <w:vAlign w:val="center"/>
          </w:tcPr>
          <w:p w14:paraId="34A0966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3.44</w:t>
            </w:r>
          </w:p>
        </w:tc>
      </w:tr>
      <w:tr w:rsidR="000A0ACD" w14:paraId="55F8C9D7" w14:textId="77777777">
        <w:trPr>
          <w:cantSplit/>
          <w:trHeight w:val="397"/>
          <w:jc w:val="center"/>
        </w:trPr>
        <w:tc>
          <w:tcPr>
            <w:tcW w:w="583" w:type="pct"/>
            <w:shd w:val="clear" w:color="auto" w:fill="FFFFFF"/>
            <w:vAlign w:val="center"/>
          </w:tcPr>
          <w:p w14:paraId="545CA1D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370" w:type="pct"/>
            <w:shd w:val="clear" w:color="auto" w:fill="FFFFFF"/>
            <w:vAlign w:val="center"/>
          </w:tcPr>
          <w:p w14:paraId="00B922B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王华东</w:t>
            </w:r>
          </w:p>
        </w:tc>
        <w:tc>
          <w:tcPr>
            <w:tcW w:w="1643" w:type="pct"/>
            <w:shd w:val="clear" w:color="auto" w:fill="FFFFFF"/>
            <w:vAlign w:val="center"/>
          </w:tcPr>
          <w:p w14:paraId="5975766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683,761</w:t>
            </w:r>
          </w:p>
        </w:tc>
        <w:tc>
          <w:tcPr>
            <w:tcW w:w="1404" w:type="pct"/>
            <w:shd w:val="clear" w:color="auto" w:fill="FFFFFF"/>
            <w:vAlign w:val="center"/>
          </w:tcPr>
          <w:p w14:paraId="0A4D63C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3.44</w:t>
            </w:r>
          </w:p>
        </w:tc>
      </w:tr>
      <w:tr w:rsidR="000A0ACD" w14:paraId="25F306CE" w14:textId="77777777">
        <w:trPr>
          <w:cantSplit/>
          <w:trHeight w:val="397"/>
          <w:jc w:val="center"/>
        </w:trPr>
        <w:tc>
          <w:tcPr>
            <w:tcW w:w="583" w:type="pct"/>
            <w:shd w:val="clear" w:color="auto" w:fill="FFFFFF"/>
            <w:vAlign w:val="center"/>
          </w:tcPr>
          <w:p w14:paraId="4464181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1370" w:type="pct"/>
            <w:shd w:val="clear" w:color="auto" w:fill="FFFFFF"/>
            <w:vAlign w:val="center"/>
          </w:tcPr>
          <w:p w14:paraId="4EFC31A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钱雨嫣</w:t>
            </w:r>
          </w:p>
        </w:tc>
        <w:tc>
          <w:tcPr>
            <w:tcW w:w="1643" w:type="pct"/>
            <w:shd w:val="clear" w:color="auto" w:fill="FFFFFF"/>
            <w:vAlign w:val="center"/>
          </w:tcPr>
          <w:p w14:paraId="3C096F3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341,880</w:t>
            </w:r>
          </w:p>
        </w:tc>
        <w:tc>
          <w:tcPr>
            <w:tcW w:w="1404" w:type="pct"/>
            <w:shd w:val="clear" w:color="auto" w:fill="FFFFFF"/>
            <w:vAlign w:val="center"/>
          </w:tcPr>
          <w:p w14:paraId="50FD715E"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1.72</w:t>
            </w:r>
          </w:p>
        </w:tc>
      </w:tr>
      <w:tr w:rsidR="000A0ACD" w14:paraId="2E64341F" w14:textId="77777777">
        <w:trPr>
          <w:cantSplit/>
          <w:trHeight w:val="397"/>
          <w:jc w:val="center"/>
        </w:trPr>
        <w:tc>
          <w:tcPr>
            <w:tcW w:w="583" w:type="pct"/>
            <w:shd w:val="clear" w:color="auto" w:fill="FFFFFF"/>
            <w:vAlign w:val="center"/>
          </w:tcPr>
          <w:p w14:paraId="7758D6A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1370" w:type="pct"/>
            <w:shd w:val="clear" w:color="auto" w:fill="FFFFFF"/>
            <w:vAlign w:val="center"/>
          </w:tcPr>
          <w:p w14:paraId="262F283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修军</w:t>
            </w:r>
          </w:p>
        </w:tc>
        <w:tc>
          <w:tcPr>
            <w:tcW w:w="1643" w:type="pct"/>
            <w:shd w:val="clear" w:color="auto" w:fill="FFFFFF"/>
            <w:vAlign w:val="center"/>
          </w:tcPr>
          <w:p w14:paraId="7A25DF1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178,571</w:t>
            </w:r>
          </w:p>
        </w:tc>
        <w:tc>
          <w:tcPr>
            <w:tcW w:w="1404" w:type="pct"/>
            <w:shd w:val="clear" w:color="auto" w:fill="FFFFFF"/>
            <w:vAlign w:val="center"/>
          </w:tcPr>
          <w:p w14:paraId="19ECD997"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0.90</w:t>
            </w:r>
          </w:p>
        </w:tc>
      </w:tr>
      <w:tr w:rsidR="000A0ACD" w14:paraId="44BC4739" w14:textId="77777777">
        <w:trPr>
          <w:cantSplit/>
          <w:trHeight w:val="397"/>
          <w:jc w:val="center"/>
        </w:trPr>
        <w:tc>
          <w:tcPr>
            <w:tcW w:w="583" w:type="pct"/>
            <w:shd w:val="clear" w:color="auto" w:fill="FFFFFF"/>
            <w:vAlign w:val="center"/>
          </w:tcPr>
          <w:p w14:paraId="553060E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1370" w:type="pct"/>
            <w:shd w:val="clear" w:color="auto" w:fill="FFFFFF"/>
            <w:vAlign w:val="center"/>
          </w:tcPr>
          <w:p w14:paraId="3C0351D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傅敦</w:t>
            </w:r>
          </w:p>
        </w:tc>
        <w:tc>
          <w:tcPr>
            <w:tcW w:w="1643" w:type="pct"/>
            <w:shd w:val="clear" w:color="auto" w:fill="FFFFFF"/>
            <w:vAlign w:val="center"/>
          </w:tcPr>
          <w:p w14:paraId="66688F7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128,571</w:t>
            </w:r>
          </w:p>
        </w:tc>
        <w:tc>
          <w:tcPr>
            <w:tcW w:w="1404" w:type="pct"/>
            <w:shd w:val="clear" w:color="auto" w:fill="FFFFFF"/>
            <w:vAlign w:val="center"/>
          </w:tcPr>
          <w:p w14:paraId="5454653A"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0.65</w:t>
            </w:r>
          </w:p>
        </w:tc>
      </w:tr>
      <w:tr w:rsidR="000A0ACD" w14:paraId="514DFEBC" w14:textId="77777777">
        <w:trPr>
          <w:cantSplit/>
          <w:trHeight w:val="397"/>
          <w:jc w:val="center"/>
        </w:trPr>
        <w:tc>
          <w:tcPr>
            <w:tcW w:w="583" w:type="pct"/>
            <w:shd w:val="clear" w:color="auto" w:fill="FFFFFF"/>
            <w:vAlign w:val="center"/>
          </w:tcPr>
          <w:p w14:paraId="060537C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1370" w:type="pct"/>
            <w:shd w:val="clear" w:color="auto" w:fill="FFFFFF"/>
            <w:vAlign w:val="center"/>
          </w:tcPr>
          <w:p w14:paraId="113A114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陈政言</w:t>
            </w:r>
          </w:p>
        </w:tc>
        <w:tc>
          <w:tcPr>
            <w:tcW w:w="1643" w:type="pct"/>
            <w:shd w:val="clear" w:color="auto" w:fill="FFFFFF"/>
            <w:vAlign w:val="center"/>
          </w:tcPr>
          <w:p w14:paraId="7BB6BDC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128,205</w:t>
            </w:r>
          </w:p>
        </w:tc>
        <w:tc>
          <w:tcPr>
            <w:tcW w:w="1404" w:type="pct"/>
            <w:shd w:val="clear" w:color="auto" w:fill="FFFFFF"/>
            <w:vAlign w:val="center"/>
          </w:tcPr>
          <w:p w14:paraId="2C9AFFA4"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0.65</w:t>
            </w:r>
          </w:p>
        </w:tc>
      </w:tr>
      <w:tr w:rsidR="000A0ACD" w14:paraId="0C240E39" w14:textId="77777777">
        <w:trPr>
          <w:cantSplit/>
          <w:trHeight w:val="397"/>
          <w:jc w:val="center"/>
        </w:trPr>
        <w:tc>
          <w:tcPr>
            <w:tcW w:w="583" w:type="pct"/>
            <w:shd w:val="clear" w:color="auto" w:fill="FFFFFF"/>
            <w:vAlign w:val="center"/>
          </w:tcPr>
          <w:p w14:paraId="3832491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1370" w:type="pct"/>
            <w:shd w:val="clear" w:color="auto" w:fill="FFFFFF"/>
            <w:vAlign w:val="center"/>
          </w:tcPr>
          <w:p w14:paraId="7C29D1B0"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张利</w:t>
            </w:r>
          </w:p>
        </w:tc>
        <w:tc>
          <w:tcPr>
            <w:tcW w:w="1643" w:type="pct"/>
            <w:shd w:val="clear" w:color="auto" w:fill="FFFFFF"/>
            <w:vAlign w:val="center"/>
          </w:tcPr>
          <w:p w14:paraId="6B5E35D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w:t>
            </w:r>
          </w:p>
        </w:tc>
        <w:tc>
          <w:tcPr>
            <w:tcW w:w="1404" w:type="pct"/>
            <w:shd w:val="clear" w:color="auto" w:fill="FFFFFF"/>
            <w:vAlign w:val="center"/>
          </w:tcPr>
          <w:p w14:paraId="184437F9"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0.34</w:t>
            </w:r>
          </w:p>
        </w:tc>
      </w:tr>
      <w:tr w:rsidR="000A0ACD" w14:paraId="30D5CD2E" w14:textId="77777777">
        <w:trPr>
          <w:cantSplit/>
          <w:trHeight w:val="397"/>
          <w:jc w:val="center"/>
        </w:trPr>
        <w:tc>
          <w:tcPr>
            <w:tcW w:w="583" w:type="pct"/>
            <w:shd w:val="clear" w:color="auto" w:fill="FFFFFF"/>
            <w:vAlign w:val="center"/>
          </w:tcPr>
          <w:p w14:paraId="5E424E1D"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14</w:t>
            </w:r>
          </w:p>
        </w:tc>
        <w:tc>
          <w:tcPr>
            <w:tcW w:w="1370" w:type="pct"/>
            <w:shd w:val="clear" w:color="auto" w:fill="FFFFFF"/>
            <w:vAlign w:val="center"/>
          </w:tcPr>
          <w:p w14:paraId="30BB8B3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徐炳雷</w:t>
            </w:r>
          </w:p>
        </w:tc>
        <w:tc>
          <w:tcPr>
            <w:tcW w:w="1643" w:type="pct"/>
            <w:shd w:val="clear" w:color="auto" w:fill="FFFFFF"/>
            <w:vAlign w:val="center"/>
          </w:tcPr>
          <w:p w14:paraId="25D8D7A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44,444</w:t>
            </w:r>
          </w:p>
        </w:tc>
        <w:tc>
          <w:tcPr>
            <w:tcW w:w="1404" w:type="pct"/>
            <w:shd w:val="clear" w:color="auto" w:fill="FFFFFF"/>
            <w:vAlign w:val="center"/>
          </w:tcPr>
          <w:p w14:paraId="0AD53819"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0.22</w:t>
            </w:r>
          </w:p>
        </w:tc>
      </w:tr>
      <w:tr w:rsidR="000A0ACD" w14:paraId="7636A543" w14:textId="77777777">
        <w:trPr>
          <w:cantSplit/>
          <w:trHeight w:val="397"/>
          <w:jc w:val="center"/>
        </w:trPr>
        <w:tc>
          <w:tcPr>
            <w:tcW w:w="583" w:type="pct"/>
            <w:shd w:val="clear" w:color="auto" w:fill="FFFFFF"/>
            <w:vAlign w:val="center"/>
          </w:tcPr>
          <w:p w14:paraId="152D3D1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1370" w:type="pct"/>
            <w:shd w:val="clear" w:color="auto" w:fill="FFFFFF"/>
            <w:vAlign w:val="center"/>
          </w:tcPr>
          <w:p w14:paraId="038DA45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阳伦胜</w:t>
            </w:r>
          </w:p>
        </w:tc>
        <w:tc>
          <w:tcPr>
            <w:tcW w:w="1643" w:type="pct"/>
            <w:shd w:val="clear" w:color="auto" w:fill="FFFFFF"/>
            <w:vAlign w:val="center"/>
          </w:tcPr>
          <w:p w14:paraId="6BE5DF7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6CBBA85B"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0A0ACD" w14:paraId="483FF517" w14:textId="77777777">
        <w:trPr>
          <w:cantSplit/>
          <w:trHeight w:val="397"/>
          <w:jc w:val="center"/>
        </w:trPr>
        <w:tc>
          <w:tcPr>
            <w:tcW w:w="583" w:type="pct"/>
            <w:shd w:val="clear" w:color="auto" w:fill="FFFFFF"/>
            <w:vAlign w:val="center"/>
          </w:tcPr>
          <w:p w14:paraId="296F056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1370" w:type="pct"/>
            <w:shd w:val="clear" w:color="auto" w:fill="FFFFFF"/>
            <w:vAlign w:val="center"/>
          </w:tcPr>
          <w:p w14:paraId="2330442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辛兰</w:t>
            </w:r>
          </w:p>
        </w:tc>
        <w:tc>
          <w:tcPr>
            <w:tcW w:w="1643" w:type="pct"/>
            <w:shd w:val="clear" w:color="auto" w:fill="FFFFFF"/>
            <w:vAlign w:val="center"/>
          </w:tcPr>
          <w:p w14:paraId="0DB4257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530D81F8"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0A0ACD" w14:paraId="4E950419" w14:textId="77777777">
        <w:trPr>
          <w:cantSplit/>
          <w:trHeight w:val="397"/>
          <w:jc w:val="center"/>
        </w:trPr>
        <w:tc>
          <w:tcPr>
            <w:tcW w:w="583" w:type="pct"/>
            <w:shd w:val="clear" w:color="auto" w:fill="FFFFFF"/>
            <w:vAlign w:val="center"/>
          </w:tcPr>
          <w:p w14:paraId="58AA3FB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17</w:t>
            </w:r>
          </w:p>
        </w:tc>
        <w:tc>
          <w:tcPr>
            <w:tcW w:w="1370" w:type="pct"/>
            <w:shd w:val="clear" w:color="auto" w:fill="FFFFFF"/>
            <w:vAlign w:val="center"/>
          </w:tcPr>
          <w:p w14:paraId="165AE01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英入才</w:t>
            </w:r>
          </w:p>
        </w:tc>
        <w:tc>
          <w:tcPr>
            <w:tcW w:w="1643" w:type="pct"/>
            <w:shd w:val="clear" w:color="auto" w:fill="FFFFFF"/>
            <w:vAlign w:val="center"/>
          </w:tcPr>
          <w:p w14:paraId="37549ED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445D6914"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0A0ACD" w14:paraId="3935F085" w14:textId="77777777">
        <w:trPr>
          <w:cantSplit/>
          <w:trHeight w:val="397"/>
          <w:jc w:val="center"/>
        </w:trPr>
        <w:tc>
          <w:tcPr>
            <w:tcW w:w="583" w:type="pct"/>
            <w:shd w:val="clear" w:color="auto" w:fill="FFFFFF"/>
            <w:vAlign w:val="center"/>
          </w:tcPr>
          <w:p w14:paraId="45CB192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1370" w:type="pct"/>
            <w:shd w:val="clear" w:color="auto" w:fill="FFFFFF"/>
            <w:vAlign w:val="center"/>
          </w:tcPr>
          <w:p w14:paraId="1B90165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李祥华</w:t>
            </w:r>
          </w:p>
        </w:tc>
        <w:tc>
          <w:tcPr>
            <w:tcW w:w="1643" w:type="pct"/>
            <w:shd w:val="clear" w:color="auto" w:fill="FFFFFF"/>
            <w:vAlign w:val="center"/>
          </w:tcPr>
          <w:p w14:paraId="01B55A5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1404" w:type="pct"/>
            <w:shd w:val="clear" w:color="auto" w:fill="FFFFFF"/>
            <w:vAlign w:val="center"/>
          </w:tcPr>
          <w:p w14:paraId="2557ED43"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0A0ACD" w14:paraId="64E93BAF" w14:textId="77777777">
        <w:trPr>
          <w:cantSplit/>
          <w:trHeight w:val="397"/>
          <w:jc w:val="center"/>
        </w:trPr>
        <w:tc>
          <w:tcPr>
            <w:tcW w:w="583" w:type="pct"/>
            <w:shd w:val="clear" w:color="auto" w:fill="FFFFFF"/>
            <w:vAlign w:val="center"/>
          </w:tcPr>
          <w:p w14:paraId="6558EC3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1370" w:type="pct"/>
            <w:shd w:val="clear" w:color="auto" w:fill="FFFFFF"/>
            <w:vAlign w:val="center"/>
          </w:tcPr>
          <w:p w14:paraId="1F6BDCC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钱祥丰</w:t>
            </w:r>
          </w:p>
        </w:tc>
        <w:tc>
          <w:tcPr>
            <w:tcW w:w="1643" w:type="pct"/>
            <w:shd w:val="clear" w:color="auto" w:fill="FFFFFF"/>
            <w:vAlign w:val="center"/>
          </w:tcPr>
          <w:p w14:paraId="080127A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1404" w:type="pct"/>
            <w:shd w:val="clear" w:color="auto" w:fill="FFFFFF"/>
            <w:vAlign w:val="center"/>
          </w:tcPr>
          <w:p w14:paraId="2F5B8425"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0A0ACD" w14:paraId="681B409D" w14:textId="77777777">
        <w:trPr>
          <w:cantSplit/>
          <w:trHeight w:val="397"/>
          <w:jc w:val="center"/>
        </w:trPr>
        <w:tc>
          <w:tcPr>
            <w:tcW w:w="583" w:type="pct"/>
            <w:shd w:val="clear" w:color="auto" w:fill="FFFFFF"/>
            <w:vAlign w:val="center"/>
          </w:tcPr>
          <w:p w14:paraId="62A383E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1370" w:type="pct"/>
            <w:shd w:val="clear" w:color="auto" w:fill="FFFFFF"/>
            <w:vAlign w:val="center"/>
          </w:tcPr>
          <w:p w14:paraId="36086B9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李威</w:t>
            </w:r>
          </w:p>
        </w:tc>
        <w:tc>
          <w:tcPr>
            <w:tcW w:w="1643" w:type="pct"/>
            <w:shd w:val="clear" w:color="auto" w:fill="FFFFFF"/>
            <w:vAlign w:val="center"/>
          </w:tcPr>
          <w:p w14:paraId="7C1479E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504</w:t>
            </w:r>
          </w:p>
        </w:tc>
        <w:tc>
          <w:tcPr>
            <w:tcW w:w="1404" w:type="pct"/>
            <w:shd w:val="clear" w:color="auto" w:fill="FFFFFF"/>
            <w:vAlign w:val="center"/>
          </w:tcPr>
          <w:p w14:paraId="3895DBB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0.0025</w:t>
            </w:r>
          </w:p>
        </w:tc>
      </w:tr>
      <w:tr w:rsidR="000A0ACD" w14:paraId="01080CFF" w14:textId="77777777">
        <w:trPr>
          <w:cantSplit/>
          <w:trHeight w:val="397"/>
          <w:jc w:val="center"/>
        </w:trPr>
        <w:tc>
          <w:tcPr>
            <w:tcW w:w="1953" w:type="pct"/>
            <w:gridSpan w:val="2"/>
            <w:vAlign w:val="center"/>
          </w:tcPr>
          <w:p w14:paraId="788AC343"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643" w:type="pct"/>
            <w:vAlign w:val="center"/>
          </w:tcPr>
          <w:p w14:paraId="7E71E7AF"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19,862,800</w:t>
            </w:r>
          </w:p>
        </w:tc>
        <w:tc>
          <w:tcPr>
            <w:tcW w:w="1404" w:type="pct"/>
            <w:vAlign w:val="center"/>
          </w:tcPr>
          <w:p w14:paraId="72D218A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b/>
                <w:bCs/>
                <w:color w:val="000000"/>
                <w:sz w:val="21"/>
                <w:szCs w:val="21"/>
              </w:rPr>
              <w:t>100.00</w:t>
            </w:r>
          </w:p>
        </w:tc>
      </w:tr>
    </w:tbl>
    <w:p w14:paraId="2CE735C8" w14:textId="77777777" w:rsidR="000A0ACD" w:rsidRDefault="00362A99">
      <w:pPr>
        <w:spacing w:beforeLines="50" w:before="156" w:line="360" w:lineRule="auto"/>
        <w:ind w:firstLineChars="200" w:firstLine="482"/>
        <w:jc w:val="both"/>
        <w:rPr>
          <w:rFonts w:ascii="Times New Roman" w:hAnsi="Times New Roman" w:cs="Times New Roman"/>
          <w:b/>
        </w:rPr>
      </w:pPr>
      <w:r>
        <w:rPr>
          <w:rFonts w:ascii="Times New Roman" w:hAnsi="Times New Roman" w:cs="Times New Roman" w:hint="eastAsia"/>
          <w:b/>
        </w:rPr>
        <w:t>3</w:t>
      </w:r>
      <w:r>
        <w:rPr>
          <w:rFonts w:ascii="Times New Roman" w:hAnsi="Times New Roman" w:cs="Times New Roman" w:hint="eastAsia"/>
          <w:b/>
        </w:rPr>
        <w:t>、北洋天青终止挂牌后的股东变化</w:t>
      </w:r>
    </w:p>
    <w:p w14:paraId="3D06F467" w14:textId="76BE46B3"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25</w:t>
      </w:r>
      <w:r>
        <w:rPr>
          <w:rFonts w:ascii="Times New Roman" w:hAnsi="Times New Roman" w:cs="Times New Roman" w:hint="eastAsia"/>
          <w:bCs/>
          <w:color w:val="000000"/>
          <w:szCs w:val="21"/>
        </w:rPr>
        <w:t>日，肖中海与李红签署了《股份转让协议》，肖中海将其所持北洋天青</w:t>
      </w:r>
      <w:r>
        <w:rPr>
          <w:rFonts w:ascii="Times New Roman" w:hAnsi="Times New Roman" w:cs="Times New Roman" w:hint="eastAsia"/>
          <w:bCs/>
          <w:color w:val="000000"/>
          <w:szCs w:val="21"/>
        </w:rPr>
        <w:t>96.9</w:t>
      </w:r>
      <w:r w:rsidR="00722E5D">
        <w:rPr>
          <w:rFonts w:ascii="Times New Roman" w:hAnsi="Times New Roman" w:cs="Times New Roman"/>
          <w:bCs/>
          <w:color w:val="000000"/>
          <w:szCs w:val="21"/>
        </w:rPr>
        <w:t>0</w:t>
      </w:r>
      <w:r>
        <w:rPr>
          <w:rFonts w:ascii="Times New Roman" w:hAnsi="Times New Roman" w:cs="Times New Roman" w:hint="eastAsia"/>
          <w:bCs/>
          <w:color w:val="000000"/>
          <w:szCs w:val="21"/>
        </w:rPr>
        <w:t>万股股份转让给李红。本次股份转让完成后及至本回复出具日，北洋天青的股权结构如下：</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4"/>
        <w:gridCol w:w="2335"/>
        <w:gridCol w:w="2800"/>
        <w:gridCol w:w="2393"/>
      </w:tblGrid>
      <w:tr w:rsidR="000A0ACD" w14:paraId="6BDD1AA5" w14:textId="77777777">
        <w:trPr>
          <w:cantSplit/>
          <w:trHeight w:val="397"/>
          <w:tblHeader/>
          <w:jc w:val="center"/>
        </w:trPr>
        <w:tc>
          <w:tcPr>
            <w:tcW w:w="583" w:type="pct"/>
            <w:vAlign w:val="center"/>
          </w:tcPr>
          <w:p w14:paraId="4EDAE1FB" w14:textId="77777777" w:rsidR="000A0ACD" w:rsidRDefault="00362A99">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序号</w:t>
            </w:r>
          </w:p>
        </w:tc>
        <w:tc>
          <w:tcPr>
            <w:tcW w:w="1370" w:type="pct"/>
            <w:vAlign w:val="center"/>
          </w:tcPr>
          <w:p w14:paraId="3E1C3226" w14:textId="77777777" w:rsidR="000A0ACD" w:rsidRDefault="00362A99">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股东</w:t>
            </w:r>
          </w:p>
        </w:tc>
        <w:tc>
          <w:tcPr>
            <w:tcW w:w="1643" w:type="pct"/>
            <w:vAlign w:val="center"/>
          </w:tcPr>
          <w:p w14:paraId="5ABCBF15" w14:textId="77777777" w:rsidR="000A0ACD" w:rsidRDefault="00362A99">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持股数（股）</w:t>
            </w:r>
          </w:p>
        </w:tc>
        <w:tc>
          <w:tcPr>
            <w:tcW w:w="1404" w:type="pct"/>
            <w:vAlign w:val="center"/>
          </w:tcPr>
          <w:p w14:paraId="15FB7C52" w14:textId="77777777" w:rsidR="000A0ACD" w:rsidRDefault="00362A99">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持股比例（</w:t>
            </w:r>
            <w:r>
              <w:rPr>
                <w:rFonts w:ascii="Times New Roman" w:hAnsi="Times New Roman" w:cs="Times New Roman" w:hint="eastAsia"/>
                <w:b/>
                <w:color w:val="000000"/>
                <w:sz w:val="21"/>
                <w:szCs w:val="21"/>
              </w:rPr>
              <w:t>%</w:t>
            </w:r>
            <w:r>
              <w:rPr>
                <w:rFonts w:ascii="Times New Roman" w:hAnsi="Times New Roman" w:cs="Times New Roman" w:hint="eastAsia"/>
                <w:b/>
                <w:color w:val="000000"/>
                <w:sz w:val="21"/>
                <w:szCs w:val="21"/>
              </w:rPr>
              <w:t>）</w:t>
            </w:r>
          </w:p>
        </w:tc>
      </w:tr>
      <w:tr w:rsidR="000A0ACD" w14:paraId="3F48BBBC" w14:textId="77777777">
        <w:trPr>
          <w:cantSplit/>
          <w:trHeight w:val="397"/>
          <w:jc w:val="center"/>
        </w:trPr>
        <w:tc>
          <w:tcPr>
            <w:tcW w:w="583" w:type="pct"/>
            <w:shd w:val="clear" w:color="auto" w:fill="FFFFFF"/>
            <w:vAlign w:val="center"/>
          </w:tcPr>
          <w:p w14:paraId="1C542960"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1</w:t>
            </w:r>
          </w:p>
        </w:tc>
        <w:tc>
          <w:tcPr>
            <w:tcW w:w="1370" w:type="pct"/>
            <w:shd w:val="clear" w:color="auto" w:fill="FFFFFF"/>
            <w:vAlign w:val="center"/>
          </w:tcPr>
          <w:p w14:paraId="63C3FE0C"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李红</w:t>
            </w:r>
          </w:p>
        </w:tc>
        <w:tc>
          <w:tcPr>
            <w:tcW w:w="1643" w:type="pct"/>
            <w:shd w:val="clear" w:color="auto" w:fill="FFFFFF"/>
            <w:vAlign w:val="center"/>
          </w:tcPr>
          <w:p w14:paraId="70F5F8B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9,087,854</w:t>
            </w:r>
          </w:p>
        </w:tc>
        <w:tc>
          <w:tcPr>
            <w:tcW w:w="1404" w:type="pct"/>
            <w:shd w:val="clear" w:color="auto" w:fill="FFFFFF"/>
            <w:vAlign w:val="center"/>
          </w:tcPr>
          <w:p w14:paraId="27533C9B"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45.75</w:t>
            </w:r>
          </w:p>
        </w:tc>
      </w:tr>
      <w:tr w:rsidR="000A0ACD" w14:paraId="06261B66" w14:textId="77777777">
        <w:trPr>
          <w:cantSplit/>
          <w:trHeight w:val="397"/>
          <w:jc w:val="center"/>
        </w:trPr>
        <w:tc>
          <w:tcPr>
            <w:tcW w:w="583" w:type="pct"/>
            <w:shd w:val="clear" w:color="auto" w:fill="FFFFFF"/>
            <w:vAlign w:val="center"/>
          </w:tcPr>
          <w:p w14:paraId="6456E25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370" w:type="pct"/>
            <w:shd w:val="clear" w:color="auto" w:fill="FFFFFF"/>
            <w:vAlign w:val="center"/>
          </w:tcPr>
          <w:p w14:paraId="743591D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赵庆</w:t>
            </w:r>
          </w:p>
        </w:tc>
        <w:tc>
          <w:tcPr>
            <w:tcW w:w="1643" w:type="pct"/>
            <w:shd w:val="clear" w:color="auto" w:fill="FFFFFF"/>
            <w:vAlign w:val="center"/>
          </w:tcPr>
          <w:p w14:paraId="462909C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2,774,229</w:t>
            </w:r>
          </w:p>
        </w:tc>
        <w:tc>
          <w:tcPr>
            <w:tcW w:w="1404" w:type="pct"/>
            <w:shd w:val="clear" w:color="auto" w:fill="FFFFFF"/>
            <w:vAlign w:val="center"/>
          </w:tcPr>
          <w:p w14:paraId="2F69BA8A"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13.97</w:t>
            </w:r>
          </w:p>
        </w:tc>
      </w:tr>
      <w:tr w:rsidR="000A0ACD" w14:paraId="4989D3BF" w14:textId="77777777">
        <w:trPr>
          <w:cantSplit/>
          <w:trHeight w:val="397"/>
          <w:jc w:val="center"/>
        </w:trPr>
        <w:tc>
          <w:tcPr>
            <w:tcW w:w="583" w:type="pct"/>
            <w:shd w:val="clear" w:color="auto" w:fill="FFFFFF"/>
            <w:vAlign w:val="center"/>
          </w:tcPr>
          <w:p w14:paraId="7EF5D4A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370" w:type="pct"/>
            <w:shd w:val="clear" w:color="auto" w:fill="FFFFFF"/>
            <w:vAlign w:val="center"/>
          </w:tcPr>
          <w:p w14:paraId="37ECA24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青岛艾特诺</w:t>
            </w:r>
          </w:p>
        </w:tc>
        <w:tc>
          <w:tcPr>
            <w:tcW w:w="1643" w:type="pct"/>
            <w:shd w:val="clear" w:color="auto" w:fill="FFFFFF"/>
            <w:vAlign w:val="center"/>
          </w:tcPr>
          <w:p w14:paraId="0C1B395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1,987,942</w:t>
            </w:r>
          </w:p>
        </w:tc>
        <w:tc>
          <w:tcPr>
            <w:tcW w:w="1404" w:type="pct"/>
            <w:shd w:val="clear" w:color="auto" w:fill="FFFFFF"/>
            <w:vAlign w:val="center"/>
          </w:tcPr>
          <w:p w14:paraId="0B72ADFF"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10.01</w:t>
            </w:r>
          </w:p>
        </w:tc>
      </w:tr>
      <w:tr w:rsidR="000A0ACD" w14:paraId="6092E828" w14:textId="77777777">
        <w:trPr>
          <w:cantSplit/>
          <w:trHeight w:val="397"/>
          <w:jc w:val="center"/>
        </w:trPr>
        <w:tc>
          <w:tcPr>
            <w:tcW w:w="583" w:type="pct"/>
            <w:shd w:val="clear" w:color="auto" w:fill="FFFFFF"/>
            <w:vAlign w:val="center"/>
          </w:tcPr>
          <w:p w14:paraId="478D247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370" w:type="pct"/>
            <w:shd w:val="clear" w:color="auto" w:fill="FFFFFF"/>
            <w:vAlign w:val="center"/>
          </w:tcPr>
          <w:p w14:paraId="0CBDFB6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杨平</w:t>
            </w:r>
          </w:p>
        </w:tc>
        <w:tc>
          <w:tcPr>
            <w:tcW w:w="1643" w:type="pct"/>
            <w:shd w:val="clear" w:color="auto" w:fill="FFFFFF"/>
            <w:vAlign w:val="center"/>
          </w:tcPr>
          <w:p w14:paraId="6F61402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1,834,289</w:t>
            </w:r>
          </w:p>
        </w:tc>
        <w:tc>
          <w:tcPr>
            <w:tcW w:w="1404" w:type="pct"/>
            <w:shd w:val="clear" w:color="auto" w:fill="FFFFFF"/>
            <w:vAlign w:val="center"/>
          </w:tcPr>
          <w:p w14:paraId="00E8084B" w14:textId="5E8807EA"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9.2</w:t>
            </w:r>
            <w:r>
              <w:rPr>
                <w:rFonts w:ascii="Times New Roman" w:eastAsia="等线" w:hAnsi="Times New Roman" w:cs="Times New Roman" w:hint="eastAsia"/>
                <w:color w:val="000000"/>
                <w:sz w:val="21"/>
                <w:szCs w:val="21"/>
              </w:rPr>
              <w:t>3</w:t>
            </w:r>
          </w:p>
        </w:tc>
      </w:tr>
      <w:tr w:rsidR="000A0ACD" w14:paraId="1E1A3A07" w14:textId="77777777">
        <w:trPr>
          <w:cantSplit/>
          <w:trHeight w:val="397"/>
          <w:jc w:val="center"/>
        </w:trPr>
        <w:tc>
          <w:tcPr>
            <w:tcW w:w="583" w:type="pct"/>
            <w:shd w:val="clear" w:color="auto" w:fill="FFFFFF"/>
            <w:vAlign w:val="center"/>
          </w:tcPr>
          <w:p w14:paraId="7EE1283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370" w:type="pct"/>
            <w:shd w:val="clear" w:color="auto" w:fill="FFFFFF"/>
            <w:vAlign w:val="center"/>
          </w:tcPr>
          <w:p w14:paraId="1ED18C1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王晓晖</w:t>
            </w:r>
          </w:p>
        </w:tc>
        <w:tc>
          <w:tcPr>
            <w:tcW w:w="1643" w:type="pct"/>
            <w:shd w:val="clear" w:color="auto" w:fill="FFFFFF"/>
            <w:vAlign w:val="center"/>
          </w:tcPr>
          <w:p w14:paraId="67F7553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1,713,286</w:t>
            </w:r>
          </w:p>
        </w:tc>
        <w:tc>
          <w:tcPr>
            <w:tcW w:w="1404" w:type="pct"/>
            <w:shd w:val="clear" w:color="auto" w:fill="FFFFFF"/>
            <w:vAlign w:val="center"/>
          </w:tcPr>
          <w:p w14:paraId="168C4405"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8.63</w:t>
            </w:r>
          </w:p>
        </w:tc>
      </w:tr>
      <w:tr w:rsidR="000A0ACD" w14:paraId="528B2A17" w14:textId="77777777">
        <w:trPr>
          <w:cantSplit/>
          <w:trHeight w:val="397"/>
          <w:jc w:val="center"/>
        </w:trPr>
        <w:tc>
          <w:tcPr>
            <w:tcW w:w="583" w:type="pct"/>
            <w:shd w:val="clear" w:color="auto" w:fill="FFFFFF"/>
            <w:vAlign w:val="center"/>
          </w:tcPr>
          <w:p w14:paraId="6F30D99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370" w:type="pct"/>
            <w:shd w:val="clear" w:color="auto" w:fill="FFFFFF"/>
            <w:vAlign w:val="center"/>
          </w:tcPr>
          <w:p w14:paraId="40182E6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夏涛</w:t>
            </w:r>
          </w:p>
        </w:tc>
        <w:tc>
          <w:tcPr>
            <w:tcW w:w="1643" w:type="pct"/>
            <w:shd w:val="clear" w:color="auto" w:fill="FFFFFF"/>
            <w:vAlign w:val="center"/>
          </w:tcPr>
          <w:p w14:paraId="7AB9EAD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683,761</w:t>
            </w:r>
          </w:p>
        </w:tc>
        <w:tc>
          <w:tcPr>
            <w:tcW w:w="1404" w:type="pct"/>
            <w:shd w:val="clear" w:color="auto" w:fill="FFFFFF"/>
            <w:vAlign w:val="center"/>
          </w:tcPr>
          <w:p w14:paraId="4972C20C"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3.44</w:t>
            </w:r>
          </w:p>
        </w:tc>
      </w:tr>
      <w:tr w:rsidR="000A0ACD" w14:paraId="1E32B7DF" w14:textId="77777777">
        <w:trPr>
          <w:cantSplit/>
          <w:trHeight w:val="397"/>
          <w:jc w:val="center"/>
        </w:trPr>
        <w:tc>
          <w:tcPr>
            <w:tcW w:w="583" w:type="pct"/>
            <w:shd w:val="clear" w:color="auto" w:fill="FFFFFF"/>
            <w:vAlign w:val="center"/>
          </w:tcPr>
          <w:p w14:paraId="3FDA852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370" w:type="pct"/>
            <w:shd w:val="clear" w:color="auto" w:fill="FFFFFF"/>
            <w:vAlign w:val="center"/>
          </w:tcPr>
          <w:p w14:paraId="3D32157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王华东</w:t>
            </w:r>
          </w:p>
        </w:tc>
        <w:tc>
          <w:tcPr>
            <w:tcW w:w="1643" w:type="pct"/>
            <w:shd w:val="clear" w:color="auto" w:fill="FFFFFF"/>
            <w:vAlign w:val="center"/>
          </w:tcPr>
          <w:p w14:paraId="456F0F5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683,761</w:t>
            </w:r>
          </w:p>
        </w:tc>
        <w:tc>
          <w:tcPr>
            <w:tcW w:w="1404" w:type="pct"/>
            <w:shd w:val="clear" w:color="auto" w:fill="FFFFFF"/>
            <w:vAlign w:val="center"/>
          </w:tcPr>
          <w:p w14:paraId="50AD2A0B"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3.44</w:t>
            </w:r>
          </w:p>
        </w:tc>
      </w:tr>
      <w:tr w:rsidR="000A0ACD" w14:paraId="1105CD92" w14:textId="77777777">
        <w:trPr>
          <w:cantSplit/>
          <w:trHeight w:val="397"/>
          <w:jc w:val="center"/>
        </w:trPr>
        <w:tc>
          <w:tcPr>
            <w:tcW w:w="583" w:type="pct"/>
            <w:shd w:val="clear" w:color="auto" w:fill="FFFFFF"/>
            <w:vAlign w:val="center"/>
          </w:tcPr>
          <w:p w14:paraId="1AC4B19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370" w:type="pct"/>
            <w:shd w:val="clear" w:color="auto" w:fill="FFFFFF"/>
            <w:vAlign w:val="center"/>
          </w:tcPr>
          <w:p w14:paraId="06DEB87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钱雨嫣</w:t>
            </w:r>
          </w:p>
        </w:tc>
        <w:tc>
          <w:tcPr>
            <w:tcW w:w="1643" w:type="pct"/>
            <w:shd w:val="clear" w:color="auto" w:fill="FFFFFF"/>
            <w:vAlign w:val="center"/>
          </w:tcPr>
          <w:p w14:paraId="295689D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341,880</w:t>
            </w:r>
          </w:p>
        </w:tc>
        <w:tc>
          <w:tcPr>
            <w:tcW w:w="1404" w:type="pct"/>
            <w:shd w:val="clear" w:color="auto" w:fill="FFFFFF"/>
            <w:vAlign w:val="center"/>
          </w:tcPr>
          <w:p w14:paraId="77F1C454"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1.72</w:t>
            </w:r>
          </w:p>
        </w:tc>
      </w:tr>
      <w:tr w:rsidR="000A0ACD" w14:paraId="2776872A" w14:textId="77777777">
        <w:trPr>
          <w:cantSplit/>
          <w:trHeight w:val="397"/>
          <w:jc w:val="center"/>
        </w:trPr>
        <w:tc>
          <w:tcPr>
            <w:tcW w:w="583" w:type="pct"/>
            <w:shd w:val="clear" w:color="auto" w:fill="FFFFFF"/>
            <w:vAlign w:val="center"/>
          </w:tcPr>
          <w:p w14:paraId="26AC01A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1370" w:type="pct"/>
            <w:shd w:val="clear" w:color="auto" w:fill="FFFFFF"/>
            <w:vAlign w:val="center"/>
          </w:tcPr>
          <w:p w14:paraId="2FC9270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肖中海</w:t>
            </w:r>
          </w:p>
        </w:tc>
        <w:tc>
          <w:tcPr>
            <w:tcW w:w="1643" w:type="pct"/>
            <w:shd w:val="clear" w:color="auto" w:fill="FFFFFF"/>
            <w:vAlign w:val="center"/>
          </w:tcPr>
          <w:p w14:paraId="52EC42C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200,000</w:t>
            </w:r>
          </w:p>
        </w:tc>
        <w:tc>
          <w:tcPr>
            <w:tcW w:w="1404" w:type="pct"/>
            <w:shd w:val="clear" w:color="auto" w:fill="FFFFFF"/>
            <w:vAlign w:val="center"/>
          </w:tcPr>
          <w:p w14:paraId="4CCB1F24"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1.01</w:t>
            </w:r>
          </w:p>
        </w:tc>
      </w:tr>
      <w:tr w:rsidR="000A0ACD" w14:paraId="3230DAC2" w14:textId="77777777">
        <w:trPr>
          <w:cantSplit/>
          <w:trHeight w:val="397"/>
          <w:jc w:val="center"/>
        </w:trPr>
        <w:tc>
          <w:tcPr>
            <w:tcW w:w="583" w:type="pct"/>
            <w:shd w:val="clear" w:color="auto" w:fill="FFFFFF"/>
            <w:vAlign w:val="center"/>
          </w:tcPr>
          <w:p w14:paraId="092C1CF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1370" w:type="pct"/>
            <w:shd w:val="clear" w:color="auto" w:fill="FFFFFF"/>
            <w:vAlign w:val="center"/>
          </w:tcPr>
          <w:p w14:paraId="7C6101B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修军</w:t>
            </w:r>
          </w:p>
        </w:tc>
        <w:tc>
          <w:tcPr>
            <w:tcW w:w="1643" w:type="pct"/>
            <w:shd w:val="clear" w:color="auto" w:fill="FFFFFF"/>
            <w:vAlign w:val="center"/>
          </w:tcPr>
          <w:p w14:paraId="308C4B6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178,571</w:t>
            </w:r>
          </w:p>
        </w:tc>
        <w:tc>
          <w:tcPr>
            <w:tcW w:w="1404" w:type="pct"/>
            <w:shd w:val="clear" w:color="auto" w:fill="FFFFFF"/>
            <w:vAlign w:val="center"/>
          </w:tcPr>
          <w:p w14:paraId="1134D089"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0.90</w:t>
            </w:r>
          </w:p>
        </w:tc>
      </w:tr>
      <w:tr w:rsidR="000A0ACD" w14:paraId="584C7BF6" w14:textId="77777777">
        <w:trPr>
          <w:cantSplit/>
          <w:trHeight w:val="397"/>
          <w:jc w:val="center"/>
        </w:trPr>
        <w:tc>
          <w:tcPr>
            <w:tcW w:w="583" w:type="pct"/>
            <w:shd w:val="clear" w:color="auto" w:fill="FFFFFF"/>
            <w:vAlign w:val="center"/>
          </w:tcPr>
          <w:p w14:paraId="174506C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1370" w:type="pct"/>
            <w:shd w:val="clear" w:color="auto" w:fill="FFFFFF"/>
            <w:vAlign w:val="center"/>
          </w:tcPr>
          <w:p w14:paraId="4E2243B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傅敦</w:t>
            </w:r>
          </w:p>
        </w:tc>
        <w:tc>
          <w:tcPr>
            <w:tcW w:w="1643" w:type="pct"/>
            <w:shd w:val="clear" w:color="auto" w:fill="FFFFFF"/>
            <w:vAlign w:val="center"/>
          </w:tcPr>
          <w:p w14:paraId="138C45C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128,571</w:t>
            </w:r>
          </w:p>
        </w:tc>
        <w:tc>
          <w:tcPr>
            <w:tcW w:w="1404" w:type="pct"/>
            <w:shd w:val="clear" w:color="auto" w:fill="FFFFFF"/>
            <w:vAlign w:val="center"/>
          </w:tcPr>
          <w:p w14:paraId="075EBB84"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0.65</w:t>
            </w:r>
          </w:p>
        </w:tc>
      </w:tr>
      <w:tr w:rsidR="000A0ACD" w14:paraId="2C862CB1" w14:textId="77777777">
        <w:trPr>
          <w:cantSplit/>
          <w:trHeight w:val="397"/>
          <w:jc w:val="center"/>
        </w:trPr>
        <w:tc>
          <w:tcPr>
            <w:tcW w:w="583" w:type="pct"/>
            <w:shd w:val="clear" w:color="auto" w:fill="FFFFFF"/>
            <w:vAlign w:val="center"/>
          </w:tcPr>
          <w:p w14:paraId="093C716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1370" w:type="pct"/>
            <w:shd w:val="clear" w:color="auto" w:fill="FFFFFF"/>
            <w:vAlign w:val="center"/>
          </w:tcPr>
          <w:p w14:paraId="6ED61DA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陈政言</w:t>
            </w:r>
          </w:p>
        </w:tc>
        <w:tc>
          <w:tcPr>
            <w:tcW w:w="1643" w:type="pct"/>
            <w:shd w:val="clear" w:color="auto" w:fill="FFFFFF"/>
            <w:vAlign w:val="center"/>
          </w:tcPr>
          <w:p w14:paraId="273C8F3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128,205</w:t>
            </w:r>
          </w:p>
        </w:tc>
        <w:tc>
          <w:tcPr>
            <w:tcW w:w="1404" w:type="pct"/>
            <w:shd w:val="clear" w:color="auto" w:fill="FFFFFF"/>
            <w:vAlign w:val="center"/>
          </w:tcPr>
          <w:p w14:paraId="594E50FF"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0.65</w:t>
            </w:r>
          </w:p>
        </w:tc>
      </w:tr>
      <w:tr w:rsidR="000A0ACD" w14:paraId="3B6A37B3" w14:textId="77777777">
        <w:trPr>
          <w:cantSplit/>
          <w:trHeight w:val="397"/>
          <w:jc w:val="center"/>
        </w:trPr>
        <w:tc>
          <w:tcPr>
            <w:tcW w:w="583" w:type="pct"/>
            <w:shd w:val="clear" w:color="auto" w:fill="FFFFFF"/>
            <w:vAlign w:val="center"/>
          </w:tcPr>
          <w:p w14:paraId="326D44E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1370" w:type="pct"/>
            <w:shd w:val="clear" w:color="auto" w:fill="FFFFFF"/>
            <w:vAlign w:val="center"/>
          </w:tcPr>
          <w:p w14:paraId="24F98AD8"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张利</w:t>
            </w:r>
          </w:p>
        </w:tc>
        <w:tc>
          <w:tcPr>
            <w:tcW w:w="1643" w:type="pct"/>
            <w:shd w:val="clear" w:color="auto" w:fill="FFFFFF"/>
            <w:vAlign w:val="center"/>
          </w:tcPr>
          <w:p w14:paraId="14503F0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w:t>
            </w:r>
          </w:p>
        </w:tc>
        <w:tc>
          <w:tcPr>
            <w:tcW w:w="1404" w:type="pct"/>
            <w:shd w:val="clear" w:color="auto" w:fill="FFFFFF"/>
            <w:vAlign w:val="center"/>
          </w:tcPr>
          <w:p w14:paraId="658F097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0.34</w:t>
            </w:r>
          </w:p>
        </w:tc>
      </w:tr>
      <w:tr w:rsidR="000A0ACD" w14:paraId="52E560A3" w14:textId="77777777">
        <w:trPr>
          <w:cantSplit/>
          <w:trHeight w:val="397"/>
          <w:jc w:val="center"/>
        </w:trPr>
        <w:tc>
          <w:tcPr>
            <w:tcW w:w="583" w:type="pct"/>
            <w:shd w:val="clear" w:color="auto" w:fill="FFFFFF"/>
            <w:vAlign w:val="center"/>
          </w:tcPr>
          <w:p w14:paraId="74E7AD55"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14</w:t>
            </w:r>
          </w:p>
        </w:tc>
        <w:tc>
          <w:tcPr>
            <w:tcW w:w="1370" w:type="pct"/>
            <w:shd w:val="clear" w:color="auto" w:fill="FFFFFF"/>
            <w:vAlign w:val="center"/>
          </w:tcPr>
          <w:p w14:paraId="76F197E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徐炳雷</w:t>
            </w:r>
          </w:p>
        </w:tc>
        <w:tc>
          <w:tcPr>
            <w:tcW w:w="1643" w:type="pct"/>
            <w:shd w:val="clear" w:color="auto" w:fill="FFFFFF"/>
            <w:vAlign w:val="center"/>
          </w:tcPr>
          <w:p w14:paraId="2D5C724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44,444</w:t>
            </w:r>
          </w:p>
        </w:tc>
        <w:tc>
          <w:tcPr>
            <w:tcW w:w="1404" w:type="pct"/>
            <w:shd w:val="clear" w:color="auto" w:fill="FFFFFF"/>
            <w:vAlign w:val="center"/>
          </w:tcPr>
          <w:p w14:paraId="4E98B1AF"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0.22</w:t>
            </w:r>
          </w:p>
        </w:tc>
      </w:tr>
      <w:tr w:rsidR="000A0ACD" w14:paraId="59C2D7DB" w14:textId="77777777">
        <w:trPr>
          <w:cantSplit/>
          <w:trHeight w:val="397"/>
          <w:jc w:val="center"/>
        </w:trPr>
        <w:tc>
          <w:tcPr>
            <w:tcW w:w="583" w:type="pct"/>
            <w:shd w:val="clear" w:color="auto" w:fill="FFFFFF"/>
            <w:vAlign w:val="center"/>
          </w:tcPr>
          <w:p w14:paraId="44B933C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1370" w:type="pct"/>
            <w:shd w:val="clear" w:color="auto" w:fill="FFFFFF"/>
            <w:vAlign w:val="center"/>
          </w:tcPr>
          <w:p w14:paraId="1004BFC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阳伦胜</w:t>
            </w:r>
          </w:p>
        </w:tc>
        <w:tc>
          <w:tcPr>
            <w:tcW w:w="1643" w:type="pct"/>
            <w:shd w:val="clear" w:color="auto" w:fill="FFFFFF"/>
            <w:vAlign w:val="center"/>
          </w:tcPr>
          <w:p w14:paraId="213DDE4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5D853158"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0A0ACD" w14:paraId="11CC3F13" w14:textId="77777777">
        <w:trPr>
          <w:cantSplit/>
          <w:trHeight w:val="397"/>
          <w:jc w:val="center"/>
        </w:trPr>
        <w:tc>
          <w:tcPr>
            <w:tcW w:w="583" w:type="pct"/>
            <w:shd w:val="clear" w:color="auto" w:fill="FFFFFF"/>
            <w:vAlign w:val="center"/>
          </w:tcPr>
          <w:p w14:paraId="22DFD31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1370" w:type="pct"/>
            <w:shd w:val="clear" w:color="auto" w:fill="FFFFFF"/>
            <w:vAlign w:val="center"/>
          </w:tcPr>
          <w:p w14:paraId="7FB0D2D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辛兰</w:t>
            </w:r>
          </w:p>
        </w:tc>
        <w:tc>
          <w:tcPr>
            <w:tcW w:w="1643" w:type="pct"/>
            <w:shd w:val="clear" w:color="auto" w:fill="FFFFFF"/>
            <w:vAlign w:val="center"/>
          </w:tcPr>
          <w:p w14:paraId="3D96887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52FEBE0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0A0ACD" w14:paraId="3E544122" w14:textId="77777777">
        <w:trPr>
          <w:cantSplit/>
          <w:trHeight w:val="397"/>
          <w:jc w:val="center"/>
        </w:trPr>
        <w:tc>
          <w:tcPr>
            <w:tcW w:w="583" w:type="pct"/>
            <w:shd w:val="clear" w:color="auto" w:fill="FFFFFF"/>
            <w:vAlign w:val="center"/>
          </w:tcPr>
          <w:p w14:paraId="639C886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17</w:t>
            </w:r>
          </w:p>
        </w:tc>
        <w:tc>
          <w:tcPr>
            <w:tcW w:w="1370" w:type="pct"/>
            <w:shd w:val="clear" w:color="auto" w:fill="FFFFFF"/>
            <w:vAlign w:val="center"/>
          </w:tcPr>
          <w:p w14:paraId="0729C2B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英入才</w:t>
            </w:r>
          </w:p>
        </w:tc>
        <w:tc>
          <w:tcPr>
            <w:tcW w:w="1643" w:type="pct"/>
            <w:shd w:val="clear" w:color="auto" w:fill="FFFFFF"/>
            <w:vAlign w:val="center"/>
          </w:tcPr>
          <w:p w14:paraId="681FC48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25C2D438"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0A0ACD" w14:paraId="675215E6" w14:textId="77777777">
        <w:trPr>
          <w:cantSplit/>
          <w:trHeight w:val="397"/>
          <w:jc w:val="center"/>
        </w:trPr>
        <w:tc>
          <w:tcPr>
            <w:tcW w:w="583" w:type="pct"/>
            <w:shd w:val="clear" w:color="auto" w:fill="FFFFFF"/>
            <w:vAlign w:val="center"/>
          </w:tcPr>
          <w:p w14:paraId="4153988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1370" w:type="pct"/>
            <w:shd w:val="clear" w:color="auto" w:fill="FFFFFF"/>
            <w:vAlign w:val="center"/>
          </w:tcPr>
          <w:p w14:paraId="3F106C4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李祥华</w:t>
            </w:r>
          </w:p>
        </w:tc>
        <w:tc>
          <w:tcPr>
            <w:tcW w:w="1643" w:type="pct"/>
            <w:shd w:val="clear" w:color="auto" w:fill="FFFFFF"/>
            <w:vAlign w:val="center"/>
          </w:tcPr>
          <w:p w14:paraId="7417DBA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1404" w:type="pct"/>
            <w:shd w:val="clear" w:color="auto" w:fill="FFFFFF"/>
            <w:vAlign w:val="center"/>
          </w:tcPr>
          <w:p w14:paraId="525378E7"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0A0ACD" w14:paraId="708471EF" w14:textId="77777777">
        <w:trPr>
          <w:cantSplit/>
          <w:trHeight w:val="397"/>
          <w:jc w:val="center"/>
        </w:trPr>
        <w:tc>
          <w:tcPr>
            <w:tcW w:w="583" w:type="pct"/>
            <w:shd w:val="clear" w:color="auto" w:fill="FFFFFF"/>
            <w:vAlign w:val="center"/>
          </w:tcPr>
          <w:p w14:paraId="531F0C8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1370" w:type="pct"/>
            <w:shd w:val="clear" w:color="auto" w:fill="FFFFFF"/>
            <w:vAlign w:val="center"/>
          </w:tcPr>
          <w:p w14:paraId="6931113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钱祥丰</w:t>
            </w:r>
          </w:p>
        </w:tc>
        <w:tc>
          <w:tcPr>
            <w:tcW w:w="1643" w:type="pct"/>
            <w:shd w:val="clear" w:color="auto" w:fill="FFFFFF"/>
            <w:vAlign w:val="center"/>
          </w:tcPr>
          <w:p w14:paraId="1A6ECB0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1404" w:type="pct"/>
            <w:shd w:val="clear" w:color="auto" w:fill="FFFFFF"/>
            <w:vAlign w:val="center"/>
          </w:tcPr>
          <w:p w14:paraId="276F3657"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0A0ACD" w14:paraId="3D2FBA30" w14:textId="77777777">
        <w:trPr>
          <w:cantSplit/>
          <w:trHeight w:val="397"/>
          <w:jc w:val="center"/>
        </w:trPr>
        <w:tc>
          <w:tcPr>
            <w:tcW w:w="583" w:type="pct"/>
            <w:shd w:val="clear" w:color="auto" w:fill="FFFFFF"/>
            <w:vAlign w:val="center"/>
          </w:tcPr>
          <w:p w14:paraId="2413BED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1370" w:type="pct"/>
            <w:shd w:val="clear" w:color="auto" w:fill="FFFFFF"/>
            <w:vAlign w:val="center"/>
          </w:tcPr>
          <w:p w14:paraId="248DBA1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李威</w:t>
            </w:r>
          </w:p>
        </w:tc>
        <w:tc>
          <w:tcPr>
            <w:tcW w:w="1643" w:type="pct"/>
            <w:shd w:val="clear" w:color="auto" w:fill="FFFFFF"/>
            <w:vAlign w:val="center"/>
          </w:tcPr>
          <w:p w14:paraId="6C28D8B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504</w:t>
            </w:r>
          </w:p>
        </w:tc>
        <w:tc>
          <w:tcPr>
            <w:tcW w:w="1404" w:type="pct"/>
            <w:shd w:val="clear" w:color="auto" w:fill="FFFFFF"/>
            <w:vAlign w:val="center"/>
          </w:tcPr>
          <w:p w14:paraId="760F1F46"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0.0025</w:t>
            </w:r>
          </w:p>
        </w:tc>
      </w:tr>
      <w:tr w:rsidR="000A0ACD" w14:paraId="2955B780" w14:textId="77777777">
        <w:trPr>
          <w:cantSplit/>
          <w:trHeight w:val="397"/>
          <w:jc w:val="center"/>
        </w:trPr>
        <w:tc>
          <w:tcPr>
            <w:tcW w:w="1953" w:type="pct"/>
            <w:gridSpan w:val="2"/>
            <w:vAlign w:val="center"/>
          </w:tcPr>
          <w:p w14:paraId="6B06A3B8"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643" w:type="pct"/>
            <w:vAlign w:val="center"/>
          </w:tcPr>
          <w:p w14:paraId="78C3B357"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19,862,800</w:t>
            </w:r>
          </w:p>
        </w:tc>
        <w:tc>
          <w:tcPr>
            <w:tcW w:w="1404" w:type="pct"/>
            <w:vAlign w:val="center"/>
          </w:tcPr>
          <w:p w14:paraId="06C4073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b/>
                <w:bCs/>
                <w:color w:val="000000"/>
                <w:sz w:val="21"/>
                <w:szCs w:val="21"/>
              </w:rPr>
              <w:t>100.0000</w:t>
            </w:r>
          </w:p>
        </w:tc>
      </w:tr>
    </w:tbl>
    <w:p w14:paraId="586D8044"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（二）报告期内标的公司的董事会人员构成及其变化情况</w:t>
      </w:r>
    </w:p>
    <w:p w14:paraId="7BDE9794" w14:textId="0309F2D5" w:rsidR="000A0ACD" w:rsidRDefault="00722E5D">
      <w:pPr>
        <w:spacing w:beforeLines="50" w:before="156" w:line="360" w:lineRule="auto"/>
        <w:ind w:firstLineChars="200" w:firstLine="480"/>
        <w:jc w:val="both"/>
        <w:rPr>
          <w:rFonts w:ascii="Times New Roman" w:hAnsi="Times New Roman" w:cs="Times New Roman"/>
          <w:bCs/>
          <w:color w:val="000000"/>
          <w:szCs w:val="21"/>
        </w:rPr>
      </w:pPr>
      <w:r w:rsidRPr="00701684">
        <w:rPr>
          <w:rFonts w:ascii="Times New Roman" w:hAnsi="Times New Roman" w:hint="eastAsia"/>
          <w:bCs/>
          <w:color w:val="000000"/>
        </w:rPr>
        <w:t>2018</w:t>
      </w:r>
      <w:r w:rsidRPr="00701684">
        <w:rPr>
          <w:rFonts w:ascii="Times New Roman" w:hAnsi="Times New Roman" w:hint="eastAsia"/>
          <w:bCs/>
          <w:color w:val="000000"/>
        </w:rPr>
        <w:t>年初，标的公司的董事会成员分别为董事长赵庆、董事黄晓峰、董事李红、董事杨平、董事陶峰。</w:t>
      </w:r>
      <w:r w:rsidR="00362A99">
        <w:rPr>
          <w:rFonts w:ascii="Times New Roman" w:hAnsi="Times New Roman" w:cs="Times New Roman" w:hint="eastAsia"/>
          <w:bCs/>
          <w:color w:val="000000"/>
          <w:szCs w:val="21"/>
        </w:rPr>
        <w:t>截至本回复出具日，标的公司董事会人员未发生变化。</w:t>
      </w:r>
    </w:p>
    <w:p w14:paraId="2569F1AB"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（三）报告期内标的公司的监事会人员构成及其变化情况</w:t>
      </w:r>
    </w:p>
    <w:p w14:paraId="6C68EBFC" w14:textId="28FC56BF"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2018</w:t>
      </w:r>
      <w:r>
        <w:rPr>
          <w:rFonts w:ascii="Times New Roman" w:hAnsi="Times New Roman" w:cs="Times New Roman" w:hint="eastAsia"/>
          <w:bCs/>
          <w:color w:val="000000"/>
          <w:szCs w:val="21"/>
        </w:rPr>
        <w:t>年初，标的公司的监事会成员分别为监事会主席周业荣、监事徐炳雷、监事傅敦。截至本回复出具日，标的公司监事会人员未发生变化。</w:t>
      </w:r>
    </w:p>
    <w:p w14:paraId="10320B99"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二、报告期内标的公司股东大会、董事会和监事会运作情况，标的资产是否具备健全有效的法人治理结构</w:t>
      </w:r>
    </w:p>
    <w:p w14:paraId="6AF3B988"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bookmarkStart w:id="44" w:name="_Hlk69812619"/>
      <w:r>
        <w:rPr>
          <w:rFonts w:ascii="Times New Roman" w:hAnsi="Times New Roman" w:cs="Times New Roman" w:hint="eastAsia"/>
          <w:b/>
          <w:color w:val="000000"/>
        </w:rPr>
        <w:t>（一）</w:t>
      </w:r>
      <w:bookmarkStart w:id="45" w:name="_Hlk69371969"/>
      <w:r>
        <w:rPr>
          <w:rFonts w:ascii="Times New Roman" w:hAnsi="Times New Roman" w:cs="Times New Roman" w:hint="eastAsia"/>
          <w:b/>
          <w:color w:val="000000"/>
        </w:rPr>
        <w:t>报告期内标的公司股东大会、董事会和监事会运作情况</w:t>
      </w:r>
      <w:bookmarkEnd w:id="45"/>
    </w:p>
    <w:p w14:paraId="122AE130" w14:textId="713B93DE" w:rsidR="000A0ACD" w:rsidRDefault="008918B1">
      <w:pPr>
        <w:spacing w:beforeLines="50" w:before="156" w:line="360" w:lineRule="auto"/>
        <w:ind w:firstLineChars="200" w:firstLine="480"/>
        <w:jc w:val="both"/>
        <w:rPr>
          <w:rFonts w:ascii="Times New Roman" w:hAnsi="Times New Roman" w:cs="Times New Roman"/>
          <w:bCs/>
          <w:color w:val="000000"/>
          <w:szCs w:val="21"/>
        </w:rPr>
      </w:pPr>
      <w:bookmarkStart w:id="46" w:name="_Hlk69371980"/>
      <w:r w:rsidRPr="00701684">
        <w:rPr>
          <w:rFonts w:ascii="Times New Roman" w:hAnsi="Times New Roman" w:hint="eastAsia"/>
          <w:bCs/>
          <w:color w:val="000000"/>
        </w:rPr>
        <w:t>标的公司按照《公司法》及《公司章程》的规定建立了股东大会、董事会和监事会</w:t>
      </w:r>
      <w:r>
        <w:rPr>
          <w:rFonts w:ascii="Times New Roman" w:hAnsi="Times New Roman" w:hint="eastAsia"/>
          <w:bCs/>
          <w:color w:val="000000"/>
        </w:rPr>
        <w:t>，</w:t>
      </w:r>
      <w:r w:rsidRPr="00701684">
        <w:rPr>
          <w:rFonts w:ascii="Times New Roman" w:hAnsi="Times New Roman" w:hint="eastAsia"/>
          <w:color w:val="000000"/>
        </w:rPr>
        <w:t>制定了《股东大会议事规则》</w:t>
      </w:r>
      <w:r>
        <w:rPr>
          <w:rFonts w:ascii="Times New Roman" w:hAnsi="Times New Roman" w:hint="eastAsia"/>
          <w:color w:val="000000"/>
        </w:rPr>
        <w:t>、《董事会议事规则》</w:t>
      </w:r>
      <w:r w:rsidRPr="00701684">
        <w:rPr>
          <w:rFonts w:ascii="Times New Roman" w:hAnsi="Times New Roman" w:hint="eastAsia"/>
          <w:color w:val="000000"/>
        </w:rPr>
        <w:t>及《监事会议事规则》等制度</w:t>
      </w:r>
      <w:r>
        <w:rPr>
          <w:rFonts w:ascii="Times New Roman" w:hAnsi="Times New Roman" w:hint="eastAsia"/>
          <w:bCs/>
          <w:color w:val="000000"/>
        </w:rPr>
        <w:t>。</w:t>
      </w:r>
      <w:r w:rsidRPr="00701684">
        <w:rPr>
          <w:rFonts w:ascii="Times New Roman" w:hAnsi="Times New Roman" w:hint="eastAsia"/>
          <w:bCs/>
          <w:color w:val="000000"/>
        </w:rPr>
        <w:t>根据标的公司提供的股东大会、董事会、监事会决议及会议记录等文件，自</w:t>
      </w:r>
      <w:r w:rsidRPr="00701684">
        <w:rPr>
          <w:rFonts w:ascii="Times New Roman" w:hAnsi="Times New Roman" w:hint="eastAsia"/>
          <w:bCs/>
          <w:color w:val="000000"/>
        </w:rPr>
        <w:t>2</w:t>
      </w:r>
      <w:r w:rsidRPr="00701684">
        <w:rPr>
          <w:rFonts w:ascii="Times New Roman" w:hAnsi="Times New Roman"/>
          <w:bCs/>
          <w:color w:val="000000"/>
        </w:rPr>
        <w:t>018</w:t>
      </w:r>
      <w:r w:rsidRPr="00701684">
        <w:rPr>
          <w:rFonts w:ascii="Times New Roman" w:hAnsi="Times New Roman" w:hint="eastAsia"/>
          <w:bCs/>
          <w:color w:val="000000"/>
        </w:rPr>
        <w:t>年</w:t>
      </w:r>
      <w:r w:rsidRPr="00701684">
        <w:rPr>
          <w:rFonts w:ascii="Times New Roman" w:hAnsi="Times New Roman" w:hint="eastAsia"/>
          <w:bCs/>
          <w:color w:val="000000"/>
        </w:rPr>
        <w:t>1</w:t>
      </w:r>
      <w:r w:rsidRPr="00701684">
        <w:rPr>
          <w:rFonts w:ascii="Times New Roman" w:hAnsi="Times New Roman" w:hint="eastAsia"/>
          <w:bCs/>
          <w:color w:val="000000"/>
        </w:rPr>
        <w:t>月</w:t>
      </w:r>
      <w:r w:rsidRPr="00701684">
        <w:rPr>
          <w:rFonts w:ascii="Times New Roman" w:hAnsi="Times New Roman" w:hint="eastAsia"/>
          <w:bCs/>
          <w:color w:val="000000"/>
        </w:rPr>
        <w:t>1</w:t>
      </w:r>
      <w:r w:rsidRPr="00701684">
        <w:rPr>
          <w:rFonts w:ascii="Times New Roman" w:hAnsi="Times New Roman" w:hint="eastAsia"/>
          <w:bCs/>
          <w:color w:val="000000"/>
        </w:rPr>
        <w:t>日至今，标的公司共召开了五次股东大会、九次董事会会议和八次监事会会议。</w:t>
      </w:r>
    </w:p>
    <w:p w14:paraId="120DA37D"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受到疫情影响，公司未于</w:t>
      </w:r>
      <w:r>
        <w:rPr>
          <w:rFonts w:ascii="Times New Roman" w:hAnsi="Times New Roman" w:cs="Times New Roman"/>
          <w:bCs/>
          <w:color w:val="000000"/>
          <w:szCs w:val="21"/>
        </w:rPr>
        <w:t>2020</w:t>
      </w:r>
      <w:r>
        <w:rPr>
          <w:rFonts w:ascii="Times New Roman" w:hAnsi="Times New Roman" w:cs="Times New Roman"/>
          <w:bCs/>
          <w:color w:val="000000"/>
          <w:szCs w:val="21"/>
        </w:rPr>
        <w:t>年</w:t>
      </w:r>
      <w:r>
        <w:rPr>
          <w:rFonts w:ascii="Times New Roman" w:hAnsi="Times New Roman" w:cs="Times New Roman"/>
          <w:bCs/>
          <w:color w:val="000000"/>
          <w:szCs w:val="21"/>
        </w:rPr>
        <w:t>6</w:t>
      </w:r>
      <w:r>
        <w:rPr>
          <w:rFonts w:ascii="Times New Roman" w:hAnsi="Times New Roman" w:cs="Times New Roman"/>
          <w:bCs/>
          <w:color w:val="000000"/>
          <w:szCs w:val="21"/>
        </w:rPr>
        <w:t>月份前召开</w:t>
      </w:r>
      <w:r>
        <w:rPr>
          <w:rFonts w:ascii="Times New Roman" w:hAnsi="Times New Roman" w:cs="Times New Roman"/>
          <w:bCs/>
          <w:color w:val="000000"/>
          <w:szCs w:val="21"/>
        </w:rPr>
        <w:t>2019</w:t>
      </w:r>
      <w:r>
        <w:rPr>
          <w:rFonts w:ascii="Times New Roman" w:hAnsi="Times New Roman" w:cs="Times New Roman"/>
          <w:bCs/>
          <w:color w:val="000000"/>
          <w:szCs w:val="21"/>
        </w:rPr>
        <w:t>年度股东大会审议相关议案，不符合标的公司现行公司章程的规定。标的公司已于</w:t>
      </w:r>
      <w:r>
        <w:rPr>
          <w:rFonts w:ascii="Times New Roman" w:hAnsi="Times New Roman" w:cs="Times New Roman"/>
          <w:bCs/>
          <w:color w:val="000000"/>
          <w:szCs w:val="21"/>
        </w:rPr>
        <w:t>2021</w:t>
      </w:r>
      <w:r>
        <w:rPr>
          <w:rFonts w:ascii="Times New Roman" w:hAnsi="Times New Roman" w:cs="Times New Roman"/>
          <w:bCs/>
          <w:color w:val="000000"/>
          <w:szCs w:val="21"/>
        </w:rPr>
        <w:t>年</w:t>
      </w:r>
      <w:r>
        <w:rPr>
          <w:rFonts w:ascii="Times New Roman" w:hAnsi="Times New Roman" w:cs="Times New Roman"/>
          <w:bCs/>
          <w:color w:val="000000"/>
          <w:szCs w:val="21"/>
        </w:rPr>
        <w:t>4</w:t>
      </w:r>
      <w:r>
        <w:rPr>
          <w:rFonts w:ascii="Times New Roman" w:hAnsi="Times New Roman" w:cs="Times New Roman"/>
          <w:bCs/>
          <w:color w:val="000000"/>
          <w:szCs w:val="21"/>
        </w:rPr>
        <w:t>月</w:t>
      </w:r>
      <w:r>
        <w:rPr>
          <w:rFonts w:ascii="Times New Roman" w:hAnsi="Times New Roman" w:cs="Times New Roman" w:hint="eastAsia"/>
          <w:bCs/>
          <w:color w:val="000000"/>
          <w:szCs w:val="21"/>
        </w:rPr>
        <w:t>7</w:t>
      </w:r>
      <w:r>
        <w:rPr>
          <w:rFonts w:ascii="Times New Roman" w:hAnsi="Times New Roman" w:cs="Times New Roman"/>
          <w:bCs/>
          <w:color w:val="000000"/>
          <w:szCs w:val="21"/>
        </w:rPr>
        <w:t>日召开董事会和监事会，并于同日向全体股东发出通知拟于</w:t>
      </w:r>
      <w:r>
        <w:rPr>
          <w:rFonts w:ascii="Times New Roman" w:hAnsi="Times New Roman" w:cs="Times New Roman"/>
          <w:bCs/>
          <w:color w:val="000000"/>
          <w:szCs w:val="21"/>
        </w:rPr>
        <w:t>2021</w:t>
      </w:r>
      <w:r>
        <w:rPr>
          <w:rFonts w:ascii="Times New Roman" w:hAnsi="Times New Roman" w:cs="Times New Roman"/>
          <w:bCs/>
          <w:color w:val="000000"/>
          <w:szCs w:val="21"/>
        </w:rPr>
        <w:t>年</w:t>
      </w:r>
      <w:r>
        <w:rPr>
          <w:rFonts w:ascii="Times New Roman" w:hAnsi="Times New Roman" w:cs="Times New Roman"/>
          <w:bCs/>
          <w:color w:val="000000"/>
          <w:szCs w:val="21"/>
        </w:rPr>
        <w:t>5</w:t>
      </w:r>
      <w:r>
        <w:rPr>
          <w:rFonts w:ascii="Times New Roman" w:hAnsi="Times New Roman" w:cs="Times New Roman"/>
          <w:bCs/>
          <w:color w:val="000000"/>
          <w:szCs w:val="21"/>
        </w:rPr>
        <w:t>月</w:t>
      </w:r>
      <w:r>
        <w:rPr>
          <w:rFonts w:ascii="Times New Roman" w:hAnsi="Times New Roman" w:cs="Times New Roman" w:hint="eastAsia"/>
          <w:bCs/>
          <w:color w:val="000000"/>
          <w:szCs w:val="21"/>
        </w:rPr>
        <w:t>5</w:t>
      </w:r>
      <w:r>
        <w:rPr>
          <w:rFonts w:ascii="Times New Roman" w:hAnsi="Times New Roman" w:cs="Times New Roman"/>
          <w:bCs/>
          <w:color w:val="000000"/>
          <w:szCs w:val="21"/>
        </w:rPr>
        <w:t>日补充召开</w:t>
      </w:r>
      <w:r>
        <w:rPr>
          <w:rFonts w:ascii="Times New Roman" w:hAnsi="Times New Roman" w:cs="Times New Roman"/>
          <w:bCs/>
          <w:color w:val="000000"/>
          <w:szCs w:val="21"/>
        </w:rPr>
        <w:t>2019</w:t>
      </w:r>
      <w:r>
        <w:rPr>
          <w:rFonts w:ascii="Times New Roman" w:hAnsi="Times New Roman" w:cs="Times New Roman"/>
          <w:bCs/>
          <w:color w:val="000000"/>
          <w:szCs w:val="21"/>
        </w:rPr>
        <w:t>年度股东大会，对董事会工作报告等相关议案进行补充审议。</w:t>
      </w:r>
    </w:p>
    <w:p w14:paraId="3045BCF7" w14:textId="57B91D54"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自</w:t>
      </w:r>
      <w:r>
        <w:rPr>
          <w:rFonts w:ascii="Times New Roman" w:hAnsi="Times New Roman" w:cs="Times New Roman"/>
          <w:bCs/>
          <w:color w:val="000000"/>
          <w:szCs w:val="21"/>
        </w:rPr>
        <w:t>2020</w:t>
      </w:r>
      <w:r>
        <w:rPr>
          <w:rFonts w:ascii="Times New Roman" w:hAnsi="Times New Roman" w:cs="Times New Roman"/>
          <w:bCs/>
          <w:color w:val="000000"/>
          <w:szCs w:val="21"/>
        </w:rPr>
        <w:t>年</w:t>
      </w:r>
      <w:r>
        <w:rPr>
          <w:rFonts w:ascii="Times New Roman" w:hAnsi="Times New Roman" w:cs="Times New Roman"/>
          <w:bCs/>
          <w:color w:val="000000"/>
          <w:szCs w:val="21"/>
        </w:rPr>
        <w:t>2</w:t>
      </w:r>
      <w:r>
        <w:rPr>
          <w:rFonts w:ascii="Times New Roman" w:hAnsi="Times New Roman" w:cs="Times New Roman"/>
          <w:bCs/>
          <w:color w:val="000000"/>
          <w:szCs w:val="21"/>
        </w:rPr>
        <w:t>月在新三板终止挂牌至今，标的公司股东未发生变动。李红等作为本次交易对方的标的公司股东（自标的公司</w:t>
      </w:r>
      <w:r>
        <w:rPr>
          <w:rFonts w:ascii="Times New Roman" w:hAnsi="Times New Roman" w:cs="Times New Roman"/>
          <w:bCs/>
          <w:color w:val="000000"/>
          <w:szCs w:val="21"/>
        </w:rPr>
        <w:t>2020</w:t>
      </w:r>
      <w:r>
        <w:rPr>
          <w:rFonts w:ascii="Times New Roman" w:hAnsi="Times New Roman" w:cs="Times New Roman"/>
          <w:bCs/>
          <w:color w:val="000000"/>
          <w:szCs w:val="21"/>
        </w:rPr>
        <w:t>年</w:t>
      </w:r>
      <w:r>
        <w:rPr>
          <w:rFonts w:ascii="Times New Roman" w:hAnsi="Times New Roman" w:cs="Times New Roman"/>
          <w:bCs/>
          <w:color w:val="000000"/>
          <w:szCs w:val="21"/>
        </w:rPr>
        <w:t>2</w:t>
      </w:r>
      <w:r>
        <w:rPr>
          <w:rFonts w:ascii="Times New Roman" w:hAnsi="Times New Roman" w:cs="Times New Roman"/>
          <w:bCs/>
          <w:color w:val="000000"/>
          <w:szCs w:val="21"/>
        </w:rPr>
        <w:t>月于新三板终止挂牌至今始终合计持有标的公司</w:t>
      </w:r>
      <w:r>
        <w:rPr>
          <w:rFonts w:ascii="Times New Roman" w:hAnsi="Times New Roman" w:cs="Times New Roman"/>
          <w:bCs/>
          <w:color w:val="000000"/>
          <w:szCs w:val="21"/>
        </w:rPr>
        <w:t>99.99%</w:t>
      </w:r>
      <w:r w:rsidR="0023728B">
        <w:rPr>
          <w:rFonts w:ascii="Times New Roman" w:hAnsi="Times New Roman" w:cs="Times New Roman" w:hint="eastAsia"/>
          <w:bCs/>
          <w:color w:val="000000"/>
          <w:szCs w:val="21"/>
        </w:rPr>
        <w:t>股份</w:t>
      </w:r>
      <w:r>
        <w:rPr>
          <w:rFonts w:ascii="Times New Roman" w:hAnsi="Times New Roman" w:cs="Times New Roman"/>
          <w:bCs/>
          <w:color w:val="000000"/>
          <w:szCs w:val="21"/>
        </w:rPr>
        <w:t>）均出具《确认函》，确认对标的公司逾期未召开股东大会、拟于</w:t>
      </w:r>
      <w:r>
        <w:rPr>
          <w:rFonts w:ascii="Times New Roman" w:hAnsi="Times New Roman" w:cs="Times New Roman"/>
          <w:bCs/>
          <w:color w:val="000000"/>
          <w:szCs w:val="21"/>
        </w:rPr>
        <w:t>2021</w:t>
      </w:r>
      <w:r>
        <w:rPr>
          <w:rFonts w:ascii="Times New Roman" w:hAnsi="Times New Roman" w:cs="Times New Roman"/>
          <w:bCs/>
          <w:color w:val="000000"/>
          <w:szCs w:val="21"/>
        </w:rPr>
        <w:t>年</w:t>
      </w:r>
      <w:r>
        <w:rPr>
          <w:rFonts w:ascii="Times New Roman" w:hAnsi="Times New Roman" w:cs="Times New Roman"/>
          <w:bCs/>
          <w:color w:val="000000"/>
          <w:szCs w:val="21"/>
        </w:rPr>
        <w:t>5</w:t>
      </w:r>
      <w:r>
        <w:rPr>
          <w:rFonts w:ascii="Times New Roman" w:hAnsi="Times New Roman" w:cs="Times New Roman"/>
          <w:bCs/>
          <w:color w:val="000000"/>
          <w:szCs w:val="21"/>
        </w:rPr>
        <w:t>月</w:t>
      </w:r>
      <w:r>
        <w:rPr>
          <w:rFonts w:ascii="Times New Roman" w:hAnsi="Times New Roman" w:cs="Times New Roman" w:hint="eastAsia"/>
          <w:bCs/>
          <w:color w:val="000000"/>
          <w:szCs w:val="21"/>
        </w:rPr>
        <w:t>5</w:t>
      </w:r>
      <w:r>
        <w:rPr>
          <w:rFonts w:ascii="Times New Roman" w:hAnsi="Times New Roman" w:cs="Times New Roman"/>
          <w:bCs/>
          <w:color w:val="000000"/>
          <w:szCs w:val="21"/>
        </w:rPr>
        <w:t>日补充召开</w:t>
      </w:r>
      <w:r>
        <w:rPr>
          <w:rFonts w:ascii="Times New Roman" w:hAnsi="Times New Roman" w:cs="Times New Roman"/>
          <w:bCs/>
          <w:color w:val="000000"/>
          <w:szCs w:val="21"/>
        </w:rPr>
        <w:t>2019</w:t>
      </w:r>
      <w:r>
        <w:rPr>
          <w:rFonts w:ascii="Times New Roman" w:hAnsi="Times New Roman" w:cs="Times New Roman"/>
          <w:bCs/>
          <w:color w:val="000000"/>
          <w:szCs w:val="21"/>
        </w:rPr>
        <w:t>年度股东大会的相关事宜予以知悉并认可，并确认同意标的公司</w:t>
      </w:r>
      <w:r>
        <w:rPr>
          <w:rFonts w:ascii="Times New Roman" w:hAnsi="Times New Roman" w:cs="Times New Roman"/>
          <w:bCs/>
          <w:color w:val="000000"/>
          <w:szCs w:val="21"/>
        </w:rPr>
        <w:t>2019</w:t>
      </w:r>
      <w:r>
        <w:rPr>
          <w:rFonts w:ascii="Times New Roman" w:hAnsi="Times New Roman" w:cs="Times New Roman"/>
          <w:bCs/>
          <w:color w:val="000000"/>
          <w:szCs w:val="21"/>
        </w:rPr>
        <w:t>年度股东大会拟审议的全部议案及其内容，且不会对标的公司或其董事、监事及高级管理人员主张任何权利或追究任何责任。截至本回复出具日，未有标的公司股东就上述股东大会未按时召开事</w:t>
      </w:r>
      <w:r>
        <w:rPr>
          <w:rFonts w:ascii="Times New Roman" w:hAnsi="Times New Roman" w:cs="Times New Roman" w:hint="eastAsia"/>
          <w:bCs/>
          <w:color w:val="000000"/>
          <w:szCs w:val="21"/>
        </w:rPr>
        <w:t>宜提起诉讼或仲裁的情形。标的公司控股股东李红、黄晓峰出具《承诺函》，</w:t>
      </w:r>
      <w:r w:rsidR="0023728B">
        <w:rPr>
          <w:rFonts w:ascii="Times New Roman" w:hAnsi="Times New Roman" w:hint="eastAsia"/>
          <w:bCs/>
          <w:color w:val="000000"/>
        </w:rPr>
        <w:t>承诺</w:t>
      </w:r>
      <w:r>
        <w:rPr>
          <w:rFonts w:ascii="Times New Roman" w:hAnsi="Times New Roman" w:cs="Times New Roman" w:hint="eastAsia"/>
          <w:bCs/>
          <w:color w:val="000000"/>
          <w:szCs w:val="21"/>
        </w:rPr>
        <w:t>如因上述</w:t>
      </w:r>
      <w:r>
        <w:rPr>
          <w:rFonts w:ascii="Times New Roman" w:hAnsi="Times New Roman" w:cs="Times New Roman"/>
          <w:bCs/>
          <w:color w:val="000000"/>
          <w:szCs w:val="21"/>
        </w:rPr>
        <w:t>2019</w:t>
      </w:r>
      <w:r>
        <w:rPr>
          <w:rFonts w:ascii="Times New Roman" w:hAnsi="Times New Roman" w:cs="Times New Roman"/>
          <w:bCs/>
          <w:color w:val="000000"/>
          <w:szCs w:val="21"/>
        </w:rPr>
        <w:t>年度股东大会未及时召开导致标的公司受到任何损失，其将对标的公司及京城股份所遭受的经济损失进行全额补偿。</w:t>
      </w:r>
    </w:p>
    <w:p w14:paraId="67DD76CD" w14:textId="64E70AF0" w:rsidR="008F375B" w:rsidRPr="008F375B" w:rsidRDefault="008F375B" w:rsidP="008F375B">
      <w:pPr>
        <w:spacing w:beforeLines="50" w:before="156" w:line="360" w:lineRule="auto"/>
        <w:ind w:firstLineChars="200" w:firstLine="482"/>
        <w:jc w:val="both"/>
        <w:outlineLvl w:val="3"/>
        <w:rPr>
          <w:rFonts w:ascii="Times New Roman" w:hAnsi="Times New Roman" w:cs="Times New Roman"/>
          <w:b/>
          <w:color w:val="000000"/>
        </w:rPr>
      </w:pPr>
      <w:bookmarkStart w:id="47" w:name="_Hlk69811949"/>
      <w:bookmarkStart w:id="48" w:name="_Hlk69812626"/>
      <w:bookmarkEnd w:id="44"/>
      <w:r w:rsidRPr="008F375B">
        <w:rPr>
          <w:rFonts w:ascii="Times New Roman" w:hAnsi="Times New Roman" w:cs="Times New Roman" w:hint="eastAsia"/>
          <w:b/>
          <w:color w:val="000000"/>
        </w:rPr>
        <w:t>（二）标的资产是否具备健全有效的法人治理结构</w:t>
      </w:r>
    </w:p>
    <w:p w14:paraId="7C056781" w14:textId="77777777" w:rsidR="006D2319" w:rsidRDefault="006D2319" w:rsidP="006D2319">
      <w:pPr>
        <w:spacing w:beforeLines="50" w:before="156" w:line="360" w:lineRule="auto"/>
        <w:ind w:firstLineChars="200" w:firstLine="480"/>
        <w:jc w:val="both"/>
        <w:rPr>
          <w:rFonts w:ascii="Times New Roman" w:hAnsi="Times New Roman" w:cs="Times New Roman"/>
          <w:bCs/>
          <w:color w:val="000000"/>
          <w:szCs w:val="21"/>
        </w:rPr>
      </w:pPr>
      <w:bookmarkStart w:id="49" w:name="_Hlk69819603"/>
      <w:bookmarkEnd w:id="47"/>
      <w:r>
        <w:rPr>
          <w:rFonts w:ascii="Times New Roman" w:hAnsi="Times New Roman" w:cs="Times New Roman" w:hint="eastAsia"/>
          <w:bCs/>
          <w:color w:val="000000"/>
          <w:szCs w:val="21"/>
        </w:rPr>
        <w:t>标的公司已按照《公司法》及《公司章程》的规定建立了股东大会、董事会和监事会，聘任了总经理等高级管理人员，根据业务运作的需要设置了内部职能部门。</w:t>
      </w:r>
    </w:p>
    <w:p w14:paraId="41EEAA3B" w14:textId="7293AD25" w:rsidR="006D2319" w:rsidRDefault="006D2319" w:rsidP="006D231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标的公司根据《公司法》、《证券法》等法律法规制定了《公司章程》、《股东大会议事规则》</w:t>
      </w:r>
      <w:bookmarkStart w:id="50" w:name="_Hlk69819660"/>
      <w:r w:rsidR="00B5706E">
        <w:rPr>
          <w:rFonts w:ascii="Times New Roman" w:hAnsi="Times New Roman" w:hint="eastAsia"/>
          <w:bCs/>
          <w:color w:val="000000"/>
        </w:rPr>
        <w:t>、《董事会议事规则》</w:t>
      </w:r>
      <w:bookmarkEnd w:id="50"/>
      <w:r>
        <w:rPr>
          <w:rFonts w:ascii="Times New Roman" w:hAnsi="Times New Roman" w:cs="Times New Roman" w:hint="eastAsia"/>
          <w:bCs/>
          <w:color w:val="000000"/>
          <w:szCs w:val="21"/>
        </w:rPr>
        <w:t>及《监事会议事规则》等制度。</w:t>
      </w:r>
    </w:p>
    <w:p w14:paraId="2E3C0AE5" w14:textId="230996E6" w:rsidR="008F375B" w:rsidRDefault="008F375B" w:rsidP="008F375B">
      <w:pPr>
        <w:spacing w:beforeLines="50" w:before="156" w:line="360" w:lineRule="auto"/>
        <w:ind w:firstLineChars="200" w:firstLine="480"/>
        <w:jc w:val="both"/>
        <w:rPr>
          <w:rFonts w:ascii="Times New Roman" w:hAnsi="Times New Roman" w:cs="Times New Roman"/>
          <w:bCs/>
          <w:color w:val="000000"/>
          <w:szCs w:val="21"/>
        </w:rPr>
      </w:pPr>
      <w:bookmarkStart w:id="51" w:name="_Hlk69819611"/>
      <w:bookmarkEnd w:id="49"/>
      <w:r>
        <w:rPr>
          <w:rFonts w:ascii="Times New Roman" w:hAnsi="Times New Roman" w:cs="Times New Roman" w:hint="eastAsia"/>
          <w:bCs/>
          <w:color w:val="000000"/>
          <w:szCs w:val="21"/>
        </w:rPr>
        <w:t>如果本次交易顺利完成，标的公司将由股份有限公司整体变更为有限责任公司，并成为上市公司的控股子公司。上市公司</w:t>
      </w:r>
      <w:r>
        <w:rPr>
          <w:rFonts w:ascii="Times New Roman" w:hAnsi="Times New Roman" w:hint="eastAsia"/>
          <w:bCs/>
          <w:color w:val="000000"/>
        </w:rPr>
        <w:t>将</w:t>
      </w:r>
      <w:r>
        <w:rPr>
          <w:rFonts w:ascii="Times New Roman" w:hAnsi="Times New Roman" w:cs="Times New Roman" w:hint="eastAsia"/>
          <w:bCs/>
          <w:color w:val="000000"/>
          <w:szCs w:val="21"/>
        </w:rPr>
        <w:t>加强对标的公司的日常监督和管理，标的公司将根据上市公司规范运作的要求，修订并严格落实自身的公司章程及内部制度，进一步优化公司治理结构、内部控制和风险管理。</w:t>
      </w:r>
    </w:p>
    <w:bookmarkEnd w:id="51"/>
    <w:p w14:paraId="507AB1FB" w14:textId="2ADDE084" w:rsidR="008F375B" w:rsidRDefault="008F375B" w:rsidP="008F375B">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除上述情形外，</w:t>
      </w:r>
      <w:r w:rsidRPr="00701684">
        <w:rPr>
          <w:rFonts w:ascii="Times New Roman" w:hAnsi="Times New Roman" w:hint="eastAsia"/>
          <w:bCs/>
          <w:color w:val="000000"/>
        </w:rPr>
        <w:t>标的公司股东大会、董事会、监事会的召集、召开、决议内容</w:t>
      </w:r>
      <w:r>
        <w:rPr>
          <w:rFonts w:ascii="Times New Roman" w:hAnsi="Times New Roman" w:hint="eastAsia"/>
          <w:bCs/>
          <w:color w:val="000000"/>
        </w:rPr>
        <w:t>不存在其他重大违反法律法规</w:t>
      </w:r>
      <w:r w:rsidR="008918B1">
        <w:rPr>
          <w:rFonts w:ascii="Times New Roman" w:hAnsi="Times New Roman" w:hint="eastAsia"/>
          <w:bCs/>
          <w:color w:val="000000"/>
        </w:rPr>
        <w:t>及</w:t>
      </w:r>
      <w:r>
        <w:rPr>
          <w:rFonts w:ascii="Times New Roman" w:hAnsi="Times New Roman" w:hint="eastAsia"/>
          <w:bCs/>
          <w:color w:val="000000"/>
        </w:rPr>
        <w:t>公司章程的情况</w:t>
      </w:r>
      <w:r w:rsidRPr="00701684">
        <w:rPr>
          <w:rFonts w:ascii="Times New Roman" w:hAnsi="Times New Roman" w:hint="eastAsia"/>
          <w:bCs/>
          <w:color w:val="000000"/>
        </w:rPr>
        <w:t>。</w:t>
      </w:r>
    </w:p>
    <w:p w14:paraId="070C4F91" w14:textId="407D5738"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综上，就标的公司未按期召开</w:t>
      </w:r>
      <w:r>
        <w:rPr>
          <w:rFonts w:ascii="Times New Roman" w:hAnsi="Times New Roman" w:cs="Times New Roman"/>
          <w:bCs/>
          <w:color w:val="000000"/>
          <w:szCs w:val="21"/>
        </w:rPr>
        <w:t>2019</w:t>
      </w:r>
      <w:r>
        <w:rPr>
          <w:rFonts w:ascii="Times New Roman" w:hAnsi="Times New Roman" w:cs="Times New Roman"/>
          <w:bCs/>
          <w:color w:val="000000"/>
          <w:szCs w:val="21"/>
        </w:rPr>
        <w:t>年度股东大会事宜，标的公司已发出通知补充召开前述股东大会，且已取得合计持有标的公司</w:t>
      </w:r>
      <w:r>
        <w:rPr>
          <w:rFonts w:ascii="Times New Roman" w:hAnsi="Times New Roman" w:cs="Times New Roman"/>
          <w:bCs/>
          <w:color w:val="000000"/>
          <w:szCs w:val="21"/>
        </w:rPr>
        <w:t>99.99%</w:t>
      </w:r>
      <w:r>
        <w:rPr>
          <w:rFonts w:ascii="Times New Roman" w:hAnsi="Times New Roman" w:cs="Times New Roman"/>
          <w:bCs/>
          <w:color w:val="000000"/>
          <w:szCs w:val="21"/>
        </w:rPr>
        <w:t>股份的股东出具《确认函》对前述事宜予以确认。本次交易后，标的公司作为上市公司的控股子公司，将严格按照上市公司规范运作的要求建立健全有效的法人治理结构。因此，标的公司未按期召开</w:t>
      </w:r>
      <w:r>
        <w:rPr>
          <w:rFonts w:ascii="Times New Roman" w:hAnsi="Times New Roman" w:cs="Times New Roman"/>
          <w:bCs/>
          <w:color w:val="000000"/>
          <w:szCs w:val="21"/>
        </w:rPr>
        <w:t>2019</w:t>
      </w:r>
      <w:r>
        <w:rPr>
          <w:rFonts w:ascii="Times New Roman" w:hAnsi="Times New Roman" w:cs="Times New Roman"/>
          <w:bCs/>
          <w:color w:val="000000"/>
          <w:szCs w:val="21"/>
        </w:rPr>
        <w:t>年度股东大会事宜不会对本次交易构成重大不利影响。</w:t>
      </w:r>
      <w:bookmarkEnd w:id="46"/>
    </w:p>
    <w:bookmarkEnd w:id="48"/>
    <w:p w14:paraId="7E550F8A"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报告期内核心管理团队成员的姓名、职务和在外兼职、投资情况及原因，兼职或投资行为是否违反相关法律法规及公司规章制度、是否影响其勤勉尽责履职，兼职或投资单位与标的资产有无关联关系或经营同类业务。</w:t>
      </w:r>
    </w:p>
    <w:p w14:paraId="2042253C"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一、核心管理团队成员的姓名、职务</w:t>
      </w:r>
    </w:p>
    <w:p w14:paraId="249B2B44"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szCs w:val="21"/>
        </w:rPr>
        <w:t>根据标的公司提供的资料，截至本回复出具日，核心管理团队成员的</w:t>
      </w:r>
      <w:r>
        <w:rPr>
          <w:rFonts w:ascii="Times New Roman" w:hAnsi="Times New Roman" w:cs="Times New Roman" w:hint="eastAsia"/>
          <w:bCs/>
          <w:color w:val="000000"/>
        </w:rPr>
        <w:t>姓名、职务具体如下：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61"/>
        <w:gridCol w:w="4261"/>
      </w:tblGrid>
      <w:tr w:rsidR="000A0ACD" w14:paraId="53732F60" w14:textId="77777777">
        <w:trPr>
          <w:cantSplit/>
          <w:trHeight w:val="397"/>
          <w:jc w:val="center"/>
        </w:trPr>
        <w:tc>
          <w:tcPr>
            <w:tcW w:w="2500" w:type="pct"/>
            <w:vAlign w:val="center"/>
          </w:tcPr>
          <w:p w14:paraId="6FD79994" w14:textId="77777777" w:rsidR="000A0ACD" w:rsidRDefault="00362A99">
            <w:pPr>
              <w:jc w:val="center"/>
              <w:rPr>
                <w:rFonts w:ascii="Times New Roman" w:hAnsi="Times New Roman" w:cs="Times New Roman"/>
                <w:b/>
                <w:sz w:val="21"/>
                <w:szCs w:val="21"/>
              </w:rPr>
            </w:pPr>
            <w:bookmarkStart w:id="52" w:name="_Toc69256852"/>
            <w:r>
              <w:rPr>
                <w:rFonts w:ascii="Times New Roman" w:hAnsi="Times New Roman" w:cs="Times New Roman" w:hint="eastAsia"/>
                <w:b/>
                <w:sz w:val="21"/>
                <w:szCs w:val="21"/>
              </w:rPr>
              <w:t>姓名</w:t>
            </w:r>
            <w:bookmarkEnd w:id="52"/>
          </w:p>
        </w:tc>
        <w:tc>
          <w:tcPr>
            <w:tcW w:w="2500" w:type="pct"/>
            <w:vAlign w:val="center"/>
          </w:tcPr>
          <w:p w14:paraId="3D2BC6B7" w14:textId="77777777" w:rsidR="000A0ACD" w:rsidRDefault="00362A99">
            <w:pPr>
              <w:jc w:val="center"/>
              <w:rPr>
                <w:rFonts w:ascii="Times New Roman" w:hAnsi="Times New Roman" w:cs="Times New Roman"/>
                <w:b/>
                <w:sz w:val="21"/>
                <w:szCs w:val="21"/>
              </w:rPr>
            </w:pPr>
            <w:bookmarkStart w:id="53" w:name="_Toc69256853"/>
            <w:r>
              <w:rPr>
                <w:rFonts w:ascii="Times New Roman" w:hAnsi="Times New Roman" w:cs="Times New Roman" w:hint="eastAsia"/>
                <w:b/>
                <w:sz w:val="21"/>
                <w:szCs w:val="21"/>
              </w:rPr>
              <w:t>任职情况</w:t>
            </w:r>
            <w:bookmarkEnd w:id="53"/>
          </w:p>
        </w:tc>
      </w:tr>
      <w:tr w:rsidR="000A0ACD" w14:paraId="1636A3D2" w14:textId="77777777">
        <w:trPr>
          <w:cantSplit/>
          <w:trHeight w:val="397"/>
          <w:jc w:val="center"/>
        </w:trPr>
        <w:tc>
          <w:tcPr>
            <w:tcW w:w="2500" w:type="pct"/>
            <w:vAlign w:val="center"/>
          </w:tcPr>
          <w:p w14:paraId="04ED4800"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黄晓峰</w:t>
            </w:r>
          </w:p>
        </w:tc>
        <w:tc>
          <w:tcPr>
            <w:tcW w:w="2500" w:type="pct"/>
            <w:vAlign w:val="center"/>
          </w:tcPr>
          <w:p w14:paraId="1DEFDE7A"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董事兼总经理</w:t>
            </w:r>
          </w:p>
        </w:tc>
      </w:tr>
      <w:tr w:rsidR="000A0ACD" w14:paraId="37D63A0F" w14:textId="77777777">
        <w:trPr>
          <w:cantSplit/>
          <w:trHeight w:val="397"/>
          <w:jc w:val="center"/>
        </w:trPr>
        <w:tc>
          <w:tcPr>
            <w:tcW w:w="2500" w:type="pct"/>
            <w:vAlign w:val="center"/>
          </w:tcPr>
          <w:p w14:paraId="49377D4A"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徐炳雷</w:t>
            </w:r>
          </w:p>
        </w:tc>
        <w:tc>
          <w:tcPr>
            <w:tcW w:w="2500" w:type="pct"/>
            <w:vAlign w:val="center"/>
          </w:tcPr>
          <w:p w14:paraId="70CE5D17"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bCs/>
                <w:sz w:val="21"/>
                <w:szCs w:val="21"/>
              </w:rPr>
              <w:t>监事、采购部长</w:t>
            </w:r>
          </w:p>
        </w:tc>
      </w:tr>
      <w:tr w:rsidR="000A0ACD" w14:paraId="4311433B" w14:textId="77777777">
        <w:trPr>
          <w:cantSplit/>
          <w:trHeight w:val="397"/>
          <w:jc w:val="center"/>
        </w:trPr>
        <w:tc>
          <w:tcPr>
            <w:tcW w:w="2500" w:type="pct"/>
            <w:vAlign w:val="center"/>
          </w:tcPr>
          <w:p w14:paraId="307E3149"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阳伦胜</w:t>
            </w:r>
          </w:p>
        </w:tc>
        <w:tc>
          <w:tcPr>
            <w:tcW w:w="2500" w:type="pct"/>
            <w:vAlign w:val="center"/>
          </w:tcPr>
          <w:p w14:paraId="74357D35"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sz w:val="21"/>
                <w:szCs w:val="21"/>
              </w:rPr>
              <w:t>技术部机械工程师</w:t>
            </w:r>
          </w:p>
        </w:tc>
      </w:tr>
      <w:tr w:rsidR="000A0ACD" w14:paraId="2E7BB2EB" w14:textId="77777777">
        <w:trPr>
          <w:cantSplit/>
          <w:trHeight w:val="397"/>
          <w:jc w:val="center"/>
        </w:trPr>
        <w:tc>
          <w:tcPr>
            <w:tcW w:w="2500" w:type="pct"/>
            <w:vAlign w:val="center"/>
          </w:tcPr>
          <w:p w14:paraId="084CF458"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英入才</w:t>
            </w:r>
          </w:p>
        </w:tc>
        <w:tc>
          <w:tcPr>
            <w:tcW w:w="2500" w:type="pct"/>
            <w:vAlign w:val="center"/>
          </w:tcPr>
          <w:p w14:paraId="0B469981" w14:textId="77777777" w:rsidR="000A0ACD" w:rsidRDefault="00362A99">
            <w:pPr>
              <w:jc w:val="center"/>
              <w:rPr>
                <w:rFonts w:ascii="Times New Roman" w:hAnsi="Times New Roman" w:cs="Times New Roman"/>
                <w:bCs/>
                <w:color w:val="000000"/>
                <w:sz w:val="21"/>
                <w:szCs w:val="21"/>
              </w:rPr>
            </w:pPr>
            <w:r>
              <w:rPr>
                <w:rFonts w:ascii="Times New Roman" w:hAnsi="Times New Roman" w:cs="Times New Roman" w:hint="eastAsia"/>
                <w:bCs/>
                <w:sz w:val="21"/>
                <w:szCs w:val="21"/>
              </w:rPr>
              <w:t>装配调试部电工组长</w:t>
            </w:r>
          </w:p>
        </w:tc>
      </w:tr>
    </w:tbl>
    <w:p w14:paraId="5A8BBF08"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二、核心管理团队成员的在外兼职、投资情况及原因</w:t>
      </w:r>
    </w:p>
    <w:p w14:paraId="32CD4D4E" w14:textId="10F3E1AD" w:rsidR="0023728B" w:rsidRDefault="0023728B">
      <w:pPr>
        <w:spacing w:beforeLines="50" w:before="156" w:line="360" w:lineRule="auto"/>
        <w:ind w:firstLineChars="200" w:firstLine="480"/>
        <w:jc w:val="both"/>
        <w:rPr>
          <w:rFonts w:ascii="Times New Roman" w:hAnsi="Times New Roman" w:cs="Times New Roman"/>
          <w:bCs/>
          <w:color w:val="000000"/>
        </w:rPr>
      </w:pPr>
      <w:bookmarkStart w:id="54" w:name="_Hlk69810286"/>
      <w:bookmarkStart w:id="55" w:name="_Hlk69372363"/>
      <w:r>
        <w:rPr>
          <w:rFonts w:ascii="Times New Roman" w:hAnsi="Times New Roman" w:cs="Times New Roman" w:hint="eastAsia"/>
          <w:bCs/>
          <w:color w:val="000000"/>
          <w:szCs w:val="21"/>
        </w:rPr>
        <w:t>标的公司核心管理团队成员中，</w:t>
      </w:r>
      <w:r>
        <w:rPr>
          <w:rFonts w:ascii="Times New Roman" w:hAnsi="Times New Roman" w:hint="eastAsia"/>
          <w:bCs/>
          <w:color w:val="000000"/>
        </w:rPr>
        <w:t>黄晓峰持有</w:t>
      </w:r>
      <w:r w:rsidRPr="00780ABF">
        <w:rPr>
          <w:rFonts w:ascii="Times New Roman" w:hAnsi="Times New Roman" w:hint="eastAsia"/>
          <w:bCs/>
          <w:color w:val="000000"/>
        </w:rPr>
        <w:t>青岛威华塑雅高分子材料销售有限公司</w:t>
      </w:r>
      <w:r w:rsidRPr="00780ABF">
        <w:rPr>
          <w:rFonts w:ascii="Times New Roman" w:hAnsi="Times New Roman"/>
          <w:bCs/>
          <w:color w:val="000000"/>
        </w:rPr>
        <w:t>23%</w:t>
      </w:r>
      <w:r w:rsidRPr="00780ABF">
        <w:rPr>
          <w:rFonts w:ascii="Times New Roman" w:hAnsi="Times New Roman" w:hint="eastAsia"/>
          <w:bCs/>
          <w:color w:val="000000"/>
        </w:rPr>
        <w:t>股权并担任董事兼法定代表人，</w:t>
      </w:r>
      <w:bookmarkEnd w:id="54"/>
      <w:r>
        <w:rPr>
          <w:rFonts w:ascii="Times New Roman" w:hAnsi="Times New Roman" w:cs="Times New Roman" w:hint="eastAsia"/>
          <w:bCs/>
          <w:color w:val="000000"/>
        </w:rPr>
        <w:t>徐炳雷持有青岛隆千胜商贸有限公司</w:t>
      </w:r>
      <w:r>
        <w:rPr>
          <w:rFonts w:ascii="Times New Roman" w:hAnsi="Times New Roman" w:cs="Times New Roman" w:hint="eastAsia"/>
          <w:bCs/>
          <w:color w:val="000000"/>
        </w:rPr>
        <w:t>50%</w:t>
      </w:r>
      <w:r>
        <w:rPr>
          <w:rFonts w:ascii="Times New Roman" w:hAnsi="Times New Roman" w:cs="Times New Roman" w:hint="eastAsia"/>
          <w:bCs/>
          <w:color w:val="000000"/>
        </w:rPr>
        <w:t>股权</w:t>
      </w:r>
      <w:bookmarkStart w:id="56" w:name="_Hlk69372440"/>
      <w:r>
        <w:rPr>
          <w:rFonts w:ascii="Times New Roman" w:hAnsi="Times New Roman" w:cs="Times New Roman" w:hint="eastAsia"/>
          <w:bCs/>
          <w:color w:val="000000"/>
        </w:rPr>
        <w:t>并担任执行董事兼总经理、法定代表人</w:t>
      </w:r>
      <w:bookmarkEnd w:id="56"/>
      <w:r>
        <w:rPr>
          <w:rFonts w:ascii="Times New Roman" w:hAnsi="Times New Roman" w:cs="Times New Roman" w:hint="eastAsia"/>
          <w:bCs/>
          <w:color w:val="000000"/>
        </w:rPr>
        <w:t>外，其他核心管理成员不存在在外兼职、投资的情况。</w:t>
      </w:r>
    </w:p>
    <w:p w14:paraId="293DE674" w14:textId="1DD0ECDF" w:rsidR="0023728B" w:rsidRPr="00701684" w:rsidRDefault="0023728B" w:rsidP="0023728B">
      <w:pPr>
        <w:adjustRightInd w:val="0"/>
        <w:snapToGrid w:val="0"/>
        <w:spacing w:beforeLines="50" w:before="156" w:after="50" w:line="360" w:lineRule="auto"/>
        <w:ind w:firstLineChars="200" w:firstLine="480"/>
        <w:rPr>
          <w:rFonts w:ascii="Times New Roman" w:hAnsi="Times New Roman"/>
          <w:bCs/>
          <w:color w:val="000000"/>
        </w:rPr>
      </w:pPr>
      <w:bookmarkStart w:id="57" w:name="_Hlk69810308"/>
      <w:bookmarkEnd w:id="55"/>
      <w:r>
        <w:rPr>
          <w:rFonts w:ascii="Times New Roman" w:hAnsi="Times New Roman" w:hint="eastAsia"/>
          <w:bCs/>
          <w:color w:val="000000"/>
        </w:rPr>
        <w:t>其中，</w:t>
      </w:r>
      <w:r w:rsidRPr="00D35146">
        <w:rPr>
          <w:rFonts w:ascii="Times New Roman" w:hAnsi="Times New Roman" w:hint="eastAsia"/>
          <w:bCs/>
          <w:color w:val="000000"/>
        </w:rPr>
        <w:t>青岛威华塑雅高分子材料销售有限公司</w:t>
      </w:r>
      <w:r>
        <w:rPr>
          <w:rFonts w:ascii="Times New Roman" w:hAnsi="Times New Roman" w:hint="eastAsia"/>
          <w:bCs/>
          <w:color w:val="000000"/>
        </w:rPr>
        <w:t>为黄晓峰于</w:t>
      </w:r>
      <w:r>
        <w:rPr>
          <w:rFonts w:ascii="Times New Roman" w:hAnsi="Times New Roman" w:hint="eastAsia"/>
          <w:bCs/>
          <w:color w:val="000000"/>
        </w:rPr>
        <w:t>2</w:t>
      </w:r>
      <w:r>
        <w:rPr>
          <w:rFonts w:ascii="Times New Roman" w:hAnsi="Times New Roman"/>
          <w:bCs/>
          <w:color w:val="000000"/>
        </w:rPr>
        <w:t>003</w:t>
      </w:r>
      <w:r>
        <w:rPr>
          <w:rFonts w:ascii="Times New Roman" w:hAnsi="Times New Roman" w:hint="eastAsia"/>
          <w:bCs/>
          <w:color w:val="000000"/>
        </w:rPr>
        <w:t>年</w:t>
      </w:r>
      <w:r>
        <w:rPr>
          <w:rFonts w:ascii="Times New Roman" w:hAnsi="Times New Roman" w:hint="eastAsia"/>
          <w:bCs/>
          <w:color w:val="000000"/>
        </w:rPr>
        <w:t>7</w:t>
      </w:r>
      <w:r>
        <w:rPr>
          <w:rFonts w:ascii="Times New Roman" w:hAnsi="Times New Roman" w:hint="eastAsia"/>
          <w:bCs/>
          <w:color w:val="000000"/>
        </w:rPr>
        <w:t>月参与设立的有限责任公司，该公司已于</w:t>
      </w:r>
      <w:r>
        <w:rPr>
          <w:rFonts w:ascii="Times New Roman" w:hAnsi="Times New Roman" w:hint="eastAsia"/>
          <w:bCs/>
          <w:color w:val="000000"/>
        </w:rPr>
        <w:t>2</w:t>
      </w:r>
      <w:r>
        <w:rPr>
          <w:rFonts w:ascii="Times New Roman" w:hAnsi="Times New Roman"/>
          <w:bCs/>
          <w:color w:val="000000"/>
        </w:rPr>
        <w:t>006</w:t>
      </w:r>
      <w:r>
        <w:rPr>
          <w:rFonts w:ascii="Times New Roman" w:hAnsi="Times New Roman" w:hint="eastAsia"/>
          <w:bCs/>
          <w:color w:val="000000"/>
        </w:rPr>
        <w:t>年</w:t>
      </w:r>
      <w:r>
        <w:rPr>
          <w:rFonts w:ascii="Times New Roman" w:hAnsi="Times New Roman" w:hint="eastAsia"/>
          <w:bCs/>
          <w:color w:val="000000"/>
        </w:rPr>
        <w:t>8</w:t>
      </w:r>
      <w:r>
        <w:rPr>
          <w:rFonts w:ascii="Times New Roman" w:hAnsi="Times New Roman" w:hint="eastAsia"/>
          <w:bCs/>
          <w:color w:val="000000"/>
        </w:rPr>
        <w:t>月被吊销，目前无实际经营业务。</w:t>
      </w:r>
    </w:p>
    <w:bookmarkEnd w:id="57"/>
    <w:p w14:paraId="4A1280B2" w14:textId="5EDA6C16" w:rsidR="000A0ACD" w:rsidRDefault="00722E5D">
      <w:pPr>
        <w:spacing w:beforeLines="50" w:before="156" w:line="360" w:lineRule="auto"/>
        <w:ind w:firstLineChars="200" w:firstLine="480"/>
        <w:jc w:val="both"/>
        <w:rPr>
          <w:rFonts w:ascii="Times New Roman" w:hAnsi="Times New Roman" w:cs="Times New Roman"/>
          <w:bCs/>
          <w:color w:val="000000"/>
        </w:rPr>
      </w:pPr>
      <w:r w:rsidRPr="00701684">
        <w:rPr>
          <w:rFonts w:ascii="Times New Roman" w:hAnsi="Times New Roman" w:hint="eastAsia"/>
          <w:bCs/>
          <w:color w:val="000000"/>
        </w:rPr>
        <w:t>青岛隆千胜商贸有限公司为徐炳雷于</w:t>
      </w:r>
      <w:r w:rsidRPr="00701684">
        <w:rPr>
          <w:rFonts w:ascii="Times New Roman" w:hAnsi="Times New Roman" w:hint="eastAsia"/>
          <w:bCs/>
          <w:color w:val="000000"/>
        </w:rPr>
        <w:t>2015</w:t>
      </w:r>
      <w:r w:rsidRPr="00701684">
        <w:rPr>
          <w:rFonts w:ascii="Times New Roman" w:hAnsi="Times New Roman" w:hint="eastAsia"/>
          <w:bCs/>
          <w:color w:val="000000"/>
        </w:rPr>
        <w:t>年</w:t>
      </w:r>
      <w:r w:rsidRPr="00701684">
        <w:rPr>
          <w:rFonts w:ascii="Times New Roman" w:hAnsi="Times New Roman" w:hint="eastAsia"/>
          <w:bCs/>
          <w:color w:val="000000"/>
        </w:rPr>
        <w:t>6</w:t>
      </w:r>
      <w:r w:rsidRPr="00701684">
        <w:rPr>
          <w:rFonts w:ascii="Times New Roman" w:hAnsi="Times New Roman" w:hint="eastAsia"/>
          <w:bCs/>
          <w:color w:val="000000"/>
        </w:rPr>
        <w:t>月与妹妹徐桂香、朋友何西欢共同设立的有限责任公司，其中徐炳雷持股比例为</w:t>
      </w:r>
      <w:r w:rsidRPr="00701684">
        <w:rPr>
          <w:rFonts w:ascii="Times New Roman" w:hAnsi="Times New Roman" w:hint="eastAsia"/>
          <w:bCs/>
          <w:color w:val="000000"/>
        </w:rPr>
        <w:t>50%</w:t>
      </w:r>
      <w:r w:rsidRPr="00701684">
        <w:rPr>
          <w:rFonts w:ascii="Times New Roman" w:hAnsi="Times New Roman" w:hint="eastAsia"/>
          <w:bCs/>
          <w:color w:val="000000"/>
        </w:rPr>
        <w:t>，并担任执行董事、总经理兼法定代表人。徐炳雷</w:t>
      </w:r>
      <w:r w:rsidRPr="00701684">
        <w:rPr>
          <w:rFonts w:ascii="Times New Roman" w:hAnsi="Times New Roman" w:hint="eastAsia"/>
          <w:bCs/>
          <w:color w:val="000000"/>
        </w:rPr>
        <w:t>2015</w:t>
      </w:r>
      <w:r w:rsidRPr="00701684">
        <w:rPr>
          <w:rFonts w:ascii="Times New Roman" w:hAnsi="Times New Roman" w:hint="eastAsia"/>
          <w:bCs/>
          <w:color w:val="000000"/>
        </w:rPr>
        <w:t>年</w:t>
      </w:r>
      <w:r w:rsidRPr="00701684">
        <w:rPr>
          <w:rFonts w:ascii="Times New Roman" w:hAnsi="Times New Roman" w:hint="eastAsia"/>
          <w:bCs/>
          <w:color w:val="000000"/>
        </w:rPr>
        <w:t>4</w:t>
      </w:r>
      <w:r w:rsidRPr="00701684">
        <w:rPr>
          <w:rFonts w:ascii="Times New Roman" w:hAnsi="Times New Roman" w:hint="eastAsia"/>
          <w:bCs/>
          <w:color w:val="000000"/>
        </w:rPr>
        <w:t>月自</w:t>
      </w:r>
      <w:r>
        <w:rPr>
          <w:rFonts w:ascii="Times New Roman" w:hAnsi="Times New Roman" w:hint="eastAsia"/>
          <w:bCs/>
          <w:color w:val="000000"/>
        </w:rPr>
        <w:t>原单位</w:t>
      </w:r>
      <w:r w:rsidRPr="00701684">
        <w:rPr>
          <w:rFonts w:ascii="Times New Roman" w:hAnsi="Times New Roman" w:hint="eastAsia"/>
          <w:bCs/>
          <w:color w:val="000000"/>
        </w:rPr>
        <w:t>离职后设立该公司，拟开展家电产品的代理销售业务，因业务开展未达预期，徐炳雷于</w:t>
      </w:r>
      <w:r w:rsidRPr="00701684">
        <w:rPr>
          <w:rFonts w:ascii="Times New Roman" w:hAnsi="Times New Roman" w:hint="eastAsia"/>
          <w:bCs/>
          <w:color w:val="000000"/>
        </w:rPr>
        <w:t>2015</w:t>
      </w:r>
      <w:r w:rsidRPr="00701684">
        <w:rPr>
          <w:rFonts w:ascii="Times New Roman" w:hAnsi="Times New Roman" w:hint="eastAsia"/>
          <w:bCs/>
          <w:color w:val="000000"/>
        </w:rPr>
        <w:t>年</w:t>
      </w:r>
      <w:r w:rsidRPr="00701684">
        <w:rPr>
          <w:rFonts w:ascii="Times New Roman" w:hAnsi="Times New Roman" w:hint="eastAsia"/>
          <w:bCs/>
          <w:color w:val="000000"/>
        </w:rPr>
        <w:t>8</w:t>
      </w:r>
      <w:r w:rsidRPr="00701684">
        <w:rPr>
          <w:rFonts w:ascii="Times New Roman" w:hAnsi="Times New Roman" w:hint="eastAsia"/>
          <w:bCs/>
          <w:color w:val="000000"/>
        </w:rPr>
        <w:t>月加入标的公司，历任销售经理、综管部长、采购部长等职务。自徐炳雷加入北洋天青任职后，青岛隆千胜商贸有限公司逐渐停止经营，目前无实际经营业务。</w:t>
      </w:r>
    </w:p>
    <w:p w14:paraId="42E00DFF"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三、兼职或投资行为是否违反相关法律法规及公司规章制度、是否影响其勤勉尽责履职，兼职或投资单位与标的资产有无关联关系或经营同类业务</w:t>
      </w:r>
    </w:p>
    <w:p w14:paraId="4623C2B9" w14:textId="77777777" w:rsidR="0023728B" w:rsidRPr="00701684" w:rsidRDefault="0023728B" w:rsidP="0023728B">
      <w:pPr>
        <w:adjustRightInd w:val="0"/>
        <w:snapToGrid w:val="0"/>
        <w:spacing w:beforeLines="50" w:before="156" w:after="50" w:line="360" w:lineRule="auto"/>
        <w:ind w:firstLineChars="200" w:firstLine="480"/>
        <w:rPr>
          <w:rFonts w:ascii="Times New Roman" w:hAnsi="Times New Roman"/>
          <w:bCs/>
          <w:color w:val="000000"/>
        </w:rPr>
      </w:pPr>
      <w:r w:rsidRPr="00701684">
        <w:rPr>
          <w:rFonts w:ascii="Times New Roman" w:hAnsi="Times New Roman" w:hint="eastAsia"/>
          <w:bCs/>
          <w:color w:val="000000"/>
        </w:rPr>
        <w:t>青岛隆千胜商贸有限公司系标的公司监事徐炳雷控制并担任董事、高级管理人员的企业，</w:t>
      </w:r>
      <w:r w:rsidRPr="00D35146">
        <w:rPr>
          <w:rFonts w:ascii="Times New Roman" w:hAnsi="Times New Roman" w:hint="eastAsia"/>
          <w:bCs/>
          <w:color w:val="000000"/>
        </w:rPr>
        <w:t>青岛威华塑雅高分子材料销售有限公司</w:t>
      </w:r>
      <w:r>
        <w:rPr>
          <w:rFonts w:ascii="Times New Roman" w:hAnsi="Times New Roman" w:hint="eastAsia"/>
          <w:bCs/>
          <w:color w:val="000000"/>
        </w:rPr>
        <w:t>为标的公司总经理黄晓峰于</w:t>
      </w:r>
      <w:r>
        <w:rPr>
          <w:rFonts w:ascii="Times New Roman" w:hAnsi="Times New Roman" w:hint="eastAsia"/>
          <w:bCs/>
          <w:color w:val="000000"/>
        </w:rPr>
        <w:t>2</w:t>
      </w:r>
      <w:r>
        <w:rPr>
          <w:rFonts w:ascii="Times New Roman" w:hAnsi="Times New Roman"/>
          <w:bCs/>
          <w:color w:val="000000"/>
        </w:rPr>
        <w:t>003</w:t>
      </w:r>
      <w:r>
        <w:rPr>
          <w:rFonts w:ascii="Times New Roman" w:hAnsi="Times New Roman" w:hint="eastAsia"/>
          <w:bCs/>
          <w:color w:val="000000"/>
        </w:rPr>
        <w:t>年</w:t>
      </w:r>
      <w:r>
        <w:rPr>
          <w:rFonts w:ascii="Times New Roman" w:hAnsi="Times New Roman" w:hint="eastAsia"/>
          <w:bCs/>
          <w:color w:val="000000"/>
        </w:rPr>
        <w:t>7</w:t>
      </w:r>
      <w:r>
        <w:rPr>
          <w:rFonts w:ascii="Times New Roman" w:hAnsi="Times New Roman" w:hint="eastAsia"/>
          <w:bCs/>
          <w:color w:val="000000"/>
        </w:rPr>
        <w:t>月参与设立并担任</w:t>
      </w:r>
      <w:r w:rsidRPr="00A64260">
        <w:rPr>
          <w:rFonts w:ascii="Times New Roman" w:hAnsi="Times New Roman" w:hint="eastAsia"/>
          <w:bCs/>
          <w:color w:val="000000"/>
        </w:rPr>
        <w:t>董事兼法定代表人</w:t>
      </w:r>
      <w:r>
        <w:rPr>
          <w:rFonts w:ascii="Times New Roman" w:hAnsi="Times New Roman" w:hint="eastAsia"/>
          <w:bCs/>
          <w:color w:val="000000"/>
        </w:rPr>
        <w:t>的企业，</w:t>
      </w:r>
      <w:r w:rsidRPr="00701684">
        <w:rPr>
          <w:rFonts w:ascii="Times New Roman" w:hAnsi="Times New Roman" w:hint="eastAsia"/>
          <w:bCs/>
          <w:color w:val="000000"/>
        </w:rPr>
        <w:t>与标的公司存在关联关系。</w:t>
      </w:r>
    </w:p>
    <w:p w14:paraId="2F47423A" w14:textId="64F21A3B" w:rsidR="000A0ACD" w:rsidRDefault="0023728B" w:rsidP="0023728B">
      <w:pPr>
        <w:spacing w:beforeLines="50" w:before="156" w:line="360" w:lineRule="auto"/>
        <w:ind w:firstLineChars="200" w:firstLine="480"/>
        <w:jc w:val="both"/>
        <w:rPr>
          <w:rFonts w:ascii="Times New Roman" w:hAnsi="Times New Roman" w:cs="Times New Roman"/>
          <w:bCs/>
          <w:color w:val="000000"/>
        </w:rPr>
      </w:pPr>
      <w:r w:rsidRPr="00D35146">
        <w:rPr>
          <w:rFonts w:ascii="Times New Roman" w:hAnsi="Times New Roman" w:hint="eastAsia"/>
          <w:bCs/>
          <w:color w:val="000000"/>
        </w:rPr>
        <w:t>青岛威华塑雅高分子材料销售有限公司</w:t>
      </w:r>
      <w:r>
        <w:rPr>
          <w:rFonts w:ascii="Times New Roman" w:hAnsi="Times New Roman" w:hint="eastAsia"/>
          <w:bCs/>
          <w:color w:val="000000"/>
        </w:rPr>
        <w:t>已于</w:t>
      </w:r>
      <w:r>
        <w:rPr>
          <w:rFonts w:ascii="Times New Roman" w:hAnsi="Times New Roman" w:hint="eastAsia"/>
          <w:bCs/>
          <w:color w:val="000000"/>
        </w:rPr>
        <w:t>2</w:t>
      </w:r>
      <w:r>
        <w:rPr>
          <w:rFonts w:ascii="Times New Roman" w:hAnsi="Times New Roman"/>
          <w:bCs/>
          <w:color w:val="000000"/>
        </w:rPr>
        <w:t>006</w:t>
      </w:r>
      <w:r>
        <w:rPr>
          <w:rFonts w:ascii="Times New Roman" w:hAnsi="Times New Roman" w:hint="eastAsia"/>
          <w:bCs/>
          <w:color w:val="000000"/>
        </w:rPr>
        <w:t>年被吊销营业执照，</w:t>
      </w:r>
      <w:r w:rsidRPr="00701684">
        <w:rPr>
          <w:rFonts w:ascii="Times New Roman" w:hAnsi="Times New Roman" w:hint="eastAsia"/>
          <w:bCs/>
          <w:color w:val="000000"/>
        </w:rPr>
        <w:t>青岛隆千胜商贸有限公司设立时主营业务为电器销售，目前已无实际经营业务，与标的资产</w:t>
      </w:r>
      <w:r>
        <w:rPr>
          <w:rFonts w:ascii="Times New Roman" w:hAnsi="Times New Roman" w:hint="eastAsia"/>
          <w:bCs/>
          <w:color w:val="000000"/>
        </w:rPr>
        <w:t>均</w:t>
      </w:r>
      <w:r w:rsidRPr="00701684">
        <w:rPr>
          <w:rFonts w:ascii="Times New Roman" w:hAnsi="Times New Roman" w:hint="eastAsia"/>
          <w:bCs/>
          <w:color w:val="000000"/>
        </w:rPr>
        <w:t>不存在经营相同或类似业务的情况。</w:t>
      </w:r>
      <w:r>
        <w:rPr>
          <w:rFonts w:ascii="Times New Roman" w:hAnsi="Times New Roman" w:hint="eastAsia"/>
          <w:bCs/>
          <w:color w:val="000000"/>
        </w:rPr>
        <w:t>黄晓峰在</w:t>
      </w:r>
      <w:r w:rsidRPr="00D35146">
        <w:rPr>
          <w:rFonts w:ascii="Times New Roman" w:hAnsi="Times New Roman" w:hint="eastAsia"/>
          <w:bCs/>
          <w:color w:val="000000"/>
        </w:rPr>
        <w:t>青岛威华塑雅高分子材料销售有限公司</w:t>
      </w:r>
      <w:r>
        <w:rPr>
          <w:rFonts w:ascii="Times New Roman" w:hAnsi="Times New Roman" w:hint="eastAsia"/>
          <w:bCs/>
          <w:color w:val="000000"/>
        </w:rPr>
        <w:t>的投资和任职、</w:t>
      </w:r>
      <w:r w:rsidRPr="00701684">
        <w:rPr>
          <w:rFonts w:ascii="Times New Roman" w:hAnsi="Times New Roman" w:hint="eastAsia"/>
          <w:bCs/>
          <w:color w:val="000000"/>
        </w:rPr>
        <w:t>徐炳雷</w:t>
      </w:r>
      <w:r>
        <w:rPr>
          <w:rFonts w:ascii="Times New Roman" w:hAnsi="Times New Roman" w:hint="eastAsia"/>
          <w:bCs/>
          <w:color w:val="000000"/>
        </w:rPr>
        <w:t>在</w:t>
      </w:r>
      <w:r w:rsidRPr="00701684">
        <w:rPr>
          <w:rFonts w:ascii="Times New Roman" w:hAnsi="Times New Roman" w:hint="eastAsia"/>
          <w:bCs/>
          <w:color w:val="000000"/>
        </w:rPr>
        <w:t>青岛隆千胜商贸有限公司</w:t>
      </w:r>
      <w:r>
        <w:rPr>
          <w:rFonts w:ascii="Times New Roman" w:hAnsi="Times New Roman" w:hint="eastAsia"/>
          <w:bCs/>
          <w:color w:val="000000"/>
        </w:rPr>
        <w:t>的投资和</w:t>
      </w:r>
      <w:r w:rsidRPr="00701684">
        <w:rPr>
          <w:rFonts w:ascii="Times New Roman" w:hAnsi="Times New Roman" w:hint="eastAsia"/>
          <w:bCs/>
          <w:color w:val="000000"/>
        </w:rPr>
        <w:t>任职</w:t>
      </w:r>
      <w:r>
        <w:rPr>
          <w:rFonts w:ascii="Times New Roman" w:hAnsi="Times New Roman" w:hint="eastAsia"/>
          <w:bCs/>
          <w:color w:val="000000"/>
        </w:rPr>
        <w:t>均</w:t>
      </w:r>
      <w:r w:rsidRPr="00701684">
        <w:rPr>
          <w:rFonts w:ascii="Times New Roman" w:hAnsi="Times New Roman" w:hint="eastAsia"/>
          <w:bCs/>
          <w:color w:val="000000"/>
        </w:rPr>
        <w:t>不影响其在标的公司的勤勉尽责履职，不存在违反相关法律法规及公司规章制度的情形。</w:t>
      </w:r>
    </w:p>
    <w:p w14:paraId="5BC47865"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）补充披露交易完成后强化标的资产内部治理的具体措施</w:t>
      </w:r>
    </w:p>
    <w:p w14:paraId="4028D913"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bookmarkStart w:id="58" w:name="_Hlk69372575"/>
      <w:r>
        <w:rPr>
          <w:rFonts w:ascii="Times New Roman" w:hAnsi="Times New Roman" w:cs="Times New Roman" w:hint="eastAsia"/>
          <w:bCs/>
          <w:color w:val="000000"/>
        </w:rPr>
        <w:t>本次交易完成后，标的公司将成为上市公司控股子公司，上市公司将作为控股股东实现对标的公司的控制。标的公司应按照国资监管及上市公司的要求，规范公司治理，建立完善内部控制体系，遵守上市公司各项制度，并接受和配合上市公司关于子公司的管理及信息报告披露等要求。</w:t>
      </w:r>
    </w:p>
    <w:p w14:paraId="7A1C8A49"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在对标的公司的管控方面，本次交易标的股份交割后，标的公司将纳入上市公司统一内控体系中，上市公司将积极履行股东权利，修订标的公司的公司章程，明确股东大会、董事会、管理层的决策权限，提名并聘任标的公司</w:t>
      </w:r>
      <w:r>
        <w:rPr>
          <w:rFonts w:ascii="Times New Roman" w:hAnsi="Times New Roman" w:cs="Times New Roman"/>
          <w:bCs/>
          <w:color w:val="000000"/>
        </w:rPr>
        <w:t>4</w:t>
      </w:r>
      <w:r>
        <w:rPr>
          <w:rFonts w:ascii="Times New Roman" w:hAnsi="Times New Roman" w:cs="Times New Roman" w:hint="eastAsia"/>
          <w:bCs/>
          <w:color w:val="000000"/>
        </w:rPr>
        <w:t>名董事，同时向标的公司委派一名副总经理及一名财务总监参与经营管理，在给予标的公司管理层一定自主经营权限的基础上，实现对标的公司的控制。</w:t>
      </w:r>
    </w:p>
    <w:p w14:paraId="33F2114D"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在重大经营、投资筹资决策、对外担保、关联交易及其他重大决策事项，标的公司均将按照上市公司内部管理制度的相关规定履行相关审议批准程序，标的公司应根据上市公司内控控制体系，建立或完善战略、人力资源、财务、运营、法务、审计、信息披露等内控制度，确保符合国资监管及上市公司管理要求。</w:t>
      </w:r>
    </w:p>
    <w:p w14:paraId="688E7755"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上市公司将对标的公司业务合规开展进行充分监督，要求标的公司管理团队成员承诺确保标的公司及其下属子公司依法合规使用资金，日常经营应符合国家法律法规、中国证监会规章、上海证券交易所上市规则和上市公司规范运作指引、公司章程及其他内部治理文件的相关规定和要求。</w:t>
      </w:r>
    </w:p>
    <w:p w14:paraId="3C84F935"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在对标的公司管理方面，在不违反相关法律法规、规范性文件、中国证监会和上海证券交易所相关规定和公司章程及其他治理文件的强制性规定的前提下，上市公司将充分支持和保证标的公司的经营独立性和经营管理团队的决策自主权，积极保持标的公司原有经营管理团队的稳定性，以充分发挥标的公司原有管理团队和股东的主动性，更好的完成本次交易的业绩承诺指标，以维护上市公司和中小股东的利益。</w:t>
      </w:r>
      <w:bookmarkEnd w:id="58"/>
    </w:p>
    <w:p w14:paraId="54592D5C" w14:textId="58D94C2F" w:rsidR="000A0ACD" w:rsidRPr="008F375B" w:rsidRDefault="008F375B" w:rsidP="008F375B">
      <w:pPr>
        <w:spacing w:beforeLines="50" w:before="156" w:line="360" w:lineRule="auto"/>
        <w:ind w:firstLineChars="200" w:firstLine="482"/>
        <w:jc w:val="both"/>
        <w:outlineLvl w:val="1"/>
        <w:rPr>
          <w:rFonts w:ascii="Times New Roman" w:eastAsia="黑体" w:hAnsi="Times New Roman" w:cs="Times New Roman"/>
          <w:b/>
          <w:color w:val="000000"/>
          <w:szCs w:val="21"/>
        </w:rPr>
      </w:pPr>
      <w:r w:rsidRPr="008F375B">
        <w:rPr>
          <w:rFonts w:ascii="Times New Roman" w:eastAsia="黑体" w:hAnsi="Times New Roman" w:cs="Times New Roman" w:hint="eastAsia"/>
          <w:b/>
          <w:color w:val="000000"/>
          <w:szCs w:val="21"/>
        </w:rPr>
        <w:t>4</w:t>
      </w:r>
      <w:r w:rsidRPr="008F375B">
        <w:rPr>
          <w:rFonts w:ascii="Times New Roman" w:eastAsia="黑体" w:hAnsi="Times New Roman" w:cs="Times New Roman" w:hint="eastAsia"/>
          <w:b/>
          <w:color w:val="000000"/>
          <w:szCs w:val="21"/>
        </w:rPr>
        <w:t>）</w:t>
      </w:r>
      <w:r w:rsidR="00362A99" w:rsidRPr="008F375B">
        <w:rPr>
          <w:rFonts w:ascii="Times New Roman" w:eastAsia="黑体" w:hAnsi="Times New Roman" w:cs="Times New Roman" w:hint="eastAsia"/>
          <w:b/>
          <w:color w:val="000000"/>
          <w:szCs w:val="21"/>
        </w:rPr>
        <w:t>补充披露情况</w:t>
      </w:r>
    </w:p>
    <w:p w14:paraId="7C2E0AB8" w14:textId="209F1931" w:rsidR="000A0ACD" w:rsidRDefault="008F375B">
      <w:pPr>
        <w:spacing w:beforeLines="50" w:before="156" w:line="360" w:lineRule="auto"/>
        <w:ind w:firstLineChars="200" w:firstLine="480"/>
        <w:jc w:val="both"/>
        <w:rPr>
          <w:rFonts w:ascii="Times New Roman" w:hAnsi="Times New Roman" w:cs="Times New Roman"/>
          <w:bCs/>
          <w:color w:val="000000"/>
        </w:rPr>
      </w:pPr>
      <w:bookmarkStart w:id="59" w:name="_Hlk69811905"/>
      <w:r>
        <w:rPr>
          <w:rFonts w:ascii="Times New Roman" w:hAnsi="Times New Roman" w:cs="Times New Roman" w:hint="eastAsia"/>
          <w:bCs/>
          <w:color w:val="000000"/>
        </w:rPr>
        <w:t>“标的</w:t>
      </w:r>
      <w:r w:rsidRPr="008F375B">
        <w:rPr>
          <w:rFonts w:ascii="Times New Roman" w:hAnsi="Times New Roman" w:cs="Times New Roman" w:hint="eastAsia"/>
          <w:bCs/>
          <w:color w:val="000000"/>
        </w:rPr>
        <w:t>资产是否具备健全有效的法人治理结构</w:t>
      </w:r>
      <w:r>
        <w:rPr>
          <w:rFonts w:ascii="Times New Roman" w:hAnsi="Times New Roman" w:cs="Times New Roman" w:hint="eastAsia"/>
          <w:bCs/>
          <w:color w:val="000000"/>
        </w:rPr>
        <w:t>”、“</w:t>
      </w:r>
      <w:r w:rsidRPr="008F375B">
        <w:rPr>
          <w:rFonts w:ascii="Times New Roman" w:hAnsi="Times New Roman" w:cs="Times New Roman" w:hint="eastAsia"/>
          <w:bCs/>
          <w:color w:val="000000"/>
        </w:rPr>
        <w:t>报告期内核心管理团队成员的姓名、职务和在外兼职、投资情况及原因，兼职或投资行为是否违反相关法律法规及公司规章制度、是否影响其勤勉尽责履职，兼职或投资单位与标的资产有无关联关系或经营同类业务</w:t>
      </w:r>
      <w:r>
        <w:rPr>
          <w:rFonts w:ascii="Times New Roman" w:hAnsi="Times New Roman" w:cs="Times New Roman" w:hint="eastAsia"/>
          <w:bCs/>
          <w:color w:val="000000"/>
        </w:rPr>
        <w:t>”及</w:t>
      </w:r>
      <w:r w:rsidR="00362A99">
        <w:rPr>
          <w:rFonts w:ascii="Times New Roman" w:hAnsi="Times New Roman" w:cs="Times New Roman" w:hint="eastAsia"/>
          <w:bCs/>
          <w:color w:val="000000"/>
        </w:rPr>
        <w:t>“交易完成后强化标的资产内部治理的具体措施”</w:t>
      </w:r>
      <w:r>
        <w:rPr>
          <w:rFonts w:ascii="Times New Roman" w:hAnsi="Times New Roman" w:cs="Times New Roman" w:hint="eastAsia"/>
          <w:bCs/>
          <w:color w:val="000000"/>
        </w:rPr>
        <w:t>情况</w:t>
      </w:r>
      <w:r w:rsidR="00362A99">
        <w:rPr>
          <w:rFonts w:ascii="Times New Roman" w:hAnsi="Times New Roman" w:cs="Times New Roman" w:hint="eastAsia"/>
          <w:bCs/>
          <w:color w:val="000000"/>
        </w:rPr>
        <w:t>已在“第十三节</w:t>
      </w:r>
      <w:r w:rsidR="00362A99">
        <w:rPr>
          <w:rFonts w:ascii="Times New Roman" w:hAnsi="Times New Roman" w:cs="Times New Roman"/>
          <w:bCs/>
          <w:color w:val="000000"/>
        </w:rPr>
        <w:t xml:space="preserve"> </w:t>
      </w:r>
      <w:r w:rsidR="00362A99">
        <w:rPr>
          <w:rFonts w:ascii="Times New Roman" w:hAnsi="Times New Roman" w:cs="Times New Roman" w:hint="eastAsia"/>
          <w:bCs/>
          <w:color w:val="000000"/>
        </w:rPr>
        <w:t>其他重要事项”之“四、本次交易对上市公司治理机制的影响”之“（二）本次交易完成后公司治理结构的完善措施”补充披露。</w:t>
      </w:r>
    </w:p>
    <w:bookmarkEnd w:id="59"/>
    <w:p w14:paraId="0D5E2F0E" w14:textId="1CF777E7" w:rsidR="000A0ACD" w:rsidRPr="008F375B" w:rsidRDefault="008F375B" w:rsidP="008F375B">
      <w:pPr>
        <w:spacing w:beforeLines="50" w:before="156" w:line="360" w:lineRule="auto"/>
        <w:ind w:firstLineChars="200" w:firstLine="482"/>
        <w:jc w:val="both"/>
        <w:outlineLvl w:val="1"/>
        <w:rPr>
          <w:rFonts w:ascii="Times New Roman" w:eastAsia="黑体" w:hAnsi="Times New Roman" w:cs="Times New Roman"/>
          <w:b/>
          <w:color w:val="000000"/>
          <w:szCs w:val="21"/>
        </w:rPr>
      </w:pPr>
      <w:r w:rsidRPr="008F375B">
        <w:rPr>
          <w:rFonts w:ascii="Times New Roman" w:eastAsia="黑体" w:hAnsi="Times New Roman" w:cs="Times New Roman" w:hint="eastAsia"/>
          <w:b/>
          <w:color w:val="000000"/>
          <w:szCs w:val="21"/>
        </w:rPr>
        <w:t>5</w:t>
      </w:r>
      <w:r w:rsidRPr="008F375B">
        <w:rPr>
          <w:rFonts w:ascii="Times New Roman" w:eastAsia="黑体" w:hAnsi="Times New Roman" w:cs="Times New Roman" w:hint="eastAsia"/>
          <w:b/>
          <w:color w:val="000000"/>
          <w:szCs w:val="21"/>
        </w:rPr>
        <w:t>）</w:t>
      </w:r>
      <w:r w:rsidR="00362A99" w:rsidRPr="008F375B">
        <w:rPr>
          <w:rFonts w:ascii="Times New Roman" w:eastAsia="黑体" w:hAnsi="Times New Roman" w:cs="Times New Roman" w:hint="eastAsia"/>
          <w:b/>
          <w:color w:val="000000"/>
          <w:szCs w:val="21"/>
        </w:rPr>
        <w:t>独立财务顾问及律师核查意见</w:t>
      </w:r>
    </w:p>
    <w:p w14:paraId="713FE973" w14:textId="6443C2B1" w:rsidR="000A0ACD" w:rsidRDefault="00362A99">
      <w:pPr>
        <w:spacing w:beforeLines="50" w:before="156" w:line="360" w:lineRule="auto"/>
        <w:ind w:firstLineChars="200" w:firstLine="480"/>
        <w:jc w:val="both"/>
        <w:rPr>
          <w:rFonts w:ascii="Times New Roman" w:hAnsi="Times New Roman" w:cs="Times New Roman"/>
          <w:color w:val="000000"/>
          <w:szCs w:val="21"/>
        </w:rPr>
      </w:pPr>
      <w:r>
        <w:rPr>
          <w:rFonts w:ascii="Times New Roman" w:hAnsi="Times New Roman" w:cs="Times New Roman" w:hint="eastAsia"/>
          <w:bCs/>
          <w:color w:val="000000"/>
        </w:rPr>
        <w:t>经核查，独立财务顾问及律师认为：核心管理团队的任职及投资行为不影响其在标的公司的勤勉尽责履职，不存在违反相关法律法规及公司规章制度的情形。标的公司已按照法律法规建立了股东大会、董事会、监事会等公司治理机构，制定了《公司章程》、《股东大会议事规则》</w:t>
      </w:r>
      <w:r w:rsidR="008918B1">
        <w:rPr>
          <w:rFonts w:ascii="Times New Roman" w:hAnsi="Times New Roman" w:hint="eastAsia"/>
          <w:color w:val="000000"/>
        </w:rPr>
        <w:t>、《董事会议事规则》</w:t>
      </w:r>
      <w:r>
        <w:rPr>
          <w:rFonts w:ascii="Times New Roman" w:hAnsi="Times New Roman" w:cs="Times New Roman" w:hint="eastAsia"/>
          <w:bCs/>
          <w:color w:val="000000"/>
        </w:rPr>
        <w:t>及《监事会议事规则》等制度。交易完成后，标的公司将按照上市公司的要求，规范公司治理，建立完善内部控制体系，遵守上市公司各项制度，并接受和配合上市公司关于子公司的管理及信息报告披露等要求，进一步保持健全有效的法人治理结构。</w:t>
      </w:r>
    </w:p>
    <w:p w14:paraId="3BEBD7EA" w14:textId="77777777" w:rsidR="000A0ACD" w:rsidRDefault="000A0ACD">
      <w:pPr>
        <w:pStyle w:val="afffff"/>
        <w:sectPr w:rsidR="000A0ACD">
          <w:pgSz w:w="11906" w:h="16838"/>
          <w:pgMar w:top="1440" w:right="1800" w:bottom="1440" w:left="1800" w:header="851" w:footer="992" w:gutter="0"/>
          <w:cols w:space="425"/>
          <w:docGrid w:type="lines" w:linePitch="312"/>
        </w:sectPr>
      </w:pPr>
      <w:bookmarkStart w:id="60" w:name="_Toc69256854"/>
      <w:bookmarkStart w:id="61" w:name="_Toc69256872"/>
    </w:p>
    <w:p w14:paraId="61C6FEA7" w14:textId="77777777" w:rsidR="000A0ACD" w:rsidRDefault="00362A99">
      <w:pPr>
        <w:pStyle w:val="afffff"/>
      </w:pPr>
      <w:r>
        <w:rPr>
          <w:rFonts w:hint="eastAsia"/>
        </w:rPr>
        <w:t>第七题</w:t>
      </w:r>
    </w:p>
    <w:p w14:paraId="2A2433EC"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申请文件显示，历史上标的资产股权存在多起代持情形。请你公司补充披露：</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）出现股权代持的原因、变动的详细过程及是否已清理完毕，解除代持关系是否签订有关协议。</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）标的资产有无股权争议，对潜在法律风险有无具体应对措施。请独立财务顾问和律师核查并发表明确意见。</w:t>
      </w:r>
    </w:p>
    <w:p w14:paraId="49E8A3C0" w14:textId="77777777" w:rsidR="000A0ACD" w:rsidRDefault="00362A99">
      <w:pPr>
        <w:pStyle w:val="affffd"/>
        <w:spacing w:before="156"/>
        <w:ind w:firstLine="482"/>
        <w:rPr>
          <w:b/>
        </w:rPr>
      </w:pPr>
      <w:r>
        <w:rPr>
          <w:rFonts w:hint="eastAsia"/>
          <w:b/>
        </w:rPr>
        <w:t>【回复说明】</w:t>
      </w:r>
    </w:p>
    <w:p w14:paraId="7CDECD5F"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）出现股权代持的原因、变动的详细过程及是否已清理完毕，解除代持关系是否签订有关协议。</w:t>
      </w:r>
    </w:p>
    <w:p w14:paraId="0A79A070"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一、李红与肖中海之间的股份代持及还原情况</w:t>
      </w:r>
    </w:p>
    <w:p w14:paraId="770CA3F4"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（一）股份代持的形成</w:t>
      </w:r>
    </w:p>
    <w:p w14:paraId="3AFABB7B"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根据对黄晓峰、李红、肖中海的访谈，</w:t>
      </w:r>
      <w:r>
        <w:rPr>
          <w:rFonts w:ascii="Times New Roman" w:hAnsi="Times New Roman" w:cs="Times New Roman"/>
          <w:bCs/>
          <w:color w:val="000000"/>
        </w:rPr>
        <w:t>2016</w:t>
      </w:r>
      <w:r>
        <w:rPr>
          <w:rFonts w:ascii="Times New Roman" w:hAnsi="Times New Roman" w:cs="Times New Roman" w:hint="eastAsia"/>
          <w:bCs/>
          <w:color w:val="000000"/>
        </w:rPr>
        <w:t>年李红与肖中海签署《受让股份、代持协议书》，肖中海将其持有的北洋天青</w:t>
      </w:r>
      <w:r>
        <w:rPr>
          <w:rFonts w:ascii="Times New Roman" w:hAnsi="Times New Roman" w:cs="Times New Roman"/>
          <w:bCs/>
          <w:color w:val="000000"/>
        </w:rPr>
        <w:t>10.00</w:t>
      </w:r>
      <w:r>
        <w:rPr>
          <w:rFonts w:ascii="Times New Roman" w:hAnsi="Times New Roman" w:cs="Times New Roman" w:hint="eastAsia"/>
          <w:bCs/>
          <w:color w:val="000000"/>
        </w:rPr>
        <w:t>万股股份以</w:t>
      </w:r>
      <w:r>
        <w:rPr>
          <w:rFonts w:ascii="Times New Roman" w:hAnsi="Times New Roman" w:cs="Times New Roman"/>
          <w:bCs/>
          <w:color w:val="000000"/>
        </w:rPr>
        <w:t>1.50</w:t>
      </w:r>
      <w:r>
        <w:rPr>
          <w:rFonts w:ascii="Times New Roman" w:hAnsi="Times New Roman" w:cs="Times New Roman" w:hint="eastAsia"/>
          <w:bCs/>
          <w:color w:val="000000"/>
        </w:rPr>
        <w:t>元</w:t>
      </w:r>
      <w:r>
        <w:rPr>
          <w:rFonts w:ascii="Times New Roman" w:hAnsi="Times New Roman" w:cs="Times New Roman"/>
          <w:bCs/>
          <w:color w:val="000000"/>
        </w:rPr>
        <w:t>/</w:t>
      </w:r>
      <w:r>
        <w:rPr>
          <w:rFonts w:ascii="Times New Roman" w:hAnsi="Times New Roman" w:cs="Times New Roman" w:hint="eastAsia"/>
          <w:bCs/>
          <w:color w:val="000000"/>
        </w:rPr>
        <w:t>股的价格转让给李红。</w:t>
      </w:r>
      <w:r>
        <w:rPr>
          <w:rFonts w:ascii="Times New Roman" w:hAnsi="Times New Roman" w:cs="Times New Roman"/>
          <w:bCs/>
          <w:color w:val="000000"/>
        </w:rPr>
        <w:t>2018</w:t>
      </w:r>
      <w:r>
        <w:rPr>
          <w:rFonts w:ascii="Times New Roman" w:hAnsi="Times New Roman" w:cs="Times New Roman" w:hint="eastAsia"/>
          <w:bCs/>
          <w:color w:val="000000"/>
        </w:rPr>
        <w:t>年李红与肖中海签署《受让股份、代持协议书》，肖中海将其持有的</w:t>
      </w:r>
      <w:r>
        <w:rPr>
          <w:rFonts w:ascii="Times New Roman" w:hAnsi="Times New Roman" w:cs="Times New Roman"/>
          <w:bCs/>
          <w:color w:val="000000"/>
        </w:rPr>
        <w:t>8.00</w:t>
      </w:r>
      <w:r>
        <w:rPr>
          <w:rFonts w:ascii="Times New Roman" w:hAnsi="Times New Roman" w:cs="Times New Roman" w:hint="eastAsia"/>
          <w:bCs/>
          <w:color w:val="000000"/>
        </w:rPr>
        <w:t>万股股份以</w:t>
      </w:r>
      <w:r>
        <w:rPr>
          <w:rFonts w:ascii="Times New Roman" w:hAnsi="Times New Roman" w:cs="Times New Roman"/>
          <w:bCs/>
          <w:color w:val="000000"/>
        </w:rPr>
        <w:t>4.00</w:t>
      </w:r>
      <w:r>
        <w:rPr>
          <w:rFonts w:ascii="Times New Roman" w:hAnsi="Times New Roman" w:cs="Times New Roman" w:hint="eastAsia"/>
          <w:bCs/>
          <w:color w:val="000000"/>
        </w:rPr>
        <w:t>元</w:t>
      </w:r>
      <w:r>
        <w:rPr>
          <w:rFonts w:ascii="Times New Roman" w:hAnsi="Times New Roman" w:cs="Times New Roman"/>
          <w:bCs/>
          <w:color w:val="000000"/>
        </w:rPr>
        <w:t>/</w:t>
      </w:r>
      <w:r>
        <w:rPr>
          <w:rFonts w:ascii="Times New Roman" w:hAnsi="Times New Roman" w:cs="Times New Roman" w:hint="eastAsia"/>
          <w:bCs/>
          <w:color w:val="000000"/>
        </w:rPr>
        <w:t>股的价格转让给李红。</w:t>
      </w:r>
    </w:p>
    <w:p w14:paraId="3FF730A1"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肖中海上述</w:t>
      </w:r>
      <w:r>
        <w:rPr>
          <w:rFonts w:ascii="Times New Roman" w:hAnsi="Times New Roman" w:cs="Times New Roman"/>
          <w:bCs/>
          <w:color w:val="000000"/>
        </w:rPr>
        <w:t>2</w:t>
      </w:r>
      <w:r>
        <w:rPr>
          <w:rFonts w:ascii="Times New Roman" w:hAnsi="Times New Roman" w:cs="Times New Roman" w:hint="eastAsia"/>
          <w:bCs/>
          <w:color w:val="000000"/>
        </w:rPr>
        <w:t>次股权转让均为急需筹措资金偿还外部借款，因此与李红、黄晓峰直接协商确定转让金额并签订转让协议，标的公司未就上述股份转让出具新的股东名册，且第二次股份转让未通过新三板股票交易系统进行股票交易。上述股份转让完成后，肖中海名下所持北洋天青</w:t>
      </w:r>
      <w:r>
        <w:rPr>
          <w:rFonts w:ascii="Times New Roman" w:hAnsi="Times New Roman" w:cs="Times New Roman"/>
          <w:bCs/>
          <w:color w:val="000000"/>
        </w:rPr>
        <w:t>18.00</w:t>
      </w:r>
      <w:r>
        <w:rPr>
          <w:rFonts w:ascii="Times New Roman" w:hAnsi="Times New Roman" w:cs="Times New Roman" w:hint="eastAsia"/>
          <w:bCs/>
          <w:color w:val="000000"/>
        </w:rPr>
        <w:t>万股股份系代李红持有，其余</w:t>
      </w:r>
      <w:r>
        <w:rPr>
          <w:rFonts w:ascii="Times New Roman" w:hAnsi="Times New Roman" w:cs="Times New Roman"/>
          <w:bCs/>
          <w:color w:val="000000"/>
        </w:rPr>
        <w:t>132.00</w:t>
      </w:r>
      <w:r>
        <w:rPr>
          <w:rFonts w:ascii="Times New Roman" w:hAnsi="Times New Roman" w:cs="Times New Roman" w:hint="eastAsia"/>
          <w:bCs/>
          <w:color w:val="000000"/>
        </w:rPr>
        <w:t>万股股份为其实际持有。</w:t>
      </w:r>
    </w:p>
    <w:p w14:paraId="09116D41"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（二）股份代持的还原及股份转让情况</w:t>
      </w:r>
    </w:p>
    <w:p w14:paraId="7C990524"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根据肖中海与李红签署的《股份转让协议》、股转系统交易记录及中介机构对李红、黄晓峰和肖中海的访谈，李红与肖中海之间的股份代持还原及股份转让情况具体如下：</w:t>
      </w:r>
    </w:p>
    <w:p w14:paraId="15672E91" w14:textId="5BFFC176"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bCs/>
          <w:color w:val="000000"/>
        </w:rPr>
        <w:t>2019</w:t>
      </w:r>
      <w:r>
        <w:rPr>
          <w:rFonts w:ascii="Times New Roman" w:hAnsi="Times New Roman" w:cs="Times New Roman" w:hint="eastAsia"/>
          <w:bCs/>
          <w:color w:val="000000"/>
        </w:rPr>
        <w:t>年</w:t>
      </w:r>
      <w:r>
        <w:rPr>
          <w:rFonts w:ascii="Times New Roman" w:hAnsi="Times New Roman" w:cs="Times New Roman"/>
          <w:bCs/>
          <w:color w:val="000000"/>
        </w:rPr>
        <w:t>8</w:t>
      </w:r>
      <w:r>
        <w:rPr>
          <w:rFonts w:ascii="Times New Roman" w:hAnsi="Times New Roman" w:cs="Times New Roman" w:hint="eastAsia"/>
          <w:bCs/>
          <w:color w:val="000000"/>
        </w:rPr>
        <w:t>月肖中海离职时，其与李红、黄晓峰协商将其名下所持北洋天青</w:t>
      </w:r>
      <w:r>
        <w:rPr>
          <w:rFonts w:ascii="Times New Roman" w:hAnsi="Times New Roman" w:cs="Times New Roman"/>
          <w:bCs/>
          <w:color w:val="000000"/>
        </w:rPr>
        <w:t>150.00</w:t>
      </w:r>
      <w:r>
        <w:rPr>
          <w:rFonts w:ascii="Times New Roman" w:hAnsi="Times New Roman" w:cs="Times New Roman" w:hint="eastAsia"/>
          <w:bCs/>
          <w:color w:val="000000"/>
        </w:rPr>
        <w:t>万股股份中的</w:t>
      </w:r>
      <w:r>
        <w:rPr>
          <w:rFonts w:ascii="Times New Roman" w:hAnsi="Times New Roman" w:cs="Times New Roman"/>
          <w:bCs/>
          <w:color w:val="000000"/>
        </w:rPr>
        <w:t>130.00</w:t>
      </w:r>
      <w:r>
        <w:rPr>
          <w:rFonts w:ascii="Times New Roman" w:hAnsi="Times New Roman" w:cs="Times New Roman" w:hint="eastAsia"/>
          <w:bCs/>
          <w:color w:val="000000"/>
        </w:rPr>
        <w:t>万股股份转让给李红，其中</w:t>
      </w:r>
      <w:r>
        <w:rPr>
          <w:rFonts w:ascii="Times New Roman" w:hAnsi="Times New Roman" w:cs="Times New Roman"/>
          <w:bCs/>
          <w:color w:val="000000"/>
        </w:rPr>
        <w:t>18.00</w:t>
      </w:r>
      <w:r>
        <w:rPr>
          <w:rFonts w:ascii="Times New Roman" w:hAnsi="Times New Roman" w:cs="Times New Roman" w:hint="eastAsia"/>
          <w:bCs/>
          <w:color w:val="000000"/>
        </w:rPr>
        <w:t>万股已分别于</w:t>
      </w:r>
      <w:r>
        <w:rPr>
          <w:rFonts w:ascii="Times New Roman" w:hAnsi="Times New Roman" w:cs="Times New Roman"/>
          <w:bCs/>
          <w:color w:val="000000"/>
        </w:rPr>
        <w:t>2016</w:t>
      </w:r>
      <w:r>
        <w:rPr>
          <w:rFonts w:ascii="Times New Roman" w:hAnsi="Times New Roman" w:cs="Times New Roman" w:hint="eastAsia"/>
          <w:bCs/>
          <w:color w:val="000000"/>
        </w:rPr>
        <w:t>年和</w:t>
      </w:r>
      <w:r>
        <w:rPr>
          <w:rFonts w:ascii="Times New Roman" w:hAnsi="Times New Roman" w:cs="Times New Roman"/>
          <w:bCs/>
          <w:color w:val="000000"/>
        </w:rPr>
        <w:t>2018</w:t>
      </w:r>
      <w:r>
        <w:rPr>
          <w:rFonts w:ascii="Times New Roman" w:hAnsi="Times New Roman" w:cs="Times New Roman" w:hint="eastAsia"/>
          <w:bCs/>
          <w:color w:val="000000"/>
        </w:rPr>
        <w:t>年实际转让完毕，剩余</w:t>
      </w:r>
      <w:r>
        <w:rPr>
          <w:rFonts w:ascii="Times New Roman" w:hAnsi="Times New Roman" w:cs="Times New Roman"/>
          <w:bCs/>
          <w:color w:val="000000"/>
        </w:rPr>
        <w:t>112.00</w:t>
      </w:r>
      <w:r>
        <w:rPr>
          <w:rFonts w:ascii="Times New Roman" w:hAnsi="Times New Roman" w:cs="Times New Roman" w:hint="eastAsia"/>
          <w:bCs/>
          <w:color w:val="000000"/>
        </w:rPr>
        <w:t>万股由肖中海按入股成本将其所持股份转让给李红。由于</w:t>
      </w:r>
      <w:r>
        <w:rPr>
          <w:rFonts w:ascii="Times New Roman" w:hAnsi="Times New Roman" w:cs="Times New Roman"/>
          <w:bCs/>
          <w:color w:val="000000"/>
        </w:rPr>
        <w:t>2015</w:t>
      </w:r>
      <w:r>
        <w:rPr>
          <w:rFonts w:ascii="Times New Roman" w:hAnsi="Times New Roman" w:cs="Times New Roman" w:hint="eastAsia"/>
          <w:bCs/>
          <w:color w:val="000000"/>
        </w:rPr>
        <w:t>年</w:t>
      </w:r>
      <w:r>
        <w:rPr>
          <w:rFonts w:ascii="Times New Roman" w:hAnsi="Times New Roman" w:cs="Times New Roman"/>
          <w:bCs/>
          <w:color w:val="000000"/>
        </w:rPr>
        <w:t>12</w:t>
      </w:r>
      <w:r>
        <w:rPr>
          <w:rFonts w:ascii="Times New Roman" w:hAnsi="Times New Roman" w:cs="Times New Roman" w:hint="eastAsia"/>
          <w:bCs/>
          <w:color w:val="000000"/>
        </w:rPr>
        <w:t>月肖中海以</w:t>
      </w:r>
      <w:r>
        <w:rPr>
          <w:rFonts w:ascii="Times New Roman" w:hAnsi="Times New Roman" w:cs="Times New Roman"/>
          <w:bCs/>
          <w:color w:val="000000"/>
        </w:rPr>
        <w:t>79.50</w:t>
      </w:r>
      <w:r>
        <w:rPr>
          <w:rFonts w:ascii="Times New Roman" w:hAnsi="Times New Roman" w:cs="Times New Roman" w:hint="eastAsia"/>
          <w:bCs/>
          <w:color w:val="000000"/>
        </w:rPr>
        <w:t>万元的价格认购北洋天青</w:t>
      </w:r>
      <w:r w:rsidR="008918B1">
        <w:rPr>
          <w:rFonts w:ascii="Times New Roman" w:hAnsi="Times New Roman" w:hint="eastAsia"/>
          <w:bCs/>
        </w:rPr>
        <w:t>有限</w:t>
      </w:r>
      <w:r>
        <w:rPr>
          <w:rFonts w:ascii="Times New Roman" w:hAnsi="Times New Roman" w:cs="Times New Roman"/>
          <w:bCs/>
          <w:color w:val="000000"/>
        </w:rPr>
        <w:t>50.00</w:t>
      </w:r>
      <w:r>
        <w:rPr>
          <w:rFonts w:ascii="Times New Roman" w:hAnsi="Times New Roman" w:cs="Times New Roman" w:hint="eastAsia"/>
          <w:bCs/>
          <w:color w:val="000000"/>
        </w:rPr>
        <w:t>万元出资额时，李红为肖中海垫付</w:t>
      </w:r>
      <w:r>
        <w:rPr>
          <w:rFonts w:ascii="Times New Roman" w:hAnsi="Times New Roman" w:cs="Times New Roman"/>
          <w:bCs/>
          <w:color w:val="000000"/>
        </w:rPr>
        <w:t>29.50</w:t>
      </w:r>
      <w:r>
        <w:rPr>
          <w:rFonts w:ascii="Times New Roman" w:hAnsi="Times New Roman" w:cs="Times New Roman" w:hint="eastAsia"/>
          <w:bCs/>
          <w:color w:val="000000"/>
        </w:rPr>
        <w:t>万元增资款后肖中海一直未偿还，因此双方协商后认定肖中海历次入股成本为</w:t>
      </w:r>
      <w:r>
        <w:rPr>
          <w:rFonts w:ascii="Times New Roman" w:hAnsi="Times New Roman" w:cs="Times New Roman"/>
          <w:bCs/>
          <w:color w:val="000000"/>
        </w:rPr>
        <w:t>1.00</w:t>
      </w:r>
      <w:r>
        <w:rPr>
          <w:rFonts w:ascii="Times New Roman" w:hAnsi="Times New Roman" w:cs="Times New Roman" w:hint="eastAsia"/>
          <w:bCs/>
          <w:color w:val="000000"/>
        </w:rPr>
        <w:t>元</w:t>
      </w:r>
      <w:r>
        <w:rPr>
          <w:rFonts w:ascii="Times New Roman" w:hAnsi="Times New Roman" w:cs="Times New Roman"/>
          <w:bCs/>
          <w:color w:val="000000"/>
        </w:rPr>
        <w:t>/</w:t>
      </w:r>
      <w:r>
        <w:rPr>
          <w:rFonts w:ascii="Times New Roman" w:hAnsi="Times New Roman" w:cs="Times New Roman" w:hint="eastAsia"/>
          <w:bCs/>
          <w:color w:val="000000"/>
        </w:rPr>
        <w:t>股，李红受让肖中海所持北洋天青</w:t>
      </w:r>
      <w:r>
        <w:rPr>
          <w:rFonts w:ascii="Times New Roman" w:hAnsi="Times New Roman" w:cs="Times New Roman"/>
          <w:bCs/>
          <w:color w:val="000000"/>
        </w:rPr>
        <w:t>112.00</w:t>
      </w:r>
      <w:r>
        <w:rPr>
          <w:rFonts w:ascii="Times New Roman" w:hAnsi="Times New Roman" w:cs="Times New Roman" w:hint="eastAsia"/>
          <w:bCs/>
          <w:color w:val="000000"/>
        </w:rPr>
        <w:t>万股股份应支付对价</w:t>
      </w:r>
      <w:r>
        <w:rPr>
          <w:rFonts w:ascii="Times New Roman" w:hAnsi="Times New Roman" w:cs="Times New Roman"/>
          <w:bCs/>
          <w:color w:val="000000"/>
        </w:rPr>
        <w:t>112.00</w:t>
      </w:r>
      <w:r>
        <w:rPr>
          <w:rFonts w:ascii="Times New Roman" w:hAnsi="Times New Roman" w:cs="Times New Roman" w:hint="eastAsia"/>
          <w:bCs/>
          <w:color w:val="000000"/>
        </w:rPr>
        <w:t>万元。</w:t>
      </w:r>
    </w:p>
    <w:p w14:paraId="32722726"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bCs/>
          <w:color w:val="000000"/>
        </w:rPr>
        <w:t>2019</w:t>
      </w:r>
      <w:r>
        <w:rPr>
          <w:rFonts w:ascii="Times New Roman" w:hAnsi="Times New Roman" w:cs="Times New Roman" w:hint="eastAsia"/>
          <w:bCs/>
          <w:color w:val="000000"/>
        </w:rPr>
        <w:t>年</w:t>
      </w:r>
      <w:r>
        <w:rPr>
          <w:rFonts w:ascii="Times New Roman" w:hAnsi="Times New Roman" w:cs="Times New Roman"/>
          <w:bCs/>
          <w:color w:val="000000"/>
        </w:rPr>
        <w:t>12</w:t>
      </w:r>
      <w:r>
        <w:rPr>
          <w:rFonts w:ascii="Times New Roman" w:hAnsi="Times New Roman" w:cs="Times New Roman" w:hint="eastAsia"/>
          <w:bCs/>
          <w:color w:val="000000"/>
        </w:rPr>
        <w:t>月，肖中海将其所持北洋天青</w:t>
      </w:r>
      <w:r>
        <w:rPr>
          <w:rFonts w:ascii="Times New Roman" w:hAnsi="Times New Roman" w:cs="Times New Roman"/>
          <w:bCs/>
          <w:color w:val="000000"/>
        </w:rPr>
        <w:t>1,000</w:t>
      </w:r>
      <w:r>
        <w:rPr>
          <w:rFonts w:ascii="Times New Roman" w:hAnsi="Times New Roman" w:cs="Times New Roman" w:hint="eastAsia"/>
          <w:bCs/>
          <w:color w:val="000000"/>
        </w:rPr>
        <w:t>股股份通过</w:t>
      </w:r>
      <w:r>
        <w:rPr>
          <w:rFonts w:ascii="Times New Roman" w:hAnsi="Times New Roman" w:cs="Times New Roman" w:hint="eastAsia"/>
          <w:bCs/>
          <w:color w:val="000000"/>
          <w:lang w:bidi="ar"/>
        </w:rPr>
        <w:t>集合竞价交易向其他新三板投资者</w:t>
      </w:r>
      <w:r>
        <w:rPr>
          <w:rFonts w:ascii="Times New Roman" w:hAnsi="Times New Roman" w:cs="Times New Roman" w:hint="eastAsia"/>
          <w:bCs/>
          <w:color w:val="000000"/>
        </w:rPr>
        <w:t>转出，然后将其所持北洋天青合计</w:t>
      </w:r>
      <w:r>
        <w:rPr>
          <w:rFonts w:ascii="Times New Roman" w:hAnsi="Times New Roman" w:cs="Times New Roman"/>
          <w:bCs/>
          <w:color w:val="000000"/>
        </w:rPr>
        <w:t>33.00</w:t>
      </w:r>
      <w:r>
        <w:rPr>
          <w:rFonts w:ascii="Times New Roman" w:hAnsi="Times New Roman" w:cs="Times New Roman" w:hint="eastAsia"/>
          <w:bCs/>
          <w:color w:val="000000"/>
        </w:rPr>
        <w:t>万股股份通过股转交易系统转让给李红；</w:t>
      </w:r>
      <w:r>
        <w:rPr>
          <w:rFonts w:ascii="Times New Roman" w:hAnsi="Times New Roman" w:cs="Times New Roman"/>
          <w:bCs/>
          <w:color w:val="000000"/>
        </w:rPr>
        <w:t>2020</w:t>
      </w:r>
      <w:r>
        <w:rPr>
          <w:rFonts w:ascii="Times New Roman" w:hAnsi="Times New Roman" w:cs="Times New Roman" w:hint="eastAsia"/>
          <w:bCs/>
          <w:color w:val="000000"/>
        </w:rPr>
        <w:t>年</w:t>
      </w:r>
      <w:r>
        <w:rPr>
          <w:rFonts w:ascii="Times New Roman" w:hAnsi="Times New Roman" w:cs="Times New Roman"/>
          <w:bCs/>
          <w:color w:val="000000"/>
        </w:rPr>
        <w:t>3</w:t>
      </w:r>
      <w:r>
        <w:rPr>
          <w:rFonts w:ascii="Times New Roman" w:hAnsi="Times New Roman" w:cs="Times New Roman" w:hint="eastAsia"/>
          <w:bCs/>
          <w:color w:val="000000"/>
        </w:rPr>
        <w:t>月，肖中海与李红签署《股份转让协议》，肖中海将其所持北洋天青</w:t>
      </w:r>
      <w:r>
        <w:rPr>
          <w:rFonts w:ascii="Times New Roman" w:hAnsi="Times New Roman" w:cs="Times New Roman"/>
          <w:bCs/>
          <w:color w:val="000000"/>
        </w:rPr>
        <w:t>96.90</w:t>
      </w:r>
      <w:r>
        <w:rPr>
          <w:rFonts w:ascii="Times New Roman" w:hAnsi="Times New Roman" w:cs="Times New Roman" w:hint="eastAsia"/>
          <w:bCs/>
          <w:color w:val="000000"/>
        </w:rPr>
        <w:t>万股股份转让给李红。</w:t>
      </w:r>
    </w:p>
    <w:p w14:paraId="6054B8AA" w14:textId="27FF7B18"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本次股份转让中，除肖中海代李红持有的</w:t>
      </w:r>
      <w:r>
        <w:rPr>
          <w:rFonts w:ascii="Times New Roman" w:hAnsi="Times New Roman" w:cs="Times New Roman" w:hint="eastAsia"/>
        </w:rPr>
        <w:t>18.00</w:t>
      </w:r>
      <w:r>
        <w:rPr>
          <w:rFonts w:ascii="Times New Roman" w:hAnsi="Times New Roman" w:cs="Times New Roman" w:hint="eastAsia"/>
        </w:rPr>
        <w:t>万股股份外，肖中海实际向李红转让股份数量合计为</w:t>
      </w:r>
      <w:r>
        <w:rPr>
          <w:rFonts w:ascii="Times New Roman" w:hAnsi="Times New Roman" w:cs="Times New Roman" w:hint="eastAsia"/>
        </w:rPr>
        <w:t>111.90</w:t>
      </w:r>
      <w:r>
        <w:rPr>
          <w:rFonts w:ascii="Times New Roman" w:hAnsi="Times New Roman" w:cs="Times New Roman" w:hint="eastAsia"/>
        </w:rPr>
        <w:t>万股。</w:t>
      </w:r>
      <w:r>
        <w:rPr>
          <w:rFonts w:ascii="Times New Roman" w:hAnsi="Times New Roman" w:cs="Times New Roman" w:hint="eastAsia"/>
          <w:color w:val="000000"/>
        </w:rPr>
        <w:t>李红</w:t>
      </w:r>
      <w:r>
        <w:rPr>
          <w:rFonts w:ascii="Times New Roman" w:hAnsi="Times New Roman" w:cs="Times New Roman" w:hint="eastAsia"/>
          <w:bCs/>
        </w:rPr>
        <w:t>通过股转交易系统</w:t>
      </w:r>
      <w:r>
        <w:rPr>
          <w:rFonts w:ascii="Times New Roman" w:hAnsi="Times New Roman" w:cs="Times New Roman" w:hint="eastAsia"/>
          <w:color w:val="000000"/>
        </w:rPr>
        <w:t>按</w:t>
      </w:r>
      <w:r>
        <w:rPr>
          <w:rFonts w:ascii="Times New Roman" w:hAnsi="Times New Roman" w:cs="Times New Roman" w:hint="eastAsia"/>
          <w:color w:val="000000"/>
        </w:rPr>
        <w:t>2.15</w:t>
      </w:r>
      <w:r>
        <w:rPr>
          <w:rFonts w:ascii="Times New Roman" w:hAnsi="Times New Roman" w:cs="Times New Roman" w:hint="eastAsia"/>
          <w:color w:val="000000"/>
        </w:rPr>
        <w:t>元</w:t>
      </w:r>
      <w:r>
        <w:rPr>
          <w:rFonts w:ascii="Times New Roman" w:hAnsi="Times New Roman" w:cs="Times New Roman" w:hint="eastAsia"/>
          <w:color w:val="000000"/>
        </w:rPr>
        <w:t>/</w:t>
      </w:r>
      <w:r>
        <w:rPr>
          <w:rFonts w:ascii="Times New Roman" w:hAnsi="Times New Roman" w:cs="Times New Roman" w:hint="eastAsia"/>
          <w:color w:val="000000"/>
        </w:rPr>
        <w:t>股的价格</w:t>
      </w:r>
      <w:r>
        <w:rPr>
          <w:rFonts w:ascii="Times New Roman" w:hAnsi="Times New Roman" w:cs="Times New Roman" w:hint="eastAsia"/>
          <w:bCs/>
        </w:rPr>
        <w:t>向肖中海支付了</w:t>
      </w:r>
      <w:r>
        <w:rPr>
          <w:rFonts w:ascii="Times New Roman" w:hAnsi="Times New Roman" w:cs="Times New Roman" w:hint="eastAsia"/>
          <w:bCs/>
        </w:rPr>
        <w:t>70.95</w:t>
      </w:r>
      <w:r>
        <w:rPr>
          <w:rFonts w:ascii="Times New Roman" w:hAnsi="Times New Roman" w:cs="Times New Roman" w:hint="eastAsia"/>
          <w:bCs/>
        </w:rPr>
        <w:t>万元，并</w:t>
      </w:r>
      <w:r>
        <w:rPr>
          <w:rFonts w:ascii="Times New Roman" w:hAnsi="Times New Roman" w:cs="Times New Roman" w:hint="eastAsia"/>
        </w:rPr>
        <w:t>委托李威向其支付了股份转让款</w:t>
      </w:r>
      <w:r>
        <w:rPr>
          <w:rFonts w:ascii="Times New Roman" w:hAnsi="Times New Roman" w:cs="Times New Roman" w:hint="eastAsia"/>
        </w:rPr>
        <w:t>43.19</w:t>
      </w:r>
      <w:r>
        <w:rPr>
          <w:rFonts w:ascii="Times New Roman" w:hAnsi="Times New Roman" w:cs="Times New Roman" w:hint="eastAsia"/>
        </w:rPr>
        <w:t>万元，合计为</w:t>
      </w:r>
      <w:r>
        <w:rPr>
          <w:rFonts w:ascii="Times New Roman" w:hAnsi="Times New Roman" w:cs="Times New Roman" w:hint="eastAsia"/>
        </w:rPr>
        <w:t>114.14</w:t>
      </w:r>
      <w:r>
        <w:rPr>
          <w:rFonts w:ascii="Times New Roman" w:hAnsi="Times New Roman" w:cs="Times New Roman" w:hint="eastAsia"/>
        </w:rPr>
        <w:t>万元股份转让款。前述李威代李红支付股份转让款的具体原因详见下文“（二）李红与李威之间的股份代持及</w:t>
      </w:r>
      <w:r w:rsidR="008918B1">
        <w:rPr>
          <w:rFonts w:ascii="Times New Roman" w:hAnsi="Times New Roman" w:hint="eastAsia"/>
        </w:rPr>
        <w:t>解除</w:t>
      </w:r>
      <w:r>
        <w:rPr>
          <w:rFonts w:ascii="Times New Roman" w:hAnsi="Times New Roman" w:cs="Times New Roman" w:hint="eastAsia"/>
        </w:rPr>
        <w:t>情况”。</w:t>
      </w:r>
    </w:p>
    <w:p w14:paraId="2D3D461F" w14:textId="77777777" w:rsidR="000A0ACD" w:rsidRDefault="00362A99">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李红与肖中海通过股转交易系统及签订《股份转让协议》转让上述北洋天青股份后，李红与肖中海之间的代持股份已还原完毕。截至本回复出具日，肖中海所持北洋天青</w:t>
      </w:r>
      <w:r>
        <w:rPr>
          <w:rFonts w:ascii="Times New Roman" w:hAnsi="Times New Roman" w:cs="Times New Roman" w:hint="eastAsia"/>
          <w:color w:val="000000"/>
        </w:rPr>
        <w:t>20</w:t>
      </w:r>
      <w:r>
        <w:rPr>
          <w:rFonts w:ascii="Times New Roman" w:hAnsi="Times New Roman" w:cs="Times New Roman"/>
          <w:color w:val="000000"/>
        </w:rPr>
        <w:t>.00</w:t>
      </w:r>
      <w:r>
        <w:rPr>
          <w:rFonts w:ascii="Times New Roman" w:hAnsi="Times New Roman" w:cs="Times New Roman" w:hint="eastAsia"/>
          <w:color w:val="000000"/>
        </w:rPr>
        <w:t>万股股份均为其实际持有，不存在委托投资、信托持股或其他股份代持的情形。</w:t>
      </w:r>
    </w:p>
    <w:p w14:paraId="22B7F07A" w14:textId="7BB6E1C9"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二、李红与李威之间的股份代持及</w:t>
      </w:r>
      <w:r w:rsidR="008918B1">
        <w:rPr>
          <w:rFonts w:ascii="Times New Roman" w:hAnsi="Times New Roman" w:cs="Times New Roman" w:hint="eastAsia"/>
          <w:b/>
          <w:color w:val="000000"/>
          <w:szCs w:val="21"/>
        </w:rPr>
        <w:t>解除</w:t>
      </w:r>
      <w:r>
        <w:rPr>
          <w:rFonts w:ascii="Times New Roman" w:hAnsi="Times New Roman" w:cs="Times New Roman" w:hint="eastAsia"/>
          <w:b/>
          <w:color w:val="000000"/>
          <w:szCs w:val="21"/>
        </w:rPr>
        <w:t>情况</w:t>
      </w:r>
    </w:p>
    <w:p w14:paraId="05912A4D"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（一）股份代持的形成</w:t>
      </w:r>
    </w:p>
    <w:p w14:paraId="2D10855F" w14:textId="5C296B05"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根据</w:t>
      </w:r>
      <w:r>
        <w:rPr>
          <w:rFonts w:ascii="Times New Roman" w:hAnsi="Times New Roman" w:hint="eastAsia"/>
        </w:rPr>
        <w:t>李红与李扬签订的协议、资金转账记录并经中介机构</w:t>
      </w:r>
      <w:r>
        <w:rPr>
          <w:rFonts w:ascii="Times New Roman" w:hAnsi="Times New Roman" w:cs="Times New Roman" w:hint="eastAsia"/>
        </w:rPr>
        <w:t>对黄晓峰、李红、李威进行访谈并核查，</w:t>
      </w:r>
      <w:r>
        <w:rPr>
          <w:rFonts w:ascii="Times New Roman" w:hAnsi="Times New Roman" w:cs="Times New Roman" w:hint="eastAsia"/>
          <w:color w:val="000000"/>
        </w:rPr>
        <w:t>北洋天青</w:t>
      </w:r>
      <w:r>
        <w:rPr>
          <w:rFonts w:ascii="Times New Roman" w:hAnsi="Times New Roman" w:cs="Times New Roman" w:hint="eastAsia"/>
          <w:color w:val="000000"/>
          <w:lang w:bidi="ar"/>
        </w:rPr>
        <w:t>2016</w:t>
      </w:r>
      <w:r>
        <w:rPr>
          <w:rFonts w:ascii="Times New Roman" w:hAnsi="Times New Roman" w:cs="Times New Roman" w:hint="eastAsia"/>
          <w:color w:val="000000"/>
          <w:lang w:bidi="ar"/>
        </w:rPr>
        <w:t>年</w:t>
      </w:r>
      <w:r>
        <w:rPr>
          <w:rFonts w:ascii="Times New Roman" w:hAnsi="Times New Roman" w:cs="Times New Roman" w:hint="eastAsia"/>
          <w:color w:val="000000"/>
          <w:lang w:bidi="ar"/>
        </w:rPr>
        <w:t>12</w:t>
      </w:r>
      <w:r>
        <w:rPr>
          <w:rFonts w:ascii="Times New Roman" w:hAnsi="Times New Roman" w:cs="Times New Roman" w:hint="eastAsia"/>
          <w:color w:val="000000"/>
          <w:lang w:bidi="ar"/>
        </w:rPr>
        <w:t>月增资至</w:t>
      </w:r>
      <w:r>
        <w:rPr>
          <w:rFonts w:ascii="Times New Roman" w:hAnsi="Times New Roman" w:cs="Times New Roman" w:hint="eastAsia"/>
          <w:color w:val="000000"/>
          <w:lang w:bidi="ar"/>
        </w:rPr>
        <w:t>1,986.28</w:t>
      </w:r>
      <w:r>
        <w:rPr>
          <w:rFonts w:ascii="Times New Roman" w:hAnsi="Times New Roman" w:cs="Times New Roman" w:hint="eastAsia"/>
          <w:color w:val="000000"/>
          <w:lang w:bidi="ar"/>
        </w:rPr>
        <w:t>万元时，李威与李扬未按期筹集资金参与增资，</w:t>
      </w:r>
      <w:r>
        <w:rPr>
          <w:rFonts w:ascii="Times New Roman" w:hAnsi="Times New Roman" w:cs="Times New Roman" w:hint="eastAsia"/>
          <w:color w:val="000000"/>
        </w:rPr>
        <w:t>因此</w:t>
      </w:r>
      <w:r>
        <w:rPr>
          <w:rFonts w:ascii="Times New Roman" w:hAnsi="Times New Roman" w:cs="Times New Roman" w:hint="eastAsia"/>
          <w:color w:val="000000"/>
          <w:lang w:bidi="ar"/>
        </w:rPr>
        <w:t>2017</w:t>
      </w:r>
      <w:r>
        <w:rPr>
          <w:rFonts w:ascii="Times New Roman" w:hAnsi="Times New Roman" w:cs="Times New Roman" w:hint="eastAsia"/>
          <w:color w:val="000000"/>
          <w:lang w:bidi="ar"/>
        </w:rPr>
        <w:t>年</w:t>
      </w:r>
      <w:r>
        <w:rPr>
          <w:rFonts w:ascii="Times New Roman" w:hAnsi="Times New Roman" w:cs="Times New Roman" w:hint="eastAsia"/>
          <w:color w:val="000000"/>
          <w:lang w:bidi="ar"/>
        </w:rPr>
        <w:t>2</w:t>
      </w:r>
      <w:r>
        <w:rPr>
          <w:rFonts w:ascii="Times New Roman" w:hAnsi="Times New Roman" w:cs="Times New Roman" w:hint="eastAsia"/>
          <w:color w:val="000000"/>
          <w:lang w:bidi="ar"/>
        </w:rPr>
        <w:t>月李红与李威的配偶李扬签署《受让股份、增持股份、代持协议书》，李红以自己名义代李扬认购并持有前述增资股份中的</w:t>
      </w:r>
      <w:r>
        <w:rPr>
          <w:rFonts w:ascii="Times New Roman" w:hAnsi="Times New Roman" w:cs="Times New Roman" w:hint="eastAsia"/>
          <w:color w:val="000000"/>
          <w:lang w:bidi="ar"/>
        </w:rPr>
        <w:t>20.00</w:t>
      </w:r>
      <w:r>
        <w:rPr>
          <w:rFonts w:ascii="Times New Roman" w:hAnsi="Times New Roman" w:cs="Times New Roman" w:hint="eastAsia"/>
          <w:color w:val="000000"/>
          <w:lang w:bidi="ar"/>
        </w:rPr>
        <w:t>万股股份。李扬向李红支付了</w:t>
      </w:r>
      <w:r>
        <w:rPr>
          <w:rFonts w:ascii="Times New Roman" w:hAnsi="Times New Roman" w:cs="Times New Roman"/>
          <w:color w:val="000000"/>
          <w:lang w:bidi="ar"/>
        </w:rPr>
        <w:t>120</w:t>
      </w:r>
      <w:r w:rsidR="00113DF5">
        <w:rPr>
          <w:rFonts w:ascii="Times New Roman" w:hAnsi="Times New Roman" w:cs="Times New Roman"/>
          <w:color w:val="000000"/>
          <w:lang w:bidi="ar"/>
        </w:rPr>
        <w:t>.00</w:t>
      </w:r>
      <w:r>
        <w:rPr>
          <w:rFonts w:ascii="Times New Roman" w:hAnsi="Times New Roman" w:cs="Times New Roman" w:hint="eastAsia"/>
          <w:color w:val="000000"/>
          <w:lang w:bidi="ar"/>
        </w:rPr>
        <w:t>万元股份转让款。为避免北洋天青的股权结构发生频繁变动，标的公司</w:t>
      </w:r>
      <w:r>
        <w:rPr>
          <w:rFonts w:ascii="Times New Roman" w:hAnsi="Times New Roman" w:cs="Times New Roman" w:hint="eastAsia"/>
          <w:color w:val="000000"/>
        </w:rPr>
        <w:t>未就上述股份转让出具新的股东名册。</w:t>
      </w:r>
      <w:r>
        <w:rPr>
          <w:rFonts w:ascii="Times New Roman" w:hAnsi="Times New Roman" w:cs="Times New Roman" w:hint="eastAsia"/>
          <w:color w:val="000000"/>
          <w:lang w:bidi="ar"/>
        </w:rPr>
        <w:t>本次增资完成后，李威及李扬的实际持股数为</w:t>
      </w:r>
      <w:r>
        <w:rPr>
          <w:rFonts w:ascii="Times New Roman" w:hAnsi="Times New Roman" w:cs="Times New Roman" w:hint="eastAsia"/>
          <w:color w:val="000000"/>
          <w:lang w:bidi="ar"/>
        </w:rPr>
        <w:t>370,940</w:t>
      </w:r>
      <w:r>
        <w:rPr>
          <w:rFonts w:ascii="Times New Roman" w:hAnsi="Times New Roman" w:cs="Times New Roman" w:hint="eastAsia"/>
          <w:color w:val="000000"/>
          <w:lang w:bidi="ar"/>
        </w:rPr>
        <w:t>股。</w:t>
      </w:r>
    </w:p>
    <w:p w14:paraId="6DD9463B" w14:textId="6F405890"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（二）股份代持</w:t>
      </w:r>
      <w:r w:rsidR="008918B1">
        <w:rPr>
          <w:rFonts w:ascii="Times New Roman" w:hAnsi="Times New Roman" w:cs="Times New Roman" w:hint="eastAsia"/>
          <w:b/>
          <w:color w:val="000000"/>
        </w:rPr>
        <w:t>解除</w:t>
      </w:r>
      <w:r>
        <w:rPr>
          <w:rFonts w:ascii="Times New Roman" w:hAnsi="Times New Roman" w:cs="Times New Roman" w:hint="eastAsia"/>
          <w:b/>
          <w:color w:val="000000"/>
        </w:rPr>
        <w:t>情况</w:t>
      </w:r>
    </w:p>
    <w:p w14:paraId="43683288" w14:textId="007D0387"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color w:val="000000"/>
          <w:lang w:bidi="ar"/>
        </w:rPr>
        <w:t>2018</w:t>
      </w:r>
      <w:r>
        <w:rPr>
          <w:rFonts w:ascii="Times New Roman" w:hAnsi="Times New Roman" w:cs="Times New Roman" w:hint="eastAsia"/>
          <w:color w:val="000000"/>
          <w:lang w:bidi="ar"/>
        </w:rPr>
        <w:t>年下半年，因李威拟从北洋天青离职，李扬将其委托李红代为持有的北洋天青</w:t>
      </w:r>
      <w:r>
        <w:rPr>
          <w:rFonts w:ascii="Times New Roman" w:hAnsi="Times New Roman" w:cs="Times New Roman"/>
          <w:color w:val="000000"/>
          <w:lang w:bidi="ar"/>
        </w:rPr>
        <w:t>20.00</w:t>
      </w:r>
      <w:r>
        <w:rPr>
          <w:rFonts w:ascii="Times New Roman" w:hAnsi="Times New Roman" w:cs="Times New Roman" w:hint="eastAsia"/>
          <w:color w:val="000000"/>
          <w:lang w:bidi="ar"/>
        </w:rPr>
        <w:t>万股股份按入股价格转回给李红。</w:t>
      </w:r>
      <w:r>
        <w:rPr>
          <w:rFonts w:ascii="Times New Roman" w:hAnsi="Times New Roman" w:cs="Times New Roman"/>
          <w:color w:val="000000"/>
          <w:lang w:bidi="ar"/>
        </w:rPr>
        <w:t>2018</w:t>
      </w:r>
      <w:r>
        <w:rPr>
          <w:rFonts w:ascii="Times New Roman" w:hAnsi="Times New Roman" w:cs="Times New Roman" w:hint="eastAsia"/>
          <w:color w:val="000000"/>
          <w:lang w:bidi="ar"/>
        </w:rPr>
        <w:t>年</w:t>
      </w:r>
      <w:r>
        <w:rPr>
          <w:rFonts w:ascii="Times New Roman" w:hAnsi="Times New Roman" w:cs="Times New Roman"/>
          <w:color w:val="000000"/>
          <w:lang w:bidi="ar"/>
        </w:rPr>
        <w:t>9</w:t>
      </w:r>
      <w:r>
        <w:rPr>
          <w:rFonts w:ascii="Times New Roman" w:hAnsi="Times New Roman" w:cs="Times New Roman" w:hint="eastAsia"/>
          <w:color w:val="000000"/>
          <w:lang w:bidi="ar"/>
        </w:rPr>
        <w:t>月至</w:t>
      </w:r>
      <w:r>
        <w:rPr>
          <w:rFonts w:ascii="Times New Roman" w:hAnsi="Times New Roman" w:cs="Times New Roman"/>
          <w:color w:val="000000"/>
          <w:lang w:bidi="ar"/>
        </w:rPr>
        <w:t>10</w:t>
      </w:r>
      <w:r>
        <w:rPr>
          <w:rFonts w:ascii="Times New Roman" w:hAnsi="Times New Roman" w:cs="Times New Roman" w:hint="eastAsia"/>
          <w:color w:val="000000"/>
          <w:lang w:bidi="ar"/>
        </w:rPr>
        <w:t>月，李红合计向李扬支付了股份转让款</w:t>
      </w:r>
      <w:r>
        <w:rPr>
          <w:rFonts w:ascii="Times New Roman" w:hAnsi="Times New Roman" w:cs="Times New Roman"/>
          <w:color w:val="000000"/>
          <w:lang w:bidi="ar"/>
        </w:rPr>
        <w:t>120.00</w:t>
      </w:r>
      <w:r>
        <w:rPr>
          <w:rFonts w:ascii="Times New Roman" w:hAnsi="Times New Roman" w:cs="Times New Roman" w:hint="eastAsia"/>
          <w:color w:val="000000"/>
          <w:lang w:bidi="ar"/>
        </w:rPr>
        <w:t>万元，受让李威委托其持有的北洋天青</w:t>
      </w:r>
      <w:r>
        <w:rPr>
          <w:rFonts w:ascii="Times New Roman" w:hAnsi="Times New Roman" w:cs="Times New Roman"/>
          <w:color w:val="000000"/>
          <w:lang w:bidi="ar"/>
        </w:rPr>
        <w:t>20.00</w:t>
      </w:r>
      <w:r>
        <w:rPr>
          <w:rFonts w:ascii="Times New Roman" w:hAnsi="Times New Roman" w:cs="Times New Roman" w:hint="eastAsia"/>
          <w:color w:val="000000"/>
          <w:lang w:bidi="ar"/>
        </w:rPr>
        <w:t>万股股份，双方未就本次股份转让签订书面协议。本次股份转让后，李红与李威、李扬之间的股权代持已</w:t>
      </w:r>
      <w:r w:rsidR="008918B1">
        <w:rPr>
          <w:rFonts w:ascii="Times New Roman" w:hAnsi="Times New Roman" w:hint="eastAsia"/>
          <w:color w:val="000000"/>
        </w:rPr>
        <w:t>解除</w:t>
      </w:r>
      <w:r>
        <w:rPr>
          <w:rFonts w:ascii="Times New Roman" w:hAnsi="Times New Roman" w:cs="Times New Roman" w:hint="eastAsia"/>
          <w:color w:val="000000"/>
          <w:lang w:bidi="ar"/>
        </w:rPr>
        <w:t>完毕。</w:t>
      </w:r>
    </w:p>
    <w:p w14:paraId="0F6750DE"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（三）股份转让情况</w:t>
      </w:r>
    </w:p>
    <w:p w14:paraId="099616BD" w14:textId="77777777" w:rsidR="000A0ACD" w:rsidRDefault="00362A99">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color w:val="000000"/>
          <w:lang w:bidi="ar"/>
        </w:rPr>
        <w:t>因李威从北洋天青离职，经黄晓峰、李红与李威协商一致，李威将其所持北洋天青</w:t>
      </w:r>
      <w:r>
        <w:rPr>
          <w:rFonts w:ascii="Times New Roman" w:hAnsi="Times New Roman" w:cs="Times New Roman"/>
          <w:lang w:bidi="ar"/>
        </w:rPr>
        <w:t>173,504</w:t>
      </w:r>
      <w:r>
        <w:rPr>
          <w:rFonts w:ascii="Times New Roman" w:hAnsi="Times New Roman" w:cs="Times New Roman" w:hint="eastAsia"/>
          <w:lang w:bidi="ar"/>
        </w:rPr>
        <w:t>股股份转让给李红，李红以银行转账方式向李威支付了股份转让款</w:t>
      </w:r>
      <w:r>
        <w:rPr>
          <w:rFonts w:ascii="Times New Roman" w:hAnsi="Times New Roman" w:cs="Times New Roman"/>
          <w:lang w:bidi="ar"/>
        </w:rPr>
        <w:t>80.00</w:t>
      </w:r>
      <w:r>
        <w:rPr>
          <w:rFonts w:ascii="Times New Roman" w:hAnsi="Times New Roman" w:cs="Times New Roman" w:hint="eastAsia"/>
          <w:lang w:bidi="ar"/>
        </w:rPr>
        <w:t>万元。</w:t>
      </w:r>
    </w:p>
    <w:p w14:paraId="5DF30C14" w14:textId="77777777" w:rsidR="000A0ACD" w:rsidRDefault="00362A99">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鉴于北洋天青届时在股转系统挂牌，因此李威于</w:t>
      </w:r>
      <w:r>
        <w:rPr>
          <w:rFonts w:ascii="Times New Roman" w:hAnsi="Times New Roman" w:cs="Times New Roman"/>
          <w:lang w:bidi="ar"/>
        </w:rPr>
        <w:t>2019</w:t>
      </w:r>
      <w:r>
        <w:rPr>
          <w:rFonts w:ascii="Times New Roman" w:hAnsi="Times New Roman" w:cs="Times New Roman" w:hint="eastAsia"/>
          <w:lang w:bidi="ar"/>
        </w:rPr>
        <w:t>年</w:t>
      </w:r>
      <w:r>
        <w:rPr>
          <w:rFonts w:ascii="Times New Roman" w:hAnsi="Times New Roman" w:cs="Times New Roman"/>
          <w:lang w:bidi="ar"/>
        </w:rPr>
        <w:t>12</w:t>
      </w:r>
      <w:r>
        <w:rPr>
          <w:rFonts w:ascii="Times New Roman" w:hAnsi="Times New Roman" w:cs="Times New Roman" w:hint="eastAsia"/>
          <w:lang w:bidi="ar"/>
        </w:rPr>
        <w:t>月通过股转交易系统向李红转让了</w:t>
      </w:r>
      <w:r>
        <w:rPr>
          <w:rFonts w:ascii="Times New Roman" w:hAnsi="Times New Roman" w:cs="Times New Roman"/>
          <w:lang w:bidi="ar"/>
        </w:rPr>
        <w:t>17.30</w:t>
      </w:r>
      <w:r>
        <w:rPr>
          <w:rFonts w:ascii="Times New Roman" w:hAnsi="Times New Roman" w:cs="Times New Roman" w:hint="eastAsia"/>
          <w:lang w:bidi="ar"/>
        </w:rPr>
        <w:t>万股股份，剩余</w:t>
      </w:r>
      <w:r>
        <w:rPr>
          <w:rFonts w:ascii="Times New Roman" w:hAnsi="Times New Roman" w:cs="Times New Roman"/>
          <w:lang w:bidi="ar"/>
        </w:rPr>
        <w:t>504</w:t>
      </w:r>
      <w:r>
        <w:rPr>
          <w:rFonts w:ascii="Times New Roman" w:hAnsi="Times New Roman" w:cs="Times New Roman" w:hint="eastAsia"/>
          <w:lang w:bidi="ar"/>
        </w:rPr>
        <w:t>股因系统原因无法转让，李红同意由李威继续持有。李红通过股转交易系统</w:t>
      </w:r>
      <w:r>
        <w:rPr>
          <w:rFonts w:ascii="Times New Roman" w:hAnsi="Times New Roman" w:cs="Times New Roman" w:hint="eastAsia"/>
          <w:color w:val="000000"/>
          <w:lang w:bidi="ar"/>
        </w:rPr>
        <w:t>按</w:t>
      </w:r>
      <w:r>
        <w:rPr>
          <w:rFonts w:ascii="Times New Roman" w:hAnsi="Times New Roman" w:cs="Times New Roman"/>
          <w:color w:val="000000"/>
          <w:lang w:bidi="ar"/>
        </w:rPr>
        <w:t>3.01</w:t>
      </w:r>
      <w:r>
        <w:rPr>
          <w:rFonts w:ascii="Times New Roman" w:hAnsi="Times New Roman" w:cs="Times New Roman" w:hint="eastAsia"/>
          <w:color w:val="000000"/>
          <w:lang w:bidi="ar"/>
        </w:rPr>
        <w:t>元</w:t>
      </w:r>
      <w:r>
        <w:rPr>
          <w:rFonts w:ascii="Times New Roman" w:hAnsi="Times New Roman" w:cs="Times New Roman"/>
          <w:color w:val="000000"/>
          <w:lang w:bidi="ar"/>
        </w:rPr>
        <w:t>/</w:t>
      </w:r>
      <w:r>
        <w:rPr>
          <w:rFonts w:ascii="Times New Roman" w:hAnsi="Times New Roman" w:cs="Times New Roman" w:hint="eastAsia"/>
          <w:color w:val="000000"/>
          <w:lang w:bidi="ar"/>
        </w:rPr>
        <w:t>股的价格</w:t>
      </w:r>
      <w:r>
        <w:rPr>
          <w:rFonts w:ascii="Times New Roman" w:hAnsi="Times New Roman" w:cs="Times New Roman" w:hint="eastAsia"/>
          <w:lang w:bidi="ar"/>
        </w:rPr>
        <w:t>向李威支付了</w:t>
      </w:r>
      <w:r>
        <w:rPr>
          <w:rFonts w:ascii="Times New Roman" w:hAnsi="Times New Roman" w:cs="Times New Roman"/>
          <w:lang w:bidi="ar"/>
        </w:rPr>
        <w:t>52.07</w:t>
      </w:r>
      <w:r>
        <w:rPr>
          <w:rFonts w:ascii="Times New Roman" w:hAnsi="Times New Roman" w:cs="Times New Roman" w:hint="eastAsia"/>
          <w:lang w:bidi="ar"/>
        </w:rPr>
        <w:t>万元股权转让款，李威扣减被冻结的相应税费后按李红要求代其向肖中海支付了上述</w:t>
      </w:r>
      <w:r>
        <w:rPr>
          <w:rFonts w:ascii="Times New Roman" w:hAnsi="Times New Roman" w:cs="Times New Roman"/>
          <w:lang w:bidi="ar"/>
        </w:rPr>
        <w:t>43.19</w:t>
      </w:r>
      <w:r>
        <w:rPr>
          <w:rFonts w:ascii="Times New Roman" w:hAnsi="Times New Roman" w:cs="Times New Roman" w:hint="eastAsia"/>
          <w:lang w:bidi="ar"/>
        </w:rPr>
        <w:t>万元股份转让款。</w:t>
      </w:r>
    </w:p>
    <w:p w14:paraId="502336AD" w14:textId="77777777"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本次股份转让完成后及至本回复出具日，李威所持北洋天青</w:t>
      </w:r>
      <w:r>
        <w:rPr>
          <w:rFonts w:ascii="Times New Roman" w:hAnsi="Times New Roman" w:cs="Times New Roman"/>
          <w:color w:val="000000"/>
          <w:lang w:bidi="ar"/>
        </w:rPr>
        <w:t>504</w:t>
      </w:r>
      <w:r>
        <w:rPr>
          <w:rFonts w:ascii="Times New Roman" w:hAnsi="Times New Roman" w:cs="Times New Roman" w:hint="eastAsia"/>
          <w:color w:val="000000"/>
          <w:lang w:bidi="ar"/>
        </w:rPr>
        <w:t>股股份为其实际持有，不存在委托投资、信托持股或其他股份代持的情形。</w:t>
      </w:r>
    </w:p>
    <w:p w14:paraId="71F57BC3" w14:textId="40A110E2"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三、李红与周健之间的股份代持及</w:t>
      </w:r>
      <w:r w:rsidR="008918B1">
        <w:rPr>
          <w:rFonts w:ascii="Times New Roman" w:hAnsi="Times New Roman" w:cs="Times New Roman" w:hint="eastAsia"/>
          <w:b/>
          <w:color w:val="000000"/>
          <w:szCs w:val="21"/>
        </w:rPr>
        <w:t>解除</w:t>
      </w:r>
      <w:r>
        <w:rPr>
          <w:rFonts w:ascii="Times New Roman" w:hAnsi="Times New Roman" w:cs="Times New Roman" w:hint="eastAsia"/>
          <w:b/>
          <w:color w:val="000000"/>
          <w:szCs w:val="21"/>
        </w:rPr>
        <w:t>情况</w:t>
      </w:r>
    </w:p>
    <w:p w14:paraId="7199DDC6" w14:textId="77777777"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根据北洋天青原软件开发部员工周健与李红签署的《受让股份、增持股份、代持协议书》以及对黄晓峰、李红和周健的访谈，</w:t>
      </w:r>
      <w:r>
        <w:rPr>
          <w:rFonts w:ascii="Times New Roman" w:hAnsi="Times New Roman" w:cs="Times New Roman" w:hint="eastAsia"/>
          <w:color w:val="000000"/>
          <w:lang w:bidi="ar"/>
        </w:rPr>
        <w:t>2017</w:t>
      </w:r>
      <w:r>
        <w:rPr>
          <w:rFonts w:ascii="Times New Roman" w:hAnsi="Times New Roman" w:cs="Times New Roman" w:hint="eastAsia"/>
          <w:color w:val="000000"/>
          <w:lang w:bidi="ar"/>
        </w:rPr>
        <w:t>年初，李红以自己名义代周健认购并持有北洋天青</w:t>
      </w:r>
      <w:r>
        <w:rPr>
          <w:rFonts w:ascii="Times New Roman" w:hAnsi="Times New Roman" w:cs="Times New Roman" w:hint="eastAsia"/>
          <w:color w:val="000000"/>
          <w:lang w:bidi="ar"/>
        </w:rPr>
        <w:t>2016</w:t>
      </w:r>
      <w:r>
        <w:rPr>
          <w:rFonts w:ascii="Times New Roman" w:hAnsi="Times New Roman" w:cs="Times New Roman" w:hint="eastAsia"/>
          <w:color w:val="000000"/>
          <w:lang w:bidi="ar"/>
        </w:rPr>
        <w:t>年增资股份中的</w:t>
      </w:r>
      <w:r>
        <w:rPr>
          <w:rFonts w:ascii="Times New Roman" w:hAnsi="Times New Roman" w:cs="Times New Roman" w:hint="eastAsia"/>
          <w:color w:val="000000"/>
          <w:lang w:bidi="ar"/>
        </w:rPr>
        <w:t>1.00</w:t>
      </w:r>
      <w:r>
        <w:rPr>
          <w:rFonts w:ascii="Times New Roman" w:hAnsi="Times New Roman" w:cs="Times New Roman" w:hint="eastAsia"/>
          <w:color w:val="000000"/>
          <w:lang w:bidi="ar"/>
        </w:rPr>
        <w:t>万股股份。周健以现金向李红支付了</w:t>
      </w:r>
      <w:r>
        <w:rPr>
          <w:rFonts w:ascii="Times New Roman" w:hAnsi="Times New Roman" w:cs="Times New Roman" w:hint="eastAsia"/>
          <w:color w:val="000000"/>
          <w:lang w:bidi="ar"/>
        </w:rPr>
        <w:t>6.00</w:t>
      </w:r>
      <w:r>
        <w:rPr>
          <w:rFonts w:ascii="Times New Roman" w:hAnsi="Times New Roman" w:cs="Times New Roman" w:hint="eastAsia"/>
          <w:color w:val="000000"/>
          <w:lang w:bidi="ar"/>
        </w:rPr>
        <w:t>万元股份转让款。为避免北洋天青的股权结构因周健的入股或离职而发生频繁变动，就上述股份转让北洋天青未出具新的股东名册。李红名下所持北洋天青股份中的</w:t>
      </w:r>
      <w:r>
        <w:rPr>
          <w:rFonts w:ascii="Times New Roman" w:hAnsi="Times New Roman" w:cs="Times New Roman" w:hint="eastAsia"/>
          <w:color w:val="000000"/>
          <w:lang w:bidi="ar"/>
        </w:rPr>
        <w:t>1.00</w:t>
      </w:r>
      <w:r>
        <w:rPr>
          <w:rFonts w:ascii="Times New Roman" w:hAnsi="Times New Roman" w:cs="Times New Roman" w:hint="eastAsia"/>
          <w:color w:val="000000"/>
          <w:lang w:bidi="ar"/>
        </w:rPr>
        <w:t>万股股份系代周健持有。</w:t>
      </w:r>
    </w:p>
    <w:p w14:paraId="36DDF189" w14:textId="57550D20"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lang w:bidi="ar"/>
        </w:rPr>
        <w:t>2018</w:t>
      </w:r>
      <w:r>
        <w:rPr>
          <w:rFonts w:ascii="Times New Roman" w:hAnsi="Times New Roman" w:cs="Times New Roman" w:hint="eastAsia"/>
          <w:lang w:bidi="ar"/>
        </w:rPr>
        <w:t>年</w:t>
      </w:r>
      <w:r>
        <w:rPr>
          <w:rFonts w:ascii="Times New Roman" w:hAnsi="Times New Roman" w:cs="Times New Roman"/>
          <w:lang w:bidi="ar"/>
        </w:rPr>
        <w:t>10</w:t>
      </w:r>
      <w:r>
        <w:rPr>
          <w:rFonts w:ascii="Times New Roman" w:hAnsi="Times New Roman" w:cs="Times New Roman" w:hint="eastAsia"/>
          <w:lang w:bidi="ar"/>
        </w:rPr>
        <w:t>月，周健因离职而将委托李红代其持有的北洋天青</w:t>
      </w:r>
      <w:r>
        <w:rPr>
          <w:rFonts w:ascii="Times New Roman" w:hAnsi="Times New Roman" w:cs="Times New Roman"/>
          <w:lang w:bidi="ar"/>
        </w:rPr>
        <w:t>1</w:t>
      </w:r>
      <w:r>
        <w:rPr>
          <w:rFonts w:ascii="Times New Roman" w:hAnsi="Times New Roman" w:cs="Times New Roman" w:hint="eastAsia"/>
          <w:lang w:bidi="ar"/>
        </w:rPr>
        <w:t>万股股份转让给李红</w:t>
      </w:r>
      <w:r>
        <w:rPr>
          <w:rFonts w:ascii="Times New Roman" w:hAnsi="Times New Roman" w:cs="Times New Roman" w:hint="eastAsia"/>
          <w:color w:val="000000"/>
          <w:lang w:bidi="ar"/>
        </w:rPr>
        <w:t>，双方未就本次股份转让签订书面协议，李红以现金方式支付了</w:t>
      </w:r>
      <w:r>
        <w:rPr>
          <w:rFonts w:ascii="Times New Roman" w:hAnsi="Times New Roman" w:cs="Times New Roman" w:hint="eastAsia"/>
          <w:color w:val="000000"/>
          <w:lang w:bidi="ar"/>
        </w:rPr>
        <w:t>6.00</w:t>
      </w:r>
      <w:r>
        <w:rPr>
          <w:rFonts w:ascii="Times New Roman" w:hAnsi="Times New Roman" w:cs="Times New Roman" w:hint="eastAsia"/>
          <w:color w:val="000000"/>
          <w:lang w:bidi="ar"/>
        </w:rPr>
        <w:t>万元的股份转让款，李红与周健之间的股权代持已</w:t>
      </w:r>
      <w:r w:rsidR="008918B1" w:rsidRPr="00E923F3">
        <w:rPr>
          <w:rFonts w:hint="eastAsia"/>
          <w:bCs/>
          <w:lang w:val="en-GB"/>
        </w:rPr>
        <w:t>解除</w:t>
      </w:r>
      <w:r>
        <w:rPr>
          <w:rFonts w:ascii="Times New Roman" w:hAnsi="Times New Roman" w:cs="Times New Roman" w:hint="eastAsia"/>
          <w:color w:val="000000"/>
          <w:lang w:bidi="ar"/>
        </w:rPr>
        <w:t>完毕。截至本回复出具日，周健不再持有北洋天青任何股份。</w:t>
      </w:r>
    </w:p>
    <w:p w14:paraId="7B87F14D" w14:textId="692C72C3"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四、李红与周建勇之间的股份代持</w:t>
      </w:r>
      <w:r w:rsidR="008918B1">
        <w:rPr>
          <w:rFonts w:ascii="Times New Roman" w:hAnsi="Times New Roman" w:cs="Times New Roman" w:hint="eastAsia"/>
          <w:b/>
          <w:color w:val="000000"/>
          <w:szCs w:val="21"/>
        </w:rPr>
        <w:t>及解除</w:t>
      </w:r>
      <w:r>
        <w:rPr>
          <w:rFonts w:ascii="Times New Roman" w:hAnsi="Times New Roman" w:cs="Times New Roman" w:hint="eastAsia"/>
          <w:b/>
          <w:color w:val="000000"/>
          <w:szCs w:val="21"/>
        </w:rPr>
        <w:t>情况</w:t>
      </w:r>
    </w:p>
    <w:p w14:paraId="294123B1"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lang w:bidi="ar"/>
        </w:rPr>
        <w:t>根据对黄晓峰、李红和周建勇的访谈，</w:t>
      </w:r>
      <w:r>
        <w:rPr>
          <w:rFonts w:ascii="Times New Roman" w:hAnsi="Times New Roman" w:cs="Times New Roman" w:hint="eastAsia"/>
          <w:color w:val="000000"/>
        </w:rPr>
        <w:t>2016</w:t>
      </w:r>
      <w:r>
        <w:rPr>
          <w:rFonts w:ascii="Times New Roman" w:hAnsi="Times New Roman" w:cs="Times New Roman" w:hint="eastAsia"/>
          <w:color w:val="000000"/>
        </w:rPr>
        <w:t>年</w:t>
      </w:r>
      <w:r>
        <w:rPr>
          <w:rFonts w:ascii="Times New Roman" w:hAnsi="Times New Roman" w:cs="Times New Roman" w:hint="eastAsia"/>
          <w:color w:val="000000"/>
        </w:rPr>
        <w:t>12</w:t>
      </w:r>
      <w:r>
        <w:rPr>
          <w:rFonts w:ascii="Times New Roman" w:hAnsi="Times New Roman" w:cs="Times New Roman" w:hint="eastAsia"/>
          <w:color w:val="000000"/>
        </w:rPr>
        <w:t>月，李红将其所持北洋天青</w:t>
      </w:r>
      <w:r>
        <w:rPr>
          <w:rFonts w:ascii="Times New Roman" w:hAnsi="Times New Roman" w:cs="Times New Roman" w:hint="eastAsia"/>
          <w:color w:val="000000"/>
        </w:rPr>
        <w:t>7.00</w:t>
      </w:r>
      <w:r>
        <w:rPr>
          <w:rFonts w:ascii="Times New Roman" w:hAnsi="Times New Roman" w:cs="Times New Roman" w:hint="eastAsia"/>
          <w:color w:val="000000"/>
        </w:rPr>
        <w:t>万股股份以</w:t>
      </w:r>
      <w:r>
        <w:rPr>
          <w:rFonts w:ascii="Times New Roman" w:hAnsi="Times New Roman" w:cs="Times New Roman" w:hint="eastAsia"/>
          <w:color w:val="000000"/>
        </w:rPr>
        <w:t>6.00</w:t>
      </w:r>
      <w:r>
        <w:rPr>
          <w:rFonts w:ascii="Times New Roman" w:hAnsi="Times New Roman" w:cs="Times New Roman" w:hint="eastAsia"/>
          <w:color w:val="000000"/>
        </w:rPr>
        <w:t>元</w:t>
      </w:r>
      <w:r>
        <w:rPr>
          <w:rFonts w:ascii="Times New Roman" w:hAnsi="Times New Roman" w:cs="Times New Roman" w:hint="eastAsia"/>
          <w:color w:val="000000"/>
        </w:rPr>
        <w:t>/</w:t>
      </w:r>
      <w:r>
        <w:rPr>
          <w:rFonts w:ascii="Times New Roman" w:hAnsi="Times New Roman" w:cs="Times New Roman" w:hint="eastAsia"/>
          <w:color w:val="000000"/>
        </w:rPr>
        <w:t>股的价格转让给北洋天青原核心技术人员周建勇，北洋天青未相应变更股东名册。周建勇向李红以银行转账方式支付了</w:t>
      </w:r>
      <w:r>
        <w:rPr>
          <w:rFonts w:ascii="Times New Roman" w:hAnsi="Times New Roman" w:cs="Times New Roman" w:hint="eastAsia"/>
          <w:color w:val="000000"/>
        </w:rPr>
        <w:t>42.00</w:t>
      </w:r>
      <w:r>
        <w:rPr>
          <w:rFonts w:ascii="Times New Roman" w:hAnsi="Times New Roman" w:cs="Times New Roman" w:hint="eastAsia"/>
          <w:color w:val="000000"/>
        </w:rPr>
        <w:t>万元股份转让款。</w:t>
      </w:r>
      <w:r>
        <w:rPr>
          <w:rFonts w:ascii="Times New Roman" w:hAnsi="Times New Roman" w:cs="Times New Roman" w:hint="eastAsia"/>
          <w:color w:val="000000"/>
          <w:lang w:bidi="ar"/>
        </w:rPr>
        <w:t>为避免北洋天青的股权结构因周建勇的入股或离职而发生频繁变动，就上述股份转让北洋天青未出具新的股东名册。李红名下所持北洋天青股份中的</w:t>
      </w:r>
      <w:r>
        <w:rPr>
          <w:rFonts w:ascii="Times New Roman" w:hAnsi="Times New Roman" w:cs="Times New Roman" w:hint="eastAsia"/>
          <w:color w:val="000000"/>
          <w:lang w:bidi="ar"/>
        </w:rPr>
        <w:t>7.00</w:t>
      </w:r>
      <w:r>
        <w:rPr>
          <w:rFonts w:ascii="Times New Roman" w:hAnsi="Times New Roman" w:cs="Times New Roman" w:hint="eastAsia"/>
          <w:color w:val="000000"/>
          <w:lang w:bidi="ar"/>
        </w:rPr>
        <w:t>万股股份系代周建勇持有。</w:t>
      </w:r>
    </w:p>
    <w:p w14:paraId="4302F592" w14:textId="2C9D94B1"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color w:val="000000"/>
          <w:lang w:bidi="ar"/>
        </w:rPr>
        <w:t>2018</w:t>
      </w:r>
      <w:r>
        <w:rPr>
          <w:rFonts w:ascii="Times New Roman" w:hAnsi="Times New Roman" w:cs="Times New Roman" w:hint="eastAsia"/>
          <w:color w:val="000000"/>
          <w:lang w:bidi="ar"/>
        </w:rPr>
        <w:t>年</w:t>
      </w:r>
      <w:r>
        <w:rPr>
          <w:rFonts w:ascii="Times New Roman" w:hAnsi="Times New Roman" w:cs="Times New Roman"/>
          <w:color w:val="000000"/>
          <w:lang w:bidi="ar"/>
        </w:rPr>
        <w:t>6</w:t>
      </w:r>
      <w:r>
        <w:rPr>
          <w:rFonts w:ascii="Times New Roman" w:hAnsi="Times New Roman" w:cs="Times New Roman" w:hint="eastAsia"/>
          <w:color w:val="000000"/>
          <w:lang w:bidi="ar"/>
        </w:rPr>
        <w:t>月周建勇离职，将其所持北洋天青</w:t>
      </w:r>
      <w:r>
        <w:rPr>
          <w:rFonts w:ascii="Times New Roman" w:hAnsi="Times New Roman" w:cs="Times New Roman"/>
          <w:color w:val="000000"/>
          <w:lang w:bidi="ar"/>
        </w:rPr>
        <w:t>7</w:t>
      </w:r>
      <w:r>
        <w:rPr>
          <w:rFonts w:ascii="Times New Roman" w:hAnsi="Times New Roman" w:cs="Times New Roman" w:hint="eastAsia"/>
          <w:color w:val="000000"/>
          <w:lang w:bidi="ar"/>
        </w:rPr>
        <w:t>万股股份以</w:t>
      </w:r>
      <w:r>
        <w:rPr>
          <w:rFonts w:ascii="Times New Roman" w:hAnsi="Times New Roman" w:cs="Times New Roman" w:hint="eastAsia"/>
          <w:color w:val="000000"/>
          <w:lang w:bidi="ar"/>
        </w:rPr>
        <w:t>6.00</w:t>
      </w:r>
      <w:r>
        <w:rPr>
          <w:rFonts w:ascii="Times New Roman" w:hAnsi="Times New Roman" w:cs="Times New Roman" w:hint="eastAsia"/>
          <w:color w:val="000000"/>
          <w:lang w:bidi="ar"/>
        </w:rPr>
        <w:t>元</w:t>
      </w:r>
      <w:r>
        <w:rPr>
          <w:rFonts w:ascii="Times New Roman" w:hAnsi="Times New Roman" w:cs="Times New Roman" w:hint="eastAsia"/>
          <w:color w:val="000000"/>
          <w:lang w:bidi="ar"/>
        </w:rPr>
        <w:t>/</w:t>
      </w:r>
      <w:r>
        <w:rPr>
          <w:rFonts w:ascii="Times New Roman" w:hAnsi="Times New Roman" w:cs="Times New Roman" w:hint="eastAsia"/>
          <w:color w:val="000000"/>
          <w:lang w:bidi="ar"/>
        </w:rPr>
        <w:t>股的价格转让给李红</w:t>
      </w:r>
      <w:r>
        <w:rPr>
          <w:rFonts w:ascii="Times New Roman" w:hAnsi="Times New Roman" w:hint="eastAsia"/>
          <w:color w:val="000000"/>
          <w:lang w:bidi="ar"/>
        </w:rPr>
        <w:t>，</w:t>
      </w:r>
      <w:r>
        <w:rPr>
          <w:rFonts w:ascii="Times New Roman" w:hAnsi="Times New Roman" w:cs="Times New Roman" w:hint="eastAsia"/>
          <w:color w:val="000000"/>
          <w:lang w:bidi="ar"/>
        </w:rPr>
        <w:t>双方未就本次股份转让签订书面协议。</w:t>
      </w:r>
      <w:r>
        <w:rPr>
          <w:rFonts w:ascii="Times New Roman" w:hAnsi="Times New Roman" w:cs="Times New Roman" w:hint="eastAsia"/>
          <w:color w:val="000000"/>
          <w:lang w:bidi="ar"/>
        </w:rPr>
        <w:t>2018</w:t>
      </w:r>
      <w:r>
        <w:rPr>
          <w:rFonts w:ascii="Times New Roman" w:hAnsi="Times New Roman" w:cs="Times New Roman" w:hint="eastAsia"/>
          <w:color w:val="000000"/>
          <w:lang w:bidi="ar"/>
        </w:rPr>
        <w:t>年</w:t>
      </w:r>
      <w:r>
        <w:rPr>
          <w:rFonts w:ascii="Times New Roman" w:hAnsi="Times New Roman" w:cs="Times New Roman" w:hint="eastAsia"/>
          <w:color w:val="000000"/>
          <w:lang w:bidi="ar"/>
        </w:rPr>
        <w:t>11</w:t>
      </w:r>
      <w:r>
        <w:rPr>
          <w:rFonts w:ascii="Times New Roman" w:hAnsi="Times New Roman" w:cs="Times New Roman" w:hint="eastAsia"/>
          <w:color w:val="000000"/>
          <w:lang w:bidi="ar"/>
        </w:rPr>
        <w:t>月</w:t>
      </w:r>
      <w:r>
        <w:rPr>
          <w:rFonts w:ascii="Times New Roman" w:hAnsi="Times New Roman" w:cs="Times New Roman" w:hint="eastAsia"/>
          <w:color w:val="000000"/>
          <w:lang w:bidi="ar"/>
        </w:rPr>
        <w:t>13</w:t>
      </w:r>
      <w:r>
        <w:rPr>
          <w:rFonts w:ascii="Times New Roman" w:hAnsi="Times New Roman" w:cs="Times New Roman" w:hint="eastAsia"/>
          <w:color w:val="000000"/>
          <w:lang w:bidi="ar"/>
        </w:rPr>
        <w:t>日，李红向周建勇配偶于晓云支付了</w:t>
      </w:r>
      <w:r>
        <w:rPr>
          <w:rFonts w:ascii="Times New Roman" w:hAnsi="Times New Roman" w:cs="Times New Roman" w:hint="eastAsia"/>
          <w:color w:val="000000"/>
          <w:lang w:bidi="ar"/>
        </w:rPr>
        <w:t>42.00</w:t>
      </w:r>
      <w:r>
        <w:rPr>
          <w:rFonts w:ascii="Times New Roman" w:hAnsi="Times New Roman" w:cs="Times New Roman" w:hint="eastAsia"/>
          <w:color w:val="000000"/>
          <w:lang w:bidi="ar"/>
        </w:rPr>
        <w:t>万元股份转让款。周建勇于同日出具《收条》，确认收到现金</w:t>
      </w:r>
      <w:r>
        <w:rPr>
          <w:rFonts w:ascii="Times New Roman" w:hAnsi="Times New Roman" w:cs="Times New Roman" w:hint="eastAsia"/>
          <w:color w:val="000000"/>
          <w:lang w:bidi="ar"/>
        </w:rPr>
        <w:t>42.00</w:t>
      </w:r>
      <w:r>
        <w:rPr>
          <w:rFonts w:ascii="Times New Roman" w:hAnsi="Times New Roman" w:cs="Times New Roman" w:hint="eastAsia"/>
          <w:color w:val="000000"/>
          <w:lang w:bidi="ar"/>
        </w:rPr>
        <w:t>万元，李红与周建勇之间的股权代持已</w:t>
      </w:r>
      <w:r w:rsidR="008918B1">
        <w:rPr>
          <w:rFonts w:ascii="Times New Roman" w:hAnsi="Times New Roman" w:cs="Times New Roman" w:hint="eastAsia"/>
          <w:color w:val="000000"/>
          <w:lang w:bidi="ar"/>
        </w:rPr>
        <w:t>解除</w:t>
      </w:r>
      <w:r>
        <w:rPr>
          <w:rFonts w:ascii="Times New Roman" w:hAnsi="Times New Roman" w:cs="Times New Roman" w:hint="eastAsia"/>
          <w:color w:val="000000"/>
          <w:lang w:bidi="ar"/>
        </w:rPr>
        <w:t>完毕。截至本回复出具日，周建勇不再持有北洋天青任何股份。</w:t>
      </w:r>
    </w:p>
    <w:p w14:paraId="6393CBB0" w14:textId="77A45AEA"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五、傅敦与王铁弟之间的股份代持</w:t>
      </w:r>
      <w:r w:rsidR="008918B1">
        <w:rPr>
          <w:rFonts w:ascii="Times New Roman" w:hAnsi="Times New Roman" w:cs="Times New Roman" w:hint="eastAsia"/>
          <w:b/>
          <w:color w:val="000000"/>
          <w:szCs w:val="21"/>
        </w:rPr>
        <w:t>及还原</w:t>
      </w:r>
      <w:r>
        <w:rPr>
          <w:rFonts w:ascii="Times New Roman" w:hAnsi="Times New Roman" w:cs="Times New Roman" w:hint="eastAsia"/>
          <w:b/>
          <w:color w:val="000000"/>
          <w:szCs w:val="21"/>
        </w:rPr>
        <w:t>情况</w:t>
      </w:r>
    </w:p>
    <w:p w14:paraId="37F9FD20" w14:textId="6C7726D7"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根据对王铁弟、傅敦的访谈，傅敦自</w:t>
      </w:r>
      <w:r>
        <w:rPr>
          <w:rFonts w:ascii="Times New Roman" w:hAnsi="Times New Roman" w:cs="Times New Roman" w:hint="eastAsia"/>
          <w:color w:val="000000"/>
          <w:lang w:bidi="ar"/>
        </w:rPr>
        <w:t>2013</w:t>
      </w:r>
      <w:r>
        <w:rPr>
          <w:rFonts w:ascii="Times New Roman" w:hAnsi="Times New Roman" w:cs="Times New Roman" w:hint="eastAsia"/>
          <w:color w:val="000000"/>
          <w:lang w:bidi="ar"/>
        </w:rPr>
        <w:t>年</w:t>
      </w:r>
      <w:r>
        <w:rPr>
          <w:rFonts w:ascii="Times New Roman" w:hAnsi="Times New Roman" w:cs="Times New Roman" w:hint="eastAsia"/>
          <w:color w:val="000000"/>
          <w:lang w:bidi="ar"/>
        </w:rPr>
        <w:t>11</w:t>
      </w:r>
      <w:r>
        <w:rPr>
          <w:rFonts w:ascii="Times New Roman" w:hAnsi="Times New Roman" w:cs="Times New Roman" w:hint="eastAsia"/>
          <w:color w:val="000000"/>
          <w:lang w:bidi="ar"/>
        </w:rPr>
        <w:t>月至</w:t>
      </w:r>
      <w:r>
        <w:rPr>
          <w:rFonts w:ascii="Times New Roman" w:hAnsi="Times New Roman" w:cs="Times New Roman" w:hint="eastAsia"/>
          <w:color w:val="000000"/>
          <w:lang w:bidi="ar"/>
        </w:rPr>
        <w:t>2016</w:t>
      </w:r>
      <w:r>
        <w:rPr>
          <w:rFonts w:ascii="Times New Roman" w:hAnsi="Times New Roman" w:cs="Times New Roman" w:hint="eastAsia"/>
          <w:color w:val="000000"/>
          <w:lang w:bidi="ar"/>
        </w:rPr>
        <w:t>年</w:t>
      </w:r>
      <w:r>
        <w:rPr>
          <w:rFonts w:ascii="Times New Roman" w:hAnsi="Times New Roman" w:cs="Times New Roman" w:hint="eastAsia"/>
          <w:color w:val="000000"/>
          <w:lang w:bidi="ar"/>
        </w:rPr>
        <w:t>6</w:t>
      </w:r>
      <w:r>
        <w:rPr>
          <w:rFonts w:ascii="Times New Roman" w:hAnsi="Times New Roman" w:cs="Times New Roman" w:hint="eastAsia"/>
          <w:color w:val="000000"/>
          <w:lang w:bidi="ar"/>
        </w:rPr>
        <w:t>月期间在北洋天青担任行政主管职务，因黄晓峰曾为傅敦原任职单位的供应商，出于个人原因考虑，</w:t>
      </w:r>
      <w:r w:rsidR="008918B1" w:rsidRPr="00B675A2">
        <w:rPr>
          <w:rFonts w:ascii="Times New Roman" w:hAnsi="Times New Roman" w:cs="Times New Roman"/>
          <w:color w:val="000000"/>
          <w:lang w:bidi="ar"/>
        </w:rPr>
        <w:t>2014</w:t>
      </w:r>
      <w:r w:rsidR="008918B1" w:rsidRPr="00B675A2">
        <w:rPr>
          <w:rFonts w:ascii="Times New Roman" w:hAnsi="Times New Roman" w:cs="Times New Roman"/>
          <w:color w:val="000000"/>
          <w:lang w:bidi="ar"/>
        </w:rPr>
        <w:t>年</w:t>
      </w:r>
      <w:r w:rsidR="008918B1" w:rsidRPr="00B675A2">
        <w:rPr>
          <w:rFonts w:ascii="Times New Roman" w:hAnsi="Times New Roman" w:cs="Times New Roman"/>
          <w:color w:val="000000"/>
          <w:lang w:bidi="ar"/>
        </w:rPr>
        <w:t>5</w:t>
      </w:r>
      <w:r w:rsidR="008918B1" w:rsidRPr="00B675A2">
        <w:rPr>
          <w:rFonts w:ascii="Times New Roman" w:hAnsi="Times New Roman" w:cs="Times New Roman"/>
          <w:color w:val="000000"/>
          <w:lang w:bidi="ar"/>
        </w:rPr>
        <w:t>月傅敦受让北洋天青有限</w:t>
      </w:r>
      <w:r w:rsidR="008918B1" w:rsidRPr="00B675A2">
        <w:rPr>
          <w:rFonts w:ascii="Times New Roman" w:hAnsi="Times New Roman" w:cs="Times New Roman"/>
          <w:color w:val="000000"/>
          <w:lang w:bidi="ar"/>
        </w:rPr>
        <w:t>15</w:t>
      </w:r>
      <w:r w:rsidR="008918B1">
        <w:rPr>
          <w:rFonts w:ascii="Times New Roman" w:hAnsi="Times New Roman" w:cs="Times New Roman"/>
          <w:color w:val="000000"/>
          <w:lang w:bidi="ar"/>
        </w:rPr>
        <w:t>.00</w:t>
      </w:r>
      <w:r w:rsidR="008918B1" w:rsidRPr="00B675A2">
        <w:rPr>
          <w:rFonts w:ascii="Times New Roman" w:hAnsi="Times New Roman" w:cs="Times New Roman"/>
          <w:color w:val="000000"/>
          <w:lang w:bidi="ar"/>
        </w:rPr>
        <w:t>万元出资（其中包括实缴出资</w:t>
      </w:r>
      <w:r w:rsidR="008918B1" w:rsidRPr="00B675A2">
        <w:rPr>
          <w:rFonts w:ascii="Times New Roman" w:hAnsi="Times New Roman" w:cs="Times New Roman"/>
          <w:color w:val="000000"/>
          <w:lang w:bidi="ar"/>
        </w:rPr>
        <w:t>3</w:t>
      </w:r>
      <w:r w:rsidR="008918B1">
        <w:rPr>
          <w:rFonts w:ascii="Times New Roman" w:hAnsi="Times New Roman" w:cs="Times New Roman"/>
          <w:color w:val="000000"/>
          <w:lang w:bidi="ar"/>
        </w:rPr>
        <w:t>.00</w:t>
      </w:r>
      <w:r w:rsidR="008918B1" w:rsidRPr="00B675A2">
        <w:rPr>
          <w:rFonts w:ascii="Times New Roman" w:hAnsi="Times New Roman" w:cs="Times New Roman"/>
          <w:color w:val="000000"/>
          <w:lang w:bidi="ar"/>
        </w:rPr>
        <w:t>万元）时委托其舅舅王铁弟代为持股，并向胡良程以现金支付了</w:t>
      </w:r>
      <w:r w:rsidR="008918B1" w:rsidRPr="00B675A2">
        <w:rPr>
          <w:rFonts w:ascii="Times New Roman" w:hAnsi="Times New Roman" w:cs="Times New Roman"/>
          <w:color w:val="000000"/>
          <w:lang w:bidi="ar"/>
        </w:rPr>
        <w:t>3</w:t>
      </w:r>
      <w:r w:rsidR="008918B1">
        <w:rPr>
          <w:rFonts w:ascii="Times New Roman" w:hAnsi="Times New Roman" w:cs="Times New Roman"/>
          <w:color w:val="000000"/>
          <w:lang w:bidi="ar"/>
        </w:rPr>
        <w:t>.00</w:t>
      </w:r>
      <w:r w:rsidR="008918B1" w:rsidRPr="00B675A2">
        <w:rPr>
          <w:rFonts w:ascii="Times New Roman" w:hAnsi="Times New Roman" w:cs="Times New Roman"/>
          <w:color w:val="000000"/>
          <w:lang w:bidi="ar"/>
        </w:rPr>
        <w:t>万元股权转让款。</w:t>
      </w:r>
      <w:r w:rsidR="008918B1" w:rsidRPr="00B675A2">
        <w:rPr>
          <w:rFonts w:ascii="Times New Roman" w:hAnsi="Times New Roman" w:cs="Times New Roman"/>
          <w:color w:val="000000"/>
          <w:lang w:bidi="ar"/>
        </w:rPr>
        <w:t>2015</w:t>
      </w:r>
      <w:r w:rsidR="008918B1" w:rsidRPr="00B675A2">
        <w:rPr>
          <w:rFonts w:ascii="Times New Roman" w:hAnsi="Times New Roman" w:cs="Times New Roman"/>
          <w:color w:val="000000"/>
          <w:lang w:bidi="ar"/>
        </w:rPr>
        <w:t>年</w:t>
      </w:r>
      <w:r w:rsidR="008918B1" w:rsidRPr="00B675A2">
        <w:rPr>
          <w:rFonts w:ascii="Times New Roman" w:hAnsi="Times New Roman" w:cs="Times New Roman"/>
          <w:color w:val="000000"/>
          <w:lang w:bidi="ar"/>
        </w:rPr>
        <w:t>12</w:t>
      </w:r>
      <w:r w:rsidR="008918B1" w:rsidRPr="00B675A2">
        <w:rPr>
          <w:rFonts w:ascii="Times New Roman" w:hAnsi="Times New Roman" w:cs="Times New Roman"/>
          <w:color w:val="000000"/>
          <w:lang w:bidi="ar"/>
        </w:rPr>
        <w:t>月北洋天青有限实收资本由</w:t>
      </w:r>
      <w:r w:rsidR="008918B1" w:rsidRPr="00B675A2">
        <w:rPr>
          <w:rFonts w:ascii="Times New Roman" w:hAnsi="Times New Roman" w:cs="Times New Roman"/>
          <w:color w:val="000000"/>
          <w:lang w:bidi="ar"/>
        </w:rPr>
        <w:t>200</w:t>
      </w:r>
      <w:r w:rsidR="008918B1">
        <w:rPr>
          <w:rFonts w:ascii="Times New Roman" w:hAnsi="Times New Roman" w:cs="Times New Roman"/>
          <w:color w:val="000000"/>
          <w:lang w:bidi="ar"/>
        </w:rPr>
        <w:t>.00</w:t>
      </w:r>
      <w:r w:rsidR="008918B1" w:rsidRPr="00B675A2">
        <w:rPr>
          <w:rFonts w:ascii="Times New Roman" w:hAnsi="Times New Roman" w:cs="Times New Roman"/>
          <w:color w:val="000000"/>
          <w:lang w:bidi="ar"/>
        </w:rPr>
        <w:t>万元增加至</w:t>
      </w:r>
      <w:r w:rsidR="008918B1" w:rsidRPr="00B675A2">
        <w:rPr>
          <w:rFonts w:ascii="Times New Roman" w:hAnsi="Times New Roman" w:cs="Times New Roman"/>
          <w:color w:val="000000"/>
          <w:lang w:bidi="ar"/>
        </w:rPr>
        <w:t>1,000</w:t>
      </w:r>
      <w:r w:rsidR="008918B1">
        <w:rPr>
          <w:rFonts w:ascii="Times New Roman" w:hAnsi="Times New Roman" w:cs="Times New Roman"/>
          <w:color w:val="000000"/>
          <w:lang w:bidi="ar"/>
        </w:rPr>
        <w:t>.00</w:t>
      </w:r>
      <w:r w:rsidR="008918B1" w:rsidRPr="00B675A2">
        <w:rPr>
          <w:rFonts w:ascii="Times New Roman" w:hAnsi="Times New Roman" w:cs="Times New Roman"/>
          <w:color w:val="000000"/>
          <w:lang w:bidi="ar"/>
        </w:rPr>
        <w:t>万元，傅敦以王铁弟名义向北洋天青有限实缴出资</w:t>
      </w:r>
      <w:r w:rsidR="008918B1" w:rsidRPr="00B675A2">
        <w:rPr>
          <w:rFonts w:ascii="Times New Roman" w:hAnsi="Times New Roman" w:cs="Times New Roman"/>
          <w:color w:val="000000"/>
          <w:lang w:bidi="ar"/>
        </w:rPr>
        <w:t>12</w:t>
      </w:r>
      <w:r w:rsidR="008918B1">
        <w:rPr>
          <w:rFonts w:ascii="Times New Roman" w:hAnsi="Times New Roman" w:cs="Times New Roman"/>
          <w:color w:val="000000"/>
          <w:lang w:bidi="ar"/>
        </w:rPr>
        <w:t>.00</w:t>
      </w:r>
      <w:r w:rsidR="008918B1" w:rsidRPr="00B675A2">
        <w:rPr>
          <w:rFonts w:ascii="Times New Roman" w:hAnsi="Times New Roman" w:cs="Times New Roman"/>
          <w:color w:val="000000"/>
          <w:lang w:bidi="ar"/>
        </w:rPr>
        <w:t>万元，王铁弟名下所持北洋天青有限</w:t>
      </w:r>
      <w:r w:rsidR="008918B1" w:rsidRPr="00B675A2">
        <w:rPr>
          <w:rFonts w:ascii="Times New Roman" w:hAnsi="Times New Roman" w:cs="Times New Roman"/>
          <w:color w:val="000000"/>
          <w:lang w:bidi="ar"/>
        </w:rPr>
        <w:t>15</w:t>
      </w:r>
      <w:r w:rsidR="008918B1">
        <w:rPr>
          <w:rFonts w:ascii="Times New Roman" w:hAnsi="Times New Roman" w:cs="Times New Roman"/>
          <w:color w:val="000000"/>
          <w:lang w:bidi="ar"/>
        </w:rPr>
        <w:t>.00</w:t>
      </w:r>
      <w:r w:rsidR="008918B1" w:rsidRPr="00B675A2">
        <w:rPr>
          <w:rFonts w:ascii="Times New Roman" w:hAnsi="Times New Roman" w:cs="Times New Roman"/>
          <w:color w:val="000000"/>
          <w:lang w:bidi="ar"/>
        </w:rPr>
        <w:t>万元股权均为代傅敦持有。</w:t>
      </w:r>
    </w:p>
    <w:p w14:paraId="0C707478" w14:textId="378768E5" w:rsidR="000A0ACD" w:rsidRDefault="008918B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2015</w:t>
      </w:r>
      <w:r>
        <w:rPr>
          <w:rFonts w:ascii="Times New Roman" w:hAnsi="Times New Roman" w:cs="Times New Roman" w:hint="eastAsia"/>
          <w:color w:val="000000"/>
          <w:lang w:bidi="ar"/>
        </w:rPr>
        <w:t>年</w:t>
      </w:r>
      <w:r>
        <w:rPr>
          <w:rFonts w:ascii="Times New Roman" w:hAnsi="Times New Roman" w:cs="Times New Roman" w:hint="eastAsia"/>
          <w:color w:val="000000"/>
          <w:lang w:bidi="ar"/>
        </w:rPr>
        <w:t>12</w:t>
      </w:r>
      <w:r>
        <w:rPr>
          <w:rFonts w:ascii="Times New Roman" w:hAnsi="Times New Roman" w:cs="Times New Roman" w:hint="eastAsia"/>
          <w:color w:val="000000"/>
          <w:lang w:bidi="ar"/>
        </w:rPr>
        <w:t>月，</w:t>
      </w:r>
      <w:r>
        <w:rPr>
          <w:rFonts w:ascii="Times New Roman" w:hAnsi="Times New Roman" w:hint="eastAsia"/>
          <w:color w:val="000000"/>
          <w:lang w:bidi="ar"/>
        </w:rPr>
        <w:t>王铁弟与李红签订《股权转让协议》，</w:t>
      </w:r>
      <w:r>
        <w:rPr>
          <w:rFonts w:ascii="Times New Roman" w:hAnsi="Times New Roman" w:cs="Times New Roman" w:hint="eastAsia"/>
          <w:color w:val="000000"/>
          <w:lang w:bidi="ar"/>
        </w:rPr>
        <w:t>王铁弟按傅敦要求将其所代持的北洋天青有限</w:t>
      </w:r>
      <w:r>
        <w:rPr>
          <w:rFonts w:ascii="Times New Roman" w:hAnsi="Times New Roman" w:hint="eastAsia"/>
          <w:color w:val="000000"/>
        </w:rPr>
        <w:t>1</w:t>
      </w:r>
      <w:r>
        <w:rPr>
          <w:rFonts w:ascii="Times New Roman" w:hAnsi="Times New Roman"/>
          <w:color w:val="000000"/>
        </w:rPr>
        <w:t>5.</w:t>
      </w:r>
      <w:r>
        <w:rPr>
          <w:rFonts w:ascii="Times New Roman" w:hAnsi="Times New Roman" w:hint="eastAsia"/>
          <w:color w:val="000000"/>
        </w:rPr>
        <w:t>0</w:t>
      </w:r>
      <w:r>
        <w:rPr>
          <w:rFonts w:ascii="Times New Roman" w:hAnsi="Times New Roman"/>
          <w:color w:val="000000"/>
        </w:rPr>
        <w:t>0</w:t>
      </w:r>
      <w:r>
        <w:rPr>
          <w:rFonts w:ascii="Times New Roman" w:hAnsi="Times New Roman" w:hint="eastAsia"/>
          <w:color w:val="000000"/>
        </w:rPr>
        <w:t>万元股权中的</w:t>
      </w:r>
      <w:r>
        <w:rPr>
          <w:rFonts w:ascii="Times New Roman" w:hAnsi="Times New Roman" w:cs="Times New Roman" w:hint="eastAsia"/>
          <w:color w:val="000000"/>
          <w:lang w:bidi="ar"/>
        </w:rPr>
        <w:t>2.1429</w:t>
      </w:r>
      <w:r>
        <w:rPr>
          <w:rFonts w:ascii="Times New Roman" w:hAnsi="Times New Roman" w:cs="Times New Roman" w:hint="eastAsia"/>
          <w:color w:val="000000"/>
          <w:lang w:bidi="ar"/>
        </w:rPr>
        <w:t>万元股权以</w:t>
      </w:r>
      <w:r>
        <w:rPr>
          <w:rFonts w:ascii="Times New Roman" w:hAnsi="Times New Roman" w:cs="Times New Roman" w:hint="eastAsia"/>
          <w:color w:val="000000"/>
          <w:lang w:bidi="ar"/>
        </w:rPr>
        <w:t>1.00</w:t>
      </w:r>
      <w:r>
        <w:rPr>
          <w:rFonts w:ascii="Times New Roman" w:hAnsi="Times New Roman" w:cs="Times New Roman" w:hint="eastAsia"/>
          <w:color w:val="000000"/>
          <w:lang w:bidi="ar"/>
        </w:rPr>
        <w:t>元</w:t>
      </w:r>
      <w:r>
        <w:rPr>
          <w:rFonts w:ascii="Times New Roman" w:hAnsi="Times New Roman" w:cs="Times New Roman" w:hint="eastAsia"/>
          <w:color w:val="000000"/>
          <w:lang w:bidi="ar"/>
        </w:rPr>
        <w:t>/</w:t>
      </w:r>
      <w:r>
        <w:rPr>
          <w:rFonts w:ascii="Times New Roman" w:hAnsi="Times New Roman" w:cs="Times New Roman" w:hint="eastAsia"/>
          <w:color w:val="000000"/>
          <w:lang w:bidi="ar"/>
        </w:rPr>
        <w:t>股的价格转让给李红；</w:t>
      </w:r>
      <w:r>
        <w:rPr>
          <w:rFonts w:ascii="Times New Roman" w:hAnsi="Times New Roman" w:hint="eastAsia"/>
          <w:color w:val="000000"/>
          <w:lang w:bidi="ar"/>
        </w:rPr>
        <w:t>王铁弟与傅敦签订《股权转让协议》，</w:t>
      </w:r>
      <w:r>
        <w:rPr>
          <w:rFonts w:ascii="Times New Roman" w:hAnsi="Times New Roman" w:cs="Times New Roman" w:hint="eastAsia"/>
          <w:color w:val="000000"/>
          <w:lang w:bidi="ar"/>
        </w:rPr>
        <w:t>王铁弟将其代傅敦持有的北洋天青有限</w:t>
      </w:r>
      <w:r>
        <w:rPr>
          <w:rFonts w:ascii="Times New Roman" w:hAnsi="Times New Roman" w:hint="eastAsia"/>
          <w:color w:val="000000"/>
        </w:rPr>
        <w:t>1</w:t>
      </w:r>
      <w:r>
        <w:rPr>
          <w:rFonts w:ascii="Times New Roman" w:hAnsi="Times New Roman"/>
          <w:color w:val="000000"/>
        </w:rPr>
        <w:t>5.</w:t>
      </w:r>
      <w:r>
        <w:rPr>
          <w:rFonts w:ascii="Times New Roman" w:hAnsi="Times New Roman" w:hint="eastAsia"/>
          <w:color w:val="000000"/>
        </w:rPr>
        <w:t>0</w:t>
      </w:r>
      <w:r>
        <w:rPr>
          <w:rFonts w:ascii="Times New Roman" w:hAnsi="Times New Roman"/>
          <w:color w:val="000000"/>
        </w:rPr>
        <w:t>0</w:t>
      </w:r>
      <w:r>
        <w:rPr>
          <w:rFonts w:ascii="Times New Roman" w:hAnsi="Times New Roman" w:hint="eastAsia"/>
          <w:color w:val="000000"/>
        </w:rPr>
        <w:t>万元股权中的</w:t>
      </w:r>
      <w:r>
        <w:rPr>
          <w:rFonts w:ascii="Times New Roman" w:hAnsi="Times New Roman" w:cs="Times New Roman" w:hint="eastAsia"/>
          <w:color w:val="000000"/>
          <w:lang w:bidi="ar"/>
        </w:rPr>
        <w:t>12.8571</w:t>
      </w:r>
      <w:r>
        <w:rPr>
          <w:rFonts w:ascii="Times New Roman" w:hAnsi="Times New Roman" w:cs="Times New Roman" w:hint="eastAsia"/>
          <w:color w:val="000000"/>
          <w:lang w:bidi="ar"/>
        </w:rPr>
        <w:t>万元股权转回给傅敦，本次股权转让为代持还原，傅敦无需支付对价。</w:t>
      </w:r>
      <w:r w:rsidR="00362A99">
        <w:rPr>
          <w:rFonts w:ascii="Times New Roman" w:hAnsi="Times New Roman" w:cs="Times New Roman" w:hint="eastAsia"/>
          <w:bCs/>
          <w:color w:val="000000"/>
          <w:szCs w:val="21"/>
        </w:rPr>
        <w:t>截至本回复出具日</w:t>
      </w:r>
      <w:r w:rsidR="00362A99">
        <w:rPr>
          <w:rFonts w:ascii="Times New Roman" w:hAnsi="Times New Roman" w:cs="Times New Roman" w:hint="eastAsia"/>
          <w:color w:val="000000"/>
          <w:lang w:bidi="ar"/>
        </w:rPr>
        <w:t>，上述股权代持情况已清理</w:t>
      </w:r>
      <w:r>
        <w:rPr>
          <w:rFonts w:ascii="Times New Roman" w:hAnsi="Times New Roman" w:cs="Times New Roman" w:hint="eastAsia"/>
          <w:color w:val="000000"/>
          <w:lang w:bidi="ar"/>
        </w:rPr>
        <w:t>完毕</w:t>
      </w:r>
      <w:r w:rsidR="00362A99">
        <w:rPr>
          <w:rFonts w:ascii="Times New Roman" w:hAnsi="Times New Roman" w:cs="Times New Roman" w:hint="eastAsia"/>
          <w:color w:val="000000"/>
          <w:lang w:bidi="ar"/>
        </w:rPr>
        <w:t>，王铁弟不再直接或间接持有北洋天青任何股份。</w:t>
      </w:r>
    </w:p>
    <w:p w14:paraId="5130C9C7" w14:textId="78DEA3D2"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六、江涛与当代文化之间的股份代持</w:t>
      </w:r>
      <w:r w:rsidR="008918B1">
        <w:rPr>
          <w:rFonts w:ascii="Times New Roman" w:hAnsi="Times New Roman" w:cs="Times New Roman" w:hint="eastAsia"/>
          <w:b/>
          <w:color w:val="000000"/>
          <w:szCs w:val="21"/>
        </w:rPr>
        <w:t>及解除</w:t>
      </w:r>
      <w:r>
        <w:rPr>
          <w:rFonts w:ascii="Times New Roman" w:hAnsi="Times New Roman" w:cs="Times New Roman" w:hint="eastAsia"/>
          <w:b/>
          <w:color w:val="000000"/>
          <w:szCs w:val="21"/>
        </w:rPr>
        <w:t>情况</w:t>
      </w:r>
    </w:p>
    <w:p w14:paraId="57B9BB3F" w14:textId="77777777"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根据对江涛、丁一铭的访谈及核查，江涛通过丁一铭间接持有当代文化控股权。因江涛拟携家人长期在澳大利亚居住，其本人在北洋天青有限直接持股、参加会议及相关事项签字不方便，因此江涛将所持有的北洋天青有限全部股权无偿转让给其实际控制的当代文化，由当代文化代江涛持有北洋天青有限</w:t>
      </w:r>
      <w:r>
        <w:rPr>
          <w:rFonts w:ascii="Times New Roman" w:hAnsi="Times New Roman" w:cs="Times New Roman" w:hint="eastAsia"/>
          <w:color w:val="000000"/>
          <w:lang w:bidi="ar"/>
        </w:rPr>
        <w:t>150.00</w:t>
      </w:r>
      <w:r>
        <w:rPr>
          <w:rFonts w:ascii="Times New Roman" w:hAnsi="Times New Roman" w:cs="Times New Roman" w:hint="eastAsia"/>
          <w:color w:val="000000"/>
          <w:lang w:bidi="ar"/>
        </w:rPr>
        <w:t>万元股权。</w:t>
      </w:r>
    </w:p>
    <w:p w14:paraId="0B514591" w14:textId="77777777"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2018</w:t>
      </w:r>
      <w:r>
        <w:rPr>
          <w:rFonts w:ascii="Times New Roman" w:hAnsi="Times New Roman" w:cs="Times New Roman" w:hint="eastAsia"/>
          <w:color w:val="000000"/>
          <w:lang w:bidi="ar"/>
        </w:rPr>
        <w:t>年</w:t>
      </w:r>
      <w:r>
        <w:rPr>
          <w:rFonts w:ascii="Times New Roman" w:hAnsi="Times New Roman" w:cs="Times New Roman" w:hint="eastAsia"/>
          <w:color w:val="000000"/>
          <w:lang w:bidi="ar"/>
        </w:rPr>
        <w:t>1</w:t>
      </w:r>
      <w:r>
        <w:rPr>
          <w:rFonts w:ascii="Times New Roman" w:hAnsi="Times New Roman" w:cs="Times New Roman" w:hint="eastAsia"/>
          <w:color w:val="000000"/>
          <w:lang w:bidi="ar"/>
        </w:rPr>
        <w:t>月江涛因资金需求，将其委托当代文化代为持有的北洋天青股份通过股转交易系统全部转让给钱祥丰和王晓晖，至此江涛与当代文化之间关于北洋天青的股份代持清理完毕，江涛及当代文化不再持有北洋天青任何股份。</w:t>
      </w:r>
    </w:p>
    <w:p w14:paraId="47E691CF" w14:textId="256428A9"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根据对上述标的公司股权代持相关各方及其他股东的访谈确认，上述股权代持各方在解除代持关系时未</w:t>
      </w:r>
      <w:r>
        <w:rPr>
          <w:rFonts w:ascii="Times New Roman" w:hAnsi="Times New Roman" w:hint="eastAsia"/>
          <w:color w:val="000000"/>
          <w:lang w:bidi="ar"/>
        </w:rPr>
        <w:t>专门</w:t>
      </w:r>
      <w:r>
        <w:rPr>
          <w:rFonts w:ascii="Times New Roman" w:hAnsi="Times New Roman" w:cs="Times New Roman" w:hint="eastAsia"/>
          <w:color w:val="000000"/>
          <w:lang w:bidi="ar"/>
        </w:rPr>
        <w:t>签订代持解除协议；股权代持各方均已对股权代持原因、形成过程及解除情况进行确认，</w:t>
      </w:r>
      <w:r w:rsidR="008918B1">
        <w:rPr>
          <w:rFonts w:ascii="Times New Roman" w:hAnsi="Times New Roman" w:hint="eastAsia"/>
          <w:color w:val="000000"/>
        </w:rPr>
        <w:t>交易对方</w:t>
      </w:r>
      <w:r w:rsidR="008918B1" w:rsidRPr="007720F7">
        <w:rPr>
          <w:rFonts w:ascii="Times New Roman" w:hAnsi="Times New Roman" w:hint="eastAsia"/>
          <w:color w:val="000000"/>
        </w:rPr>
        <w:t>所持</w:t>
      </w:r>
      <w:r w:rsidR="008918B1">
        <w:rPr>
          <w:rFonts w:ascii="Times New Roman" w:hAnsi="Times New Roman" w:hint="eastAsia"/>
          <w:color w:val="000000"/>
        </w:rPr>
        <w:t>北洋天青股份</w:t>
      </w:r>
      <w:r w:rsidR="008918B1" w:rsidRPr="007720F7">
        <w:rPr>
          <w:rFonts w:ascii="Times New Roman" w:hAnsi="Times New Roman" w:hint="eastAsia"/>
          <w:color w:val="000000"/>
        </w:rPr>
        <w:t>不存在委托投资、信托持股或股份代持的情形。</w:t>
      </w:r>
    </w:p>
    <w:p w14:paraId="73748CA3"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）标的资产有无股权争议，对潜在法律风险有无具体应对措施</w:t>
      </w:r>
    </w:p>
    <w:p w14:paraId="59442C45" w14:textId="77777777"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北洋天青历史上存在的股权代持情形均已解除完毕，还原了真实持股关系，并对代持方与被代持方均进行了访谈确认，各方对股权代持及代持解除的情况进行了确认，并确认各方之间不存在任何股权争议及其他潜在纠纷。</w:t>
      </w:r>
    </w:p>
    <w:p w14:paraId="27633201" w14:textId="0EBB87B9" w:rsidR="000A0ACD" w:rsidRDefault="008918B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hint="eastAsia"/>
          <w:color w:val="000000"/>
          <w:lang w:bidi="ar"/>
        </w:rPr>
        <w:t>作为</w:t>
      </w:r>
      <w:r w:rsidRPr="00701684">
        <w:rPr>
          <w:rFonts w:ascii="Times New Roman" w:hAnsi="Times New Roman" w:hint="eastAsia"/>
          <w:color w:val="000000"/>
          <w:lang w:bidi="ar"/>
        </w:rPr>
        <w:t>北洋天青</w:t>
      </w:r>
      <w:r>
        <w:rPr>
          <w:rFonts w:ascii="Times New Roman" w:hAnsi="Times New Roman" w:hint="eastAsia"/>
          <w:color w:val="000000"/>
          <w:lang w:bidi="ar"/>
        </w:rPr>
        <w:t>股东的交易对方</w:t>
      </w:r>
      <w:r w:rsidRPr="00701684">
        <w:rPr>
          <w:rFonts w:ascii="Times New Roman" w:hAnsi="Times New Roman" w:hint="eastAsia"/>
          <w:color w:val="000000"/>
          <w:lang w:bidi="ar"/>
        </w:rPr>
        <w:t>均已出具</w:t>
      </w:r>
      <w:r w:rsidR="00362A99">
        <w:rPr>
          <w:rFonts w:ascii="Times New Roman" w:hAnsi="Times New Roman" w:cs="Times New Roman" w:hint="eastAsia"/>
          <w:color w:val="000000"/>
          <w:lang w:bidi="ar"/>
        </w:rPr>
        <w:t>《关于标的资产权属相关事项的承诺函》，承诺其所持标的资产权属清晰、完整；其向北洋天青的出资或受让股权的资金均为合法取得的自有资金且已足额缴纳或支付；其为标的资产的最终和真实所有人，不存在以信托、委托他人或接受他人委托等方式持有标的资产的情形，不存在权属纠纷或其他潜在纠纷。</w:t>
      </w:r>
    </w:p>
    <w:p w14:paraId="23820929" w14:textId="2299A42B"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综上所述，标的公司曾经存在的股权代持情形已经得到依法解除，截至本回复出具日，</w:t>
      </w:r>
      <w:r w:rsidR="008918B1">
        <w:rPr>
          <w:rFonts w:ascii="Times New Roman" w:hAnsi="Times New Roman" w:hint="eastAsia"/>
          <w:color w:val="000000"/>
          <w:lang w:bidi="ar"/>
        </w:rPr>
        <w:t>交易对方</w:t>
      </w:r>
      <w:r>
        <w:rPr>
          <w:rFonts w:ascii="Times New Roman" w:hAnsi="Times New Roman" w:cs="Times New Roman" w:hint="eastAsia"/>
          <w:color w:val="000000"/>
          <w:lang w:bidi="ar"/>
        </w:rPr>
        <w:t>所持北洋天青的股份不存在任何代持情形，北洋天青的股份不存在现时或潜在的争议或纠纷。曾经存在的股权代持情形，亦不存在潜在的重大法律风险，不会对本次重组产生重大不利影响。</w:t>
      </w:r>
    </w:p>
    <w:p w14:paraId="4EA63798"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）补充披露情况</w:t>
      </w:r>
    </w:p>
    <w:p w14:paraId="59AFA9EB" w14:textId="77777777"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“股权代持的原因、变动的详细过程及清理情况”及“标的资产股权纠纷及潜在法律风险的应对措施”已在“第四节</w:t>
      </w:r>
      <w:r>
        <w:rPr>
          <w:rFonts w:ascii="Times New Roman" w:hAnsi="Times New Roman" w:cs="Times New Roman"/>
          <w:color w:val="000000"/>
          <w:lang w:bidi="ar"/>
        </w:rPr>
        <w:t xml:space="preserve"> </w:t>
      </w:r>
      <w:r>
        <w:rPr>
          <w:rFonts w:ascii="Times New Roman" w:hAnsi="Times New Roman" w:cs="Times New Roman" w:hint="eastAsia"/>
          <w:color w:val="000000"/>
          <w:lang w:bidi="ar"/>
        </w:rPr>
        <w:t>交易标的基本情况”之“二、历史沿革”之“（十三）历次股权变动代持及还原情况”补充披露。</w:t>
      </w:r>
    </w:p>
    <w:p w14:paraId="43168532" w14:textId="2524CEC2"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4</w:t>
      </w:r>
      <w:r>
        <w:rPr>
          <w:rFonts w:ascii="Times New Roman" w:eastAsia="黑体" w:hAnsi="Times New Roman" w:cs="Times New Roman" w:hint="eastAsia"/>
          <w:b/>
          <w:color w:val="000000"/>
          <w:szCs w:val="21"/>
        </w:rPr>
        <w:t>）</w:t>
      </w:r>
      <w:r w:rsidR="0004647F">
        <w:rPr>
          <w:rFonts w:ascii="Times New Roman" w:eastAsia="黑体" w:hAnsi="Times New Roman" w:cs="Times New Roman" w:hint="eastAsia"/>
          <w:b/>
          <w:color w:val="000000"/>
          <w:szCs w:val="21"/>
        </w:rPr>
        <w:t>中介机构核查意见</w:t>
      </w:r>
    </w:p>
    <w:p w14:paraId="5200AD6C" w14:textId="62B56400"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经核查，独立财务顾问及律师认为：根据对标的公司股权代持相关各方及其他股东的访谈确认，股权代持各方在解除代持关系时未</w:t>
      </w:r>
      <w:r>
        <w:rPr>
          <w:rFonts w:ascii="Times New Roman" w:hAnsi="Times New Roman" w:hint="eastAsia"/>
          <w:color w:val="000000"/>
          <w:lang w:bidi="ar"/>
        </w:rPr>
        <w:t>专门</w:t>
      </w:r>
      <w:r>
        <w:rPr>
          <w:rFonts w:ascii="Times New Roman" w:hAnsi="Times New Roman" w:cs="Times New Roman" w:hint="eastAsia"/>
          <w:color w:val="000000"/>
          <w:lang w:bidi="ar"/>
        </w:rPr>
        <w:t>签订代持解除协议；股权代持各方均已对股权代持原因、形成过程及解除情况进行确认，</w:t>
      </w:r>
      <w:r w:rsidR="008918B1">
        <w:rPr>
          <w:rFonts w:ascii="Times New Roman" w:hAnsi="Times New Roman" w:hint="eastAsia"/>
          <w:color w:val="000000"/>
          <w:lang w:bidi="ar"/>
        </w:rPr>
        <w:t>交易对方</w:t>
      </w:r>
      <w:r>
        <w:rPr>
          <w:rFonts w:ascii="Times New Roman" w:hAnsi="Times New Roman" w:cs="Times New Roman" w:hint="eastAsia"/>
          <w:color w:val="000000"/>
          <w:lang w:bidi="ar"/>
        </w:rPr>
        <w:t>所持股权不存在委托投资、信托持股或股份代持的情形。标的公司曾经存在的股权代持情形已经得到依法解除，截至本回复出具日，</w:t>
      </w:r>
      <w:r w:rsidR="008918B1">
        <w:rPr>
          <w:rFonts w:ascii="Times New Roman" w:hAnsi="Times New Roman" w:hint="eastAsia"/>
          <w:color w:val="000000"/>
          <w:lang w:bidi="ar"/>
        </w:rPr>
        <w:t>交易对方</w:t>
      </w:r>
      <w:r>
        <w:rPr>
          <w:rFonts w:ascii="Times New Roman" w:hAnsi="Times New Roman" w:cs="Times New Roman" w:hint="eastAsia"/>
          <w:color w:val="000000"/>
          <w:lang w:bidi="ar"/>
        </w:rPr>
        <w:t>所持北洋天青的股份不存在任何代持情形，北洋天青的股份不存在现时或潜在的争议或纠纷。曾经存在的股权代持情形，亦不存在潜在的重大法律风险，不会对本次重组产生重大不利影响。</w:t>
      </w:r>
    </w:p>
    <w:p w14:paraId="7F09F567" w14:textId="77777777" w:rsidR="000A0ACD" w:rsidRDefault="000A0ACD">
      <w:pPr>
        <w:pStyle w:val="afffff"/>
        <w:sectPr w:rsidR="000A0ACD">
          <w:pgSz w:w="11906" w:h="16838"/>
          <w:pgMar w:top="1440" w:right="1800" w:bottom="1440" w:left="1800" w:header="851" w:footer="992" w:gutter="0"/>
          <w:cols w:space="425"/>
          <w:docGrid w:type="lines" w:linePitch="312"/>
        </w:sectPr>
      </w:pPr>
      <w:bookmarkStart w:id="62" w:name="_Toc69256873"/>
      <w:bookmarkStart w:id="63" w:name="_Toc69256855"/>
      <w:bookmarkEnd w:id="60"/>
      <w:bookmarkEnd w:id="61"/>
    </w:p>
    <w:p w14:paraId="3C186335" w14:textId="77777777" w:rsidR="000A0ACD" w:rsidRDefault="00362A99">
      <w:pPr>
        <w:pStyle w:val="afffff"/>
      </w:pPr>
      <w:r>
        <w:rPr>
          <w:rFonts w:hint="eastAsia"/>
        </w:rPr>
        <w:t>第八题</w:t>
      </w:r>
      <w:bookmarkEnd w:id="62"/>
      <w:bookmarkEnd w:id="63"/>
    </w:p>
    <w:p w14:paraId="0EA2CC96"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申请文件显示，报告期内各期，标的资产分别实现营业收入</w:t>
      </w:r>
      <w:r>
        <w:rPr>
          <w:rFonts w:ascii="Times New Roman" w:eastAsia="黑体" w:hAnsi="Times New Roman" w:cs="Times New Roman" w:hint="eastAsia"/>
          <w:b/>
          <w:color w:val="000000"/>
          <w:szCs w:val="21"/>
        </w:rPr>
        <w:t>6,106.09</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10,326.14</w:t>
      </w:r>
      <w:r>
        <w:rPr>
          <w:rFonts w:ascii="Times New Roman" w:eastAsia="黑体" w:hAnsi="Times New Roman" w:cs="Times New Roman" w:hint="eastAsia"/>
          <w:b/>
          <w:color w:val="000000"/>
          <w:szCs w:val="21"/>
        </w:rPr>
        <w:t>万元和</w:t>
      </w:r>
      <w:r>
        <w:rPr>
          <w:rFonts w:ascii="Times New Roman" w:eastAsia="黑体" w:hAnsi="Times New Roman" w:cs="Times New Roman" w:hint="eastAsia"/>
          <w:b/>
          <w:color w:val="000000"/>
          <w:szCs w:val="21"/>
        </w:rPr>
        <w:t>6,648.80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年，标的资产营业收入较</w:t>
      </w:r>
      <w:r>
        <w:rPr>
          <w:rFonts w:ascii="Times New Roman" w:eastAsia="黑体" w:hAnsi="Times New Roman" w:cs="Times New Roman" w:hint="eastAsia"/>
          <w:b/>
          <w:color w:val="000000"/>
          <w:szCs w:val="21"/>
        </w:rPr>
        <w:t>2018</w:t>
      </w:r>
      <w:r>
        <w:rPr>
          <w:rFonts w:ascii="Times New Roman" w:eastAsia="黑体" w:hAnsi="Times New Roman" w:cs="Times New Roman" w:hint="eastAsia"/>
          <w:b/>
          <w:color w:val="000000"/>
          <w:szCs w:val="21"/>
        </w:rPr>
        <w:t>年增长</w:t>
      </w:r>
      <w:r>
        <w:rPr>
          <w:rFonts w:ascii="Times New Roman" w:eastAsia="黑体" w:hAnsi="Times New Roman" w:cs="Times New Roman" w:hint="eastAsia"/>
          <w:b/>
          <w:color w:val="000000"/>
          <w:szCs w:val="21"/>
        </w:rPr>
        <w:t>69.11%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1-9</w:t>
      </w:r>
      <w:r>
        <w:rPr>
          <w:rFonts w:ascii="Times New Roman" w:eastAsia="黑体" w:hAnsi="Times New Roman" w:cs="Times New Roman" w:hint="eastAsia"/>
          <w:b/>
          <w:color w:val="000000"/>
          <w:szCs w:val="21"/>
        </w:rPr>
        <w:t>月，标的资产营业收入较</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年减少</w:t>
      </w:r>
      <w:r>
        <w:rPr>
          <w:rFonts w:ascii="Times New Roman" w:eastAsia="黑体" w:hAnsi="Times New Roman" w:cs="Times New Roman" w:hint="eastAsia"/>
          <w:b/>
          <w:color w:val="000000"/>
          <w:szCs w:val="21"/>
        </w:rPr>
        <w:t>3,677.34</w:t>
      </w:r>
      <w:r>
        <w:rPr>
          <w:rFonts w:ascii="Times New Roman" w:eastAsia="黑体" w:hAnsi="Times New Roman" w:cs="Times New Roman" w:hint="eastAsia"/>
          <w:b/>
          <w:color w:val="000000"/>
          <w:szCs w:val="21"/>
        </w:rPr>
        <w:t>万元。请你公司：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）结合同行业上市公司营业收入波动情况和市场容量，补充披露北洋天青营业收入波动的原因。</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）补充披露北洋天青收入确认的政策、依据和时点，是否存在收入跨期的情形。请独立财务顾问和会计师核查并发表明确意见。</w:t>
      </w:r>
    </w:p>
    <w:p w14:paraId="168F524A" w14:textId="77777777" w:rsidR="000A0ACD" w:rsidRDefault="00362A99">
      <w:pPr>
        <w:pStyle w:val="affffd"/>
        <w:spacing w:before="156"/>
        <w:ind w:firstLine="482"/>
        <w:rPr>
          <w:b/>
        </w:rPr>
      </w:pPr>
      <w:r>
        <w:rPr>
          <w:rFonts w:hint="eastAsia"/>
          <w:b/>
        </w:rPr>
        <w:t>【回复说明】</w:t>
      </w:r>
    </w:p>
    <w:p w14:paraId="1354926A"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）结合同行业上市公司营业收入波动情况和市场容量，补充披露北洋天青营业收入波动的原因。</w:t>
      </w:r>
    </w:p>
    <w:p w14:paraId="2E81A275"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lang w:eastAsia="ar-SA"/>
        </w:rPr>
      </w:pPr>
      <w:r>
        <w:rPr>
          <w:rFonts w:ascii="Times New Roman" w:hAnsi="Times New Roman" w:cs="Times New Roman" w:hint="eastAsia"/>
          <w:b/>
          <w:color w:val="000000"/>
          <w:szCs w:val="21"/>
        </w:rPr>
        <w:t>一、</w:t>
      </w:r>
      <w:r>
        <w:rPr>
          <w:rFonts w:ascii="Times New Roman" w:hAnsi="Times New Roman" w:cs="Times New Roman" w:hint="eastAsia"/>
          <w:b/>
          <w:color w:val="000000"/>
          <w:szCs w:val="21"/>
          <w:lang w:eastAsia="ar-SA"/>
        </w:rPr>
        <w:t>同行业上市公司营业收入波动情况</w:t>
      </w:r>
    </w:p>
    <w:p w14:paraId="3E4233F4" w14:textId="77777777"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报告期内，北洋天青与同行业上市公司营业收入波动情况如下表所示：</w:t>
      </w:r>
    </w:p>
    <w:p w14:paraId="0CCFDC21"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58"/>
        <w:gridCol w:w="1433"/>
        <w:gridCol w:w="1109"/>
        <w:gridCol w:w="1433"/>
        <w:gridCol w:w="1153"/>
        <w:gridCol w:w="1433"/>
      </w:tblGrid>
      <w:tr w:rsidR="000A0ACD" w14:paraId="72906E69" w14:textId="77777777">
        <w:trPr>
          <w:trHeight w:val="397"/>
          <w:tblHeader/>
          <w:jc w:val="center"/>
        </w:trPr>
        <w:tc>
          <w:tcPr>
            <w:tcW w:w="1149" w:type="pct"/>
            <w:shd w:val="clear" w:color="auto" w:fill="auto"/>
            <w:vAlign w:val="center"/>
          </w:tcPr>
          <w:p w14:paraId="1D3C9237" w14:textId="77777777" w:rsidR="000A0ACD" w:rsidRDefault="00362A99">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可比上市公司</w:t>
            </w:r>
          </w:p>
        </w:tc>
        <w:tc>
          <w:tcPr>
            <w:tcW w:w="840" w:type="pct"/>
            <w:vAlign w:val="center"/>
          </w:tcPr>
          <w:p w14:paraId="37C2129C" w14:textId="77777777" w:rsidR="000A0ACD" w:rsidRDefault="00362A99">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1-9</w:t>
            </w:r>
            <w:r>
              <w:rPr>
                <w:rFonts w:ascii="Times New Roman" w:hAnsi="Times New Roman" w:cs="Times New Roman" w:hint="eastAsia"/>
                <w:b/>
                <w:bCs/>
                <w:sz w:val="21"/>
                <w:szCs w:val="21"/>
              </w:rPr>
              <w:t>月营业收入</w:t>
            </w:r>
          </w:p>
        </w:tc>
        <w:tc>
          <w:tcPr>
            <w:tcW w:w="650" w:type="pct"/>
            <w:vAlign w:val="center"/>
          </w:tcPr>
          <w:p w14:paraId="2B50C137" w14:textId="77777777" w:rsidR="000A0ACD" w:rsidRDefault="00362A99">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同比增长</w:t>
            </w:r>
          </w:p>
        </w:tc>
        <w:tc>
          <w:tcPr>
            <w:tcW w:w="840" w:type="pct"/>
            <w:shd w:val="clear" w:color="auto" w:fill="auto"/>
            <w:vAlign w:val="center"/>
          </w:tcPr>
          <w:p w14:paraId="54112CF3" w14:textId="77777777" w:rsidR="000A0ACD" w:rsidRDefault="00362A99">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年度营业收入</w:t>
            </w:r>
          </w:p>
        </w:tc>
        <w:tc>
          <w:tcPr>
            <w:tcW w:w="676" w:type="pct"/>
            <w:vAlign w:val="center"/>
          </w:tcPr>
          <w:p w14:paraId="31F65B8B" w14:textId="77777777" w:rsidR="000A0ACD" w:rsidRDefault="00362A99">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同比增长</w:t>
            </w:r>
          </w:p>
        </w:tc>
        <w:tc>
          <w:tcPr>
            <w:tcW w:w="840" w:type="pct"/>
            <w:vAlign w:val="center"/>
          </w:tcPr>
          <w:p w14:paraId="5322A13C" w14:textId="77777777" w:rsidR="000A0ACD" w:rsidRDefault="00362A99">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年度营业收入</w:t>
            </w:r>
          </w:p>
        </w:tc>
      </w:tr>
      <w:tr w:rsidR="000A0ACD" w14:paraId="24424F24" w14:textId="77777777">
        <w:trPr>
          <w:trHeight w:val="397"/>
          <w:jc w:val="center"/>
        </w:trPr>
        <w:tc>
          <w:tcPr>
            <w:tcW w:w="1149" w:type="pct"/>
            <w:shd w:val="clear" w:color="auto" w:fill="auto"/>
            <w:vAlign w:val="center"/>
          </w:tcPr>
          <w:p w14:paraId="29E89666" w14:textId="77777777" w:rsidR="000A0ACD" w:rsidRDefault="00362A99">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埃斯顿（</w:t>
            </w:r>
            <w:r>
              <w:rPr>
                <w:rFonts w:ascii="Times New Roman" w:hAnsi="Times New Roman" w:cs="Times New Roman" w:hint="eastAsia"/>
                <w:sz w:val="21"/>
                <w:szCs w:val="21"/>
              </w:rPr>
              <w:t>002747.SZ</w:t>
            </w:r>
            <w:r>
              <w:rPr>
                <w:rFonts w:ascii="Times New Roman" w:hAnsi="Times New Roman" w:cs="Times New Roman" w:hint="eastAsia"/>
                <w:sz w:val="21"/>
                <w:szCs w:val="21"/>
              </w:rPr>
              <w:t>）</w:t>
            </w:r>
          </w:p>
        </w:tc>
        <w:tc>
          <w:tcPr>
            <w:tcW w:w="840" w:type="pct"/>
            <w:vAlign w:val="center"/>
          </w:tcPr>
          <w:p w14:paraId="5ADEA264"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176,322.07</w:t>
            </w:r>
          </w:p>
        </w:tc>
        <w:tc>
          <w:tcPr>
            <w:tcW w:w="650" w:type="pct"/>
            <w:vAlign w:val="center"/>
          </w:tcPr>
          <w:p w14:paraId="2A08C047"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82.23%</w:t>
            </w:r>
          </w:p>
        </w:tc>
        <w:tc>
          <w:tcPr>
            <w:tcW w:w="840" w:type="pct"/>
            <w:shd w:val="clear" w:color="auto" w:fill="auto"/>
            <w:vAlign w:val="center"/>
          </w:tcPr>
          <w:p w14:paraId="2CC5377D"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142,145.97</w:t>
            </w:r>
          </w:p>
        </w:tc>
        <w:tc>
          <w:tcPr>
            <w:tcW w:w="676" w:type="pct"/>
            <w:vAlign w:val="center"/>
          </w:tcPr>
          <w:p w14:paraId="24EE8C21"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-2.71%</w:t>
            </w:r>
          </w:p>
        </w:tc>
        <w:tc>
          <w:tcPr>
            <w:tcW w:w="840" w:type="pct"/>
            <w:vAlign w:val="center"/>
          </w:tcPr>
          <w:p w14:paraId="6E82A008"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146,102.46</w:t>
            </w:r>
          </w:p>
        </w:tc>
      </w:tr>
      <w:tr w:rsidR="000A0ACD" w14:paraId="443DA64A" w14:textId="77777777">
        <w:trPr>
          <w:trHeight w:val="397"/>
          <w:jc w:val="center"/>
        </w:trPr>
        <w:tc>
          <w:tcPr>
            <w:tcW w:w="1149" w:type="pct"/>
            <w:shd w:val="clear" w:color="auto" w:fill="auto"/>
            <w:vAlign w:val="center"/>
          </w:tcPr>
          <w:p w14:paraId="1EE2D1DA" w14:textId="77777777" w:rsidR="000A0ACD" w:rsidRDefault="00362A99">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机器人（</w:t>
            </w:r>
            <w:r>
              <w:rPr>
                <w:rFonts w:ascii="Times New Roman" w:hAnsi="Times New Roman" w:cs="Times New Roman" w:hint="eastAsia"/>
                <w:sz w:val="21"/>
                <w:szCs w:val="21"/>
              </w:rPr>
              <w:t>300024.SZ</w:t>
            </w:r>
            <w:r>
              <w:rPr>
                <w:rFonts w:ascii="Times New Roman" w:hAnsi="Times New Roman" w:cs="Times New Roman" w:hint="eastAsia"/>
                <w:sz w:val="21"/>
                <w:szCs w:val="21"/>
              </w:rPr>
              <w:t>）</w:t>
            </w:r>
          </w:p>
        </w:tc>
        <w:tc>
          <w:tcPr>
            <w:tcW w:w="840" w:type="pct"/>
            <w:vAlign w:val="center"/>
          </w:tcPr>
          <w:p w14:paraId="7E994D64"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168,593.71</w:t>
            </w:r>
          </w:p>
        </w:tc>
        <w:tc>
          <w:tcPr>
            <w:tcW w:w="650" w:type="pct"/>
            <w:vAlign w:val="center"/>
          </w:tcPr>
          <w:p w14:paraId="5A3AF42E"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-9.49%</w:t>
            </w:r>
          </w:p>
        </w:tc>
        <w:tc>
          <w:tcPr>
            <w:tcW w:w="840" w:type="pct"/>
            <w:shd w:val="clear" w:color="auto" w:fill="auto"/>
            <w:vAlign w:val="center"/>
          </w:tcPr>
          <w:p w14:paraId="22B6767C"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274,548.51</w:t>
            </w:r>
          </w:p>
        </w:tc>
        <w:tc>
          <w:tcPr>
            <w:tcW w:w="676" w:type="pct"/>
            <w:vAlign w:val="center"/>
          </w:tcPr>
          <w:p w14:paraId="4CEC2A7E"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-11.29%</w:t>
            </w:r>
          </w:p>
        </w:tc>
        <w:tc>
          <w:tcPr>
            <w:tcW w:w="840" w:type="pct"/>
            <w:vAlign w:val="center"/>
          </w:tcPr>
          <w:p w14:paraId="1B270D80"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309,472.69</w:t>
            </w:r>
          </w:p>
        </w:tc>
      </w:tr>
      <w:tr w:rsidR="000A0ACD" w14:paraId="465C5981" w14:textId="77777777">
        <w:trPr>
          <w:trHeight w:val="397"/>
          <w:jc w:val="center"/>
        </w:trPr>
        <w:tc>
          <w:tcPr>
            <w:tcW w:w="1149" w:type="pct"/>
            <w:shd w:val="clear" w:color="auto" w:fill="auto"/>
            <w:vAlign w:val="center"/>
          </w:tcPr>
          <w:p w14:paraId="0C2146F8" w14:textId="77777777" w:rsidR="000A0ACD" w:rsidRDefault="00362A99">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拓斯达（</w:t>
            </w:r>
            <w:r>
              <w:rPr>
                <w:rFonts w:ascii="Times New Roman" w:hAnsi="Times New Roman" w:cs="Times New Roman" w:hint="eastAsia"/>
                <w:sz w:val="21"/>
                <w:szCs w:val="21"/>
              </w:rPr>
              <w:t>300607.SZ</w:t>
            </w:r>
            <w:r>
              <w:rPr>
                <w:rFonts w:ascii="Times New Roman" w:hAnsi="Times New Roman" w:cs="Times New Roman" w:hint="eastAsia"/>
                <w:sz w:val="21"/>
                <w:szCs w:val="21"/>
              </w:rPr>
              <w:t>）</w:t>
            </w:r>
          </w:p>
        </w:tc>
        <w:tc>
          <w:tcPr>
            <w:tcW w:w="840" w:type="pct"/>
            <w:vAlign w:val="center"/>
          </w:tcPr>
          <w:p w14:paraId="73AC42A6"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202,988.92</w:t>
            </w:r>
          </w:p>
        </w:tc>
        <w:tc>
          <w:tcPr>
            <w:tcW w:w="650" w:type="pct"/>
            <w:vAlign w:val="center"/>
          </w:tcPr>
          <w:p w14:paraId="3285E11A"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86.35%</w:t>
            </w:r>
          </w:p>
        </w:tc>
        <w:tc>
          <w:tcPr>
            <w:tcW w:w="840" w:type="pct"/>
            <w:shd w:val="clear" w:color="auto" w:fill="auto"/>
            <w:vAlign w:val="center"/>
          </w:tcPr>
          <w:p w14:paraId="55197397"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166,036.34</w:t>
            </w:r>
          </w:p>
        </w:tc>
        <w:tc>
          <w:tcPr>
            <w:tcW w:w="676" w:type="pct"/>
            <w:vAlign w:val="center"/>
          </w:tcPr>
          <w:p w14:paraId="4C745D31"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38.58%</w:t>
            </w:r>
          </w:p>
        </w:tc>
        <w:tc>
          <w:tcPr>
            <w:tcW w:w="840" w:type="pct"/>
            <w:vAlign w:val="center"/>
          </w:tcPr>
          <w:p w14:paraId="27280BE0"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119,809.81</w:t>
            </w:r>
          </w:p>
        </w:tc>
      </w:tr>
      <w:tr w:rsidR="000A0ACD" w14:paraId="2C243B38" w14:textId="77777777">
        <w:trPr>
          <w:trHeight w:val="397"/>
          <w:jc w:val="center"/>
        </w:trPr>
        <w:tc>
          <w:tcPr>
            <w:tcW w:w="1149" w:type="pct"/>
            <w:shd w:val="clear" w:color="auto" w:fill="auto"/>
            <w:vAlign w:val="center"/>
          </w:tcPr>
          <w:p w14:paraId="5FE28E7E" w14:textId="77777777" w:rsidR="000A0ACD" w:rsidRDefault="00362A99">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快克股份（</w:t>
            </w:r>
            <w:r>
              <w:rPr>
                <w:rFonts w:ascii="Times New Roman" w:hAnsi="Times New Roman" w:cs="Times New Roman" w:hint="eastAsia"/>
                <w:sz w:val="21"/>
                <w:szCs w:val="21"/>
              </w:rPr>
              <w:t>603203.SH</w:t>
            </w:r>
            <w:r>
              <w:rPr>
                <w:rFonts w:ascii="Times New Roman" w:hAnsi="Times New Roman" w:cs="Times New Roman" w:hint="eastAsia"/>
                <w:sz w:val="21"/>
                <w:szCs w:val="21"/>
              </w:rPr>
              <w:t>）</w:t>
            </w:r>
          </w:p>
        </w:tc>
        <w:tc>
          <w:tcPr>
            <w:tcW w:w="840" w:type="pct"/>
            <w:vAlign w:val="center"/>
          </w:tcPr>
          <w:p w14:paraId="11814F71"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36,607.51</w:t>
            </w:r>
          </w:p>
        </w:tc>
        <w:tc>
          <w:tcPr>
            <w:tcW w:w="650" w:type="pct"/>
            <w:vAlign w:val="center"/>
          </w:tcPr>
          <w:p w14:paraId="28D16976"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8.53%</w:t>
            </w:r>
          </w:p>
        </w:tc>
        <w:tc>
          <w:tcPr>
            <w:tcW w:w="840" w:type="pct"/>
            <w:shd w:val="clear" w:color="auto" w:fill="auto"/>
            <w:vAlign w:val="center"/>
          </w:tcPr>
          <w:p w14:paraId="04C78B51"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46,087.68</w:t>
            </w:r>
          </w:p>
        </w:tc>
        <w:tc>
          <w:tcPr>
            <w:tcW w:w="676" w:type="pct"/>
            <w:vAlign w:val="center"/>
          </w:tcPr>
          <w:p w14:paraId="763865C9"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6.58%</w:t>
            </w:r>
          </w:p>
        </w:tc>
        <w:tc>
          <w:tcPr>
            <w:tcW w:w="840" w:type="pct"/>
            <w:vAlign w:val="center"/>
          </w:tcPr>
          <w:p w14:paraId="6CA5B52C"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43,240.81</w:t>
            </w:r>
          </w:p>
        </w:tc>
      </w:tr>
      <w:tr w:rsidR="000A0ACD" w14:paraId="4A405B79" w14:textId="77777777">
        <w:trPr>
          <w:trHeight w:val="397"/>
          <w:jc w:val="center"/>
        </w:trPr>
        <w:tc>
          <w:tcPr>
            <w:tcW w:w="1149" w:type="pct"/>
            <w:shd w:val="clear" w:color="auto" w:fill="auto"/>
            <w:vAlign w:val="center"/>
          </w:tcPr>
          <w:p w14:paraId="05008BEB" w14:textId="77777777" w:rsidR="000A0ACD" w:rsidRDefault="00362A99">
            <w:pPr>
              <w:adjustRightInd w:val="0"/>
              <w:snapToGrid w:val="0"/>
              <w:jc w:val="center"/>
              <w:outlineLvl w:val="1"/>
              <w:rPr>
                <w:rFonts w:ascii="Times New Roman" w:hAnsi="Times New Roman" w:cs="Times New Roman"/>
                <w:bCs/>
                <w:sz w:val="21"/>
                <w:szCs w:val="21"/>
              </w:rPr>
            </w:pPr>
            <w:r>
              <w:rPr>
                <w:rFonts w:ascii="Times New Roman" w:hAnsi="Times New Roman" w:cs="Times New Roman" w:hint="eastAsia"/>
                <w:bCs/>
                <w:sz w:val="21"/>
                <w:szCs w:val="21"/>
              </w:rPr>
              <w:t>永创智能（</w:t>
            </w:r>
            <w:r>
              <w:rPr>
                <w:rFonts w:ascii="Times New Roman" w:hAnsi="Times New Roman" w:cs="Times New Roman" w:hint="eastAsia"/>
                <w:bCs/>
                <w:sz w:val="21"/>
                <w:szCs w:val="21"/>
              </w:rPr>
              <w:t>603901.SH</w:t>
            </w:r>
            <w:r>
              <w:rPr>
                <w:rFonts w:ascii="Times New Roman" w:hAnsi="Times New Roman" w:cs="Times New Roman" w:hint="eastAsia"/>
                <w:bCs/>
                <w:sz w:val="21"/>
                <w:szCs w:val="21"/>
              </w:rPr>
              <w:t>）</w:t>
            </w:r>
          </w:p>
        </w:tc>
        <w:tc>
          <w:tcPr>
            <w:tcW w:w="840" w:type="pct"/>
            <w:vAlign w:val="center"/>
          </w:tcPr>
          <w:p w14:paraId="01046F2C"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136,504.16</w:t>
            </w:r>
          </w:p>
        </w:tc>
        <w:tc>
          <w:tcPr>
            <w:tcW w:w="650" w:type="pct"/>
            <w:vAlign w:val="center"/>
          </w:tcPr>
          <w:p w14:paraId="22299253"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0.33%</w:t>
            </w:r>
          </w:p>
        </w:tc>
        <w:tc>
          <w:tcPr>
            <w:tcW w:w="840" w:type="pct"/>
            <w:shd w:val="clear" w:color="auto" w:fill="auto"/>
            <w:vAlign w:val="center"/>
          </w:tcPr>
          <w:p w14:paraId="2FDF3B7E"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187,116.23</w:t>
            </w:r>
          </w:p>
        </w:tc>
        <w:tc>
          <w:tcPr>
            <w:tcW w:w="676" w:type="pct"/>
            <w:vAlign w:val="center"/>
          </w:tcPr>
          <w:p w14:paraId="21FA1EBD"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13.34%</w:t>
            </w:r>
          </w:p>
        </w:tc>
        <w:tc>
          <w:tcPr>
            <w:tcW w:w="840" w:type="pct"/>
            <w:vAlign w:val="center"/>
          </w:tcPr>
          <w:p w14:paraId="1379FF35"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165,090.29</w:t>
            </w:r>
          </w:p>
        </w:tc>
      </w:tr>
      <w:tr w:rsidR="000A0ACD" w14:paraId="76482087" w14:textId="77777777">
        <w:trPr>
          <w:trHeight w:val="397"/>
          <w:jc w:val="center"/>
        </w:trPr>
        <w:tc>
          <w:tcPr>
            <w:tcW w:w="1149" w:type="pct"/>
            <w:shd w:val="clear" w:color="auto" w:fill="auto"/>
            <w:vAlign w:val="center"/>
          </w:tcPr>
          <w:p w14:paraId="22021088" w14:textId="77777777" w:rsidR="000A0ACD" w:rsidRDefault="00362A99">
            <w:pPr>
              <w:adjustRightInd w:val="0"/>
              <w:snapToGrid w:val="0"/>
              <w:jc w:val="center"/>
              <w:outlineLvl w:val="1"/>
              <w:rPr>
                <w:rFonts w:ascii="Times New Roman" w:hAnsi="Times New Roman" w:cs="Times New Roman"/>
                <w:b/>
                <w:sz w:val="21"/>
                <w:szCs w:val="21"/>
              </w:rPr>
            </w:pPr>
            <w:r>
              <w:rPr>
                <w:rFonts w:ascii="Times New Roman" w:hAnsi="Times New Roman" w:cs="Times New Roman" w:hint="eastAsia"/>
                <w:b/>
                <w:sz w:val="21"/>
                <w:szCs w:val="21"/>
              </w:rPr>
              <w:t>平均值</w:t>
            </w:r>
          </w:p>
        </w:tc>
        <w:tc>
          <w:tcPr>
            <w:tcW w:w="840" w:type="pct"/>
            <w:vAlign w:val="center"/>
          </w:tcPr>
          <w:p w14:paraId="4440EBDA" w14:textId="77777777" w:rsidR="000A0ACD" w:rsidRDefault="00362A99">
            <w:pPr>
              <w:adjustRightInd w:val="0"/>
              <w:snapToGrid w:val="0"/>
              <w:jc w:val="right"/>
              <w:rPr>
                <w:rFonts w:ascii="Times New Roman" w:eastAsia="等线" w:hAnsi="Times New Roman" w:cs="Times New Roman"/>
                <w:b/>
                <w:color w:val="000000"/>
                <w:sz w:val="21"/>
                <w:szCs w:val="21"/>
              </w:rPr>
            </w:pPr>
            <w:r>
              <w:rPr>
                <w:rFonts w:ascii="Times New Roman" w:eastAsia="等线" w:hAnsi="Times New Roman" w:cs="Times New Roman"/>
                <w:b/>
                <w:color w:val="000000"/>
                <w:sz w:val="21"/>
                <w:szCs w:val="21"/>
              </w:rPr>
              <w:t>144,203.28</w:t>
            </w:r>
          </w:p>
        </w:tc>
        <w:tc>
          <w:tcPr>
            <w:tcW w:w="650" w:type="pct"/>
            <w:vAlign w:val="center"/>
          </w:tcPr>
          <w:p w14:paraId="09A4D7C0" w14:textId="77777777" w:rsidR="000A0ACD" w:rsidRDefault="00362A99">
            <w:pPr>
              <w:adjustRightInd w:val="0"/>
              <w:snapToGrid w:val="0"/>
              <w:jc w:val="right"/>
              <w:rPr>
                <w:rFonts w:ascii="Times New Roman" w:eastAsia="等线" w:hAnsi="Times New Roman" w:cs="Times New Roman"/>
                <w:b/>
                <w:color w:val="000000"/>
                <w:sz w:val="21"/>
                <w:szCs w:val="21"/>
              </w:rPr>
            </w:pPr>
            <w:r>
              <w:rPr>
                <w:rFonts w:ascii="Times New Roman" w:eastAsia="等线" w:hAnsi="Times New Roman" w:cs="Times New Roman"/>
                <w:b/>
                <w:color w:val="000000"/>
                <w:sz w:val="21"/>
                <w:szCs w:val="21"/>
              </w:rPr>
              <w:t>28.35%</w:t>
            </w:r>
          </w:p>
        </w:tc>
        <w:tc>
          <w:tcPr>
            <w:tcW w:w="840" w:type="pct"/>
            <w:shd w:val="clear" w:color="auto" w:fill="auto"/>
            <w:vAlign w:val="center"/>
          </w:tcPr>
          <w:p w14:paraId="13F59427" w14:textId="77777777" w:rsidR="000A0ACD" w:rsidRDefault="00362A99">
            <w:pPr>
              <w:adjustRightInd w:val="0"/>
              <w:snapToGrid w:val="0"/>
              <w:jc w:val="right"/>
              <w:rPr>
                <w:rFonts w:ascii="Times New Roman" w:eastAsia="等线" w:hAnsi="Times New Roman" w:cs="Times New Roman"/>
                <w:b/>
                <w:color w:val="000000"/>
                <w:sz w:val="21"/>
                <w:szCs w:val="21"/>
              </w:rPr>
            </w:pPr>
            <w:r>
              <w:rPr>
                <w:rFonts w:ascii="Times New Roman" w:eastAsia="等线" w:hAnsi="Times New Roman" w:cs="Times New Roman"/>
                <w:b/>
                <w:color w:val="000000"/>
                <w:sz w:val="21"/>
                <w:szCs w:val="21"/>
              </w:rPr>
              <w:t>163,186.95</w:t>
            </w:r>
          </w:p>
        </w:tc>
        <w:tc>
          <w:tcPr>
            <w:tcW w:w="676" w:type="pct"/>
            <w:vAlign w:val="center"/>
          </w:tcPr>
          <w:p w14:paraId="4F4166DF" w14:textId="77777777" w:rsidR="000A0ACD" w:rsidRDefault="00362A99">
            <w:pPr>
              <w:adjustRightInd w:val="0"/>
              <w:snapToGrid w:val="0"/>
              <w:jc w:val="right"/>
              <w:rPr>
                <w:rFonts w:ascii="Times New Roman" w:eastAsia="等线" w:hAnsi="Times New Roman" w:cs="Times New Roman"/>
                <w:b/>
                <w:color w:val="000000"/>
                <w:sz w:val="21"/>
                <w:szCs w:val="21"/>
              </w:rPr>
            </w:pPr>
            <w:r>
              <w:rPr>
                <w:rFonts w:ascii="Times New Roman" w:eastAsia="等线" w:hAnsi="Times New Roman" w:cs="Times New Roman"/>
                <w:b/>
                <w:color w:val="000000"/>
                <w:sz w:val="21"/>
                <w:szCs w:val="21"/>
              </w:rPr>
              <w:t>4.11%</w:t>
            </w:r>
          </w:p>
        </w:tc>
        <w:tc>
          <w:tcPr>
            <w:tcW w:w="840" w:type="pct"/>
            <w:vAlign w:val="center"/>
          </w:tcPr>
          <w:p w14:paraId="1B145686" w14:textId="77777777" w:rsidR="000A0ACD" w:rsidRDefault="00362A99">
            <w:pPr>
              <w:adjustRightInd w:val="0"/>
              <w:snapToGrid w:val="0"/>
              <w:jc w:val="right"/>
              <w:rPr>
                <w:rFonts w:ascii="Times New Roman" w:hAnsi="Times New Roman" w:cs="Times New Roman"/>
                <w:b/>
                <w:sz w:val="21"/>
                <w:szCs w:val="21"/>
              </w:rPr>
            </w:pPr>
            <w:r>
              <w:rPr>
                <w:rFonts w:ascii="Times New Roman" w:eastAsia="等线" w:hAnsi="Times New Roman" w:cs="Times New Roman"/>
                <w:b/>
                <w:color w:val="000000"/>
                <w:sz w:val="21"/>
                <w:szCs w:val="21"/>
              </w:rPr>
              <w:t>156,743.21</w:t>
            </w:r>
          </w:p>
        </w:tc>
      </w:tr>
      <w:tr w:rsidR="000A0ACD" w14:paraId="0A195170" w14:textId="77777777">
        <w:trPr>
          <w:trHeight w:val="397"/>
          <w:jc w:val="center"/>
        </w:trPr>
        <w:tc>
          <w:tcPr>
            <w:tcW w:w="1149" w:type="pct"/>
            <w:shd w:val="clear" w:color="auto" w:fill="auto"/>
            <w:vAlign w:val="center"/>
          </w:tcPr>
          <w:p w14:paraId="4814D0AE" w14:textId="77777777" w:rsidR="000A0ACD" w:rsidRDefault="00362A99">
            <w:pPr>
              <w:adjustRightInd w:val="0"/>
              <w:snapToGrid w:val="0"/>
              <w:jc w:val="center"/>
              <w:outlineLvl w:val="1"/>
              <w:rPr>
                <w:rFonts w:ascii="Times New Roman" w:hAnsi="Times New Roman" w:cs="Times New Roman"/>
                <w:bCs/>
                <w:sz w:val="21"/>
                <w:szCs w:val="21"/>
              </w:rPr>
            </w:pPr>
            <w:r>
              <w:rPr>
                <w:rFonts w:ascii="Times New Roman" w:hAnsi="Times New Roman" w:cs="Times New Roman" w:hint="eastAsia"/>
                <w:b/>
                <w:bCs/>
                <w:sz w:val="21"/>
                <w:szCs w:val="21"/>
              </w:rPr>
              <w:t>标的公司</w:t>
            </w:r>
          </w:p>
        </w:tc>
        <w:tc>
          <w:tcPr>
            <w:tcW w:w="840" w:type="pct"/>
            <w:vAlign w:val="center"/>
          </w:tcPr>
          <w:p w14:paraId="619683F1"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年度营业收入</w:t>
            </w:r>
          </w:p>
        </w:tc>
        <w:tc>
          <w:tcPr>
            <w:tcW w:w="650" w:type="pct"/>
            <w:vAlign w:val="center"/>
          </w:tcPr>
          <w:p w14:paraId="6650A17F"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同比增长</w:t>
            </w:r>
          </w:p>
        </w:tc>
        <w:tc>
          <w:tcPr>
            <w:tcW w:w="840" w:type="pct"/>
            <w:shd w:val="clear" w:color="auto" w:fill="auto"/>
            <w:vAlign w:val="center"/>
          </w:tcPr>
          <w:p w14:paraId="3E506306" w14:textId="77777777" w:rsidR="000A0ACD" w:rsidRDefault="00362A99">
            <w:pPr>
              <w:adjustRightInd w:val="0"/>
              <w:snapToGrid w:val="0"/>
              <w:jc w:val="center"/>
              <w:rPr>
                <w:rFonts w:ascii="Times New Roman" w:eastAsia="等线" w:hAnsi="Times New Roman" w:cs="Times New Roman"/>
                <w:color w:val="000000"/>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年度营业收入</w:t>
            </w:r>
          </w:p>
        </w:tc>
        <w:tc>
          <w:tcPr>
            <w:tcW w:w="676" w:type="pct"/>
            <w:vAlign w:val="center"/>
          </w:tcPr>
          <w:p w14:paraId="2CF3A783" w14:textId="77777777" w:rsidR="000A0ACD" w:rsidRDefault="00362A99">
            <w:pPr>
              <w:adjustRightInd w:val="0"/>
              <w:snapToGrid w:val="0"/>
              <w:jc w:val="center"/>
              <w:rPr>
                <w:rFonts w:ascii="Times New Roman" w:eastAsia="等线" w:hAnsi="Times New Roman" w:cs="Times New Roman"/>
                <w:color w:val="000000"/>
                <w:sz w:val="21"/>
                <w:szCs w:val="21"/>
              </w:rPr>
            </w:pPr>
            <w:r>
              <w:rPr>
                <w:rFonts w:ascii="Times New Roman" w:hAnsi="Times New Roman" w:cs="Times New Roman" w:hint="eastAsia"/>
                <w:b/>
                <w:bCs/>
                <w:sz w:val="21"/>
                <w:szCs w:val="21"/>
              </w:rPr>
              <w:t>同比增长</w:t>
            </w:r>
          </w:p>
        </w:tc>
        <w:tc>
          <w:tcPr>
            <w:tcW w:w="840" w:type="pct"/>
            <w:vAlign w:val="center"/>
          </w:tcPr>
          <w:p w14:paraId="1A6E0743" w14:textId="77777777" w:rsidR="000A0ACD" w:rsidRDefault="00362A99">
            <w:pPr>
              <w:adjustRightInd w:val="0"/>
              <w:snapToGrid w:val="0"/>
              <w:jc w:val="center"/>
              <w:rPr>
                <w:rFonts w:ascii="Times New Roman" w:hAnsi="Times New Roman" w:cs="Times New Roman"/>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年度营业收入</w:t>
            </w:r>
          </w:p>
        </w:tc>
      </w:tr>
      <w:tr w:rsidR="000A0ACD" w14:paraId="150653B6" w14:textId="77777777">
        <w:trPr>
          <w:trHeight w:val="397"/>
          <w:jc w:val="center"/>
        </w:trPr>
        <w:tc>
          <w:tcPr>
            <w:tcW w:w="1149" w:type="pct"/>
            <w:shd w:val="clear" w:color="auto" w:fill="auto"/>
            <w:vAlign w:val="center"/>
          </w:tcPr>
          <w:p w14:paraId="0855DCBB" w14:textId="77777777" w:rsidR="000A0ACD" w:rsidRDefault="00362A99">
            <w:pPr>
              <w:adjustRightInd w:val="0"/>
              <w:snapToGrid w:val="0"/>
              <w:jc w:val="center"/>
              <w:outlineLvl w:val="1"/>
              <w:rPr>
                <w:rFonts w:ascii="Times New Roman" w:hAnsi="Times New Roman" w:cs="Times New Roman"/>
                <w:bCs/>
                <w:sz w:val="21"/>
                <w:szCs w:val="21"/>
              </w:rPr>
            </w:pPr>
            <w:r>
              <w:rPr>
                <w:rFonts w:ascii="Times New Roman" w:hAnsi="Times New Roman" w:cs="Times New Roman" w:hint="eastAsia"/>
                <w:bCs/>
                <w:sz w:val="21"/>
                <w:szCs w:val="21"/>
              </w:rPr>
              <w:t>北洋天青</w:t>
            </w:r>
          </w:p>
        </w:tc>
        <w:tc>
          <w:tcPr>
            <w:tcW w:w="840" w:type="pct"/>
            <w:vAlign w:val="center"/>
          </w:tcPr>
          <w:p w14:paraId="61019765"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hAnsi="Times New Roman" w:cs="Times New Roman"/>
                <w:sz w:val="21"/>
                <w:szCs w:val="21"/>
              </w:rPr>
              <w:t>15,056.17</w:t>
            </w:r>
          </w:p>
        </w:tc>
        <w:tc>
          <w:tcPr>
            <w:tcW w:w="650" w:type="pct"/>
            <w:vAlign w:val="center"/>
          </w:tcPr>
          <w:p w14:paraId="1519F701"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hAnsi="Times New Roman" w:cs="Times New Roman"/>
                <w:sz w:val="21"/>
                <w:szCs w:val="21"/>
              </w:rPr>
              <w:t>45.81%</w:t>
            </w:r>
          </w:p>
        </w:tc>
        <w:tc>
          <w:tcPr>
            <w:tcW w:w="840" w:type="pct"/>
            <w:shd w:val="clear" w:color="auto" w:fill="auto"/>
            <w:vAlign w:val="center"/>
          </w:tcPr>
          <w:p w14:paraId="202597C3"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10,326.14</w:t>
            </w:r>
          </w:p>
        </w:tc>
        <w:tc>
          <w:tcPr>
            <w:tcW w:w="676" w:type="pct"/>
            <w:vAlign w:val="center"/>
          </w:tcPr>
          <w:p w14:paraId="5D3BE8BB" w14:textId="77777777" w:rsidR="000A0ACD" w:rsidRDefault="00362A99">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69.11%</w:t>
            </w:r>
          </w:p>
        </w:tc>
        <w:tc>
          <w:tcPr>
            <w:tcW w:w="840" w:type="pct"/>
            <w:vAlign w:val="center"/>
          </w:tcPr>
          <w:p w14:paraId="5E5C466B" w14:textId="77777777" w:rsidR="000A0ACD" w:rsidRDefault="00362A99">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6,106.09</w:t>
            </w:r>
          </w:p>
        </w:tc>
      </w:tr>
    </w:tbl>
    <w:p w14:paraId="2EC6229E" w14:textId="77777777" w:rsidR="000A0ACD" w:rsidRDefault="00362A99">
      <w:pPr>
        <w:jc w:val="both"/>
        <w:rPr>
          <w:rFonts w:ascii="Times New Roman" w:hAnsi="Times New Roman" w:cs="Times New Roman"/>
          <w:bCs/>
          <w:sz w:val="21"/>
          <w:szCs w:val="18"/>
        </w:rPr>
      </w:pPr>
      <w:r>
        <w:rPr>
          <w:rFonts w:ascii="Times New Roman" w:hAnsi="Times New Roman" w:cs="Times New Roman" w:hint="eastAsia"/>
          <w:bCs/>
          <w:sz w:val="21"/>
          <w:szCs w:val="18"/>
        </w:rPr>
        <w:t>注：</w:t>
      </w:r>
      <w:r>
        <w:rPr>
          <w:rFonts w:ascii="Times New Roman" w:hAnsi="Times New Roman" w:cs="Times New Roman" w:hint="eastAsia"/>
          <w:bCs/>
          <w:sz w:val="21"/>
          <w:szCs w:val="18"/>
        </w:rPr>
        <w:t>1</w:t>
      </w:r>
      <w:r>
        <w:rPr>
          <w:rFonts w:ascii="Times New Roman" w:hAnsi="Times New Roman" w:cs="Times New Roman" w:hint="eastAsia"/>
          <w:bCs/>
          <w:sz w:val="21"/>
          <w:szCs w:val="18"/>
        </w:rPr>
        <w:t>、</w:t>
      </w: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022AD567" w14:textId="77777777" w:rsidR="000A0ACD" w:rsidRDefault="00362A99">
      <w:pPr>
        <w:ind w:firstLineChars="200" w:firstLine="420"/>
        <w:jc w:val="both"/>
        <w:rPr>
          <w:rFonts w:ascii="Times New Roman" w:hAnsi="Times New Roman" w:cs="Times New Roman"/>
          <w:bCs/>
          <w:sz w:val="21"/>
          <w:szCs w:val="18"/>
        </w:rPr>
      </w:pPr>
      <w:r>
        <w:rPr>
          <w:rFonts w:ascii="Times New Roman" w:hAnsi="Times New Roman" w:cs="Times New Roman" w:hint="eastAsia"/>
          <w:bCs/>
          <w:sz w:val="21"/>
          <w:szCs w:val="18"/>
        </w:rPr>
        <w:t>2</w:t>
      </w:r>
      <w:r>
        <w:rPr>
          <w:rFonts w:ascii="Times New Roman" w:hAnsi="Times New Roman" w:cs="Times New Roman" w:hint="eastAsia"/>
          <w:bCs/>
          <w:sz w:val="21"/>
          <w:szCs w:val="18"/>
        </w:rPr>
        <w:t>、由于可比上市公司未公布年度数据，故采用</w:t>
      </w:r>
      <w:r>
        <w:rPr>
          <w:rFonts w:ascii="Times New Roman" w:hAnsi="Times New Roman" w:cs="Times New Roman" w:hint="eastAsia"/>
          <w:bCs/>
          <w:sz w:val="21"/>
          <w:szCs w:val="18"/>
        </w:rPr>
        <w:t>2020</w:t>
      </w:r>
      <w:r>
        <w:rPr>
          <w:rFonts w:ascii="Times New Roman" w:hAnsi="Times New Roman" w:cs="Times New Roman" w:hint="eastAsia"/>
          <w:bCs/>
          <w:sz w:val="21"/>
          <w:szCs w:val="18"/>
        </w:rPr>
        <w:t>年</w:t>
      </w:r>
      <w:r>
        <w:rPr>
          <w:rFonts w:ascii="Times New Roman" w:hAnsi="Times New Roman" w:cs="Times New Roman" w:hint="eastAsia"/>
          <w:bCs/>
          <w:sz w:val="21"/>
          <w:szCs w:val="18"/>
        </w:rPr>
        <w:t>1-9</w:t>
      </w:r>
      <w:r>
        <w:rPr>
          <w:rFonts w:ascii="Times New Roman" w:hAnsi="Times New Roman" w:cs="Times New Roman" w:hint="eastAsia"/>
          <w:bCs/>
          <w:sz w:val="21"/>
          <w:szCs w:val="18"/>
        </w:rPr>
        <w:t>月营业收入增长情况进行分析。</w:t>
      </w:r>
    </w:p>
    <w:p w14:paraId="40498744" w14:textId="77777777" w:rsidR="000A0ACD" w:rsidRDefault="00362A99">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color w:val="000000"/>
          <w:lang w:bidi="ar"/>
        </w:rPr>
        <w:t>2019</w:t>
      </w:r>
      <w:r>
        <w:rPr>
          <w:rFonts w:ascii="Times New Roman" w:hAnsi="Times New Roman" w:cs="Times New Roman" w:hint="eastAsia"/>
          <w:color w:val="000000"/>
          <w:lang w:bidi="ar"/>
        </w:rPr>
        <w:t>年度，同行业可比上市公司的营业收入平均值相较于</w:t>
      </w:r>
      <w:r>
        <w:rPr>
          <w:rFonts w:ascii="Times New Roman" w:hAnsi="Times New Roman" w:cs="Times New Roman"/>
          <w:color w:val="000000"/>
          <w:lang w:bidi="ar"/>
        </w:rPr>
        <w:t>2018</w:t>
      </w:r>
      <w:r>
        <w:rPr>
          <w:rFonts w:ascii="Times New Roman" w:hAnsi="Times New Roman" w:cs="Times New Roman" w:hint="eastAsia"/>
          <w:color w:val="000000"/>
          <w:lang w:bidi="ar"/>
        </w:rPr>
        <w:t>年增长了</w:t>
      </w:r>
      <w:r>
        <w:rPr>
          <w:rFonts w:ascii="Times New Roman" w:hAnsi="Times New Roman" w:cs="Times New Roman"/>
          <w:color w:val="000000"/>
          <w:lang w:bidi="ar"/>
        </w:rPr>
        <w:t>4.11%</w:t>
      </w:r>
      <w:r>
        <w:rPr>
          <w:rFonts w:ascii="Times New Roman" w:hAnsi="Times New Roman" w:cs="Times New Roman" w:hint="eastAsia"/>
          <w:color w:val="000000"/>
          <w:lang w:bidi="ar"/>
        </w:rPr>
        <w:t>，北洋天青的营业收入相较于</w:t>
      </w:r>
      <w:r>
        <w:rPr>
          <w:rFonts w:ascii="Times New Roman" w:hAnsi="Times New Roman" w:cs="Times New Roman"/>
          <w:color w:val="000000"/>
          <w:lang w:bidi="ar"/>
        </w:rPr>
        <w:t>2018</w:t>
      </w:r>
      <w:r>
        <w:rPr>
          <w:rFonts w:ascii="Times New Roman" w:hAnsi="Times New Roman" w:cs="Times New Roman" w:hint="eastAsia"/>
          <w:color w:val="000000"/>
          <w:lang w:bidi="ar"/>
        </w:rPr>
        <w:t>年增长了</w:t>
      </w:r>
      <w:r>
        <w:rPr>
          <w:rFonts w:ascii="Times New Roman" w:hAnsi="Times New Roman" w:cs="Times New Roman"/>
          <w:color w:val="000000"/>
          <w:lang w:bidi="ar"/>
        </w:rPr>
        <w:t>69.11%</w:t>
      </w:r>
      <w:r>
        <w:rPr>
          <w:rFonts w:ascii="Times New Roman" w:hAnsi="Times New Roman" w:cs="Times New Roman" w:hint="eastAsia"/>
          <w:color w:val="000000"/>
          <w:lang w:bidi="ar"/>
        </w:rPr>
        <w:t>，</w:t>
      </w:r>
      <w:r>
        <w:rPr>
          <w:rFonts w:ascii="Times New Roman" w:hAnsi="Times New Roman" w:cs="Times New Roman"/>
          <w:color w:val="000000"/>
          <w:lang w:bidi="ar"/>
        </w:rPr>
        <w:t>2020</w:t>
      </w:r>
      <w:r>
        <w:rPr>
          <w:rFonts w:ascii="Times New Roman" w:hAnsi="Times New Roman" w:cs="Times New Roman" w:hint="eastAsia"/>
          <w:color w:val="000000"/>
          <w:lang w:bidi="ar"/>
        </w:rPr>
        <w:t>年度</w:t>
      </w:r>
      <w:r>
        <w:rPr>
          <w:rFonts w:ascii="Times New Roman" w:hAnsi="Times New Roman" w:cs="Times New Roman"/>
          <w:color w:val="000000"/>
          <w:lang w:bidi="ar"/>
        </w:rPr>
        <w:t>1-9</w:t>
      </w:r>
      <w:r>
        <w:rPr>
          <w:rFonts w:ascii="Times New Roman" w:hAnsi="Times New Roman" w:cs="Times New Roman" w:hint="eastAsia"/>
          <w:color w:val="000000"/>
          <w:lang w:bidi="ar"/>
        </w:rPr>
        <w:t>月，同行业可比上市公司的营业收入平均值相较于</w:t>
      </w:r>
      <w:r>
        <w:rPr>
          <w:rFonts w:ascii="Times New Roman" w:hAnsi="Times New Roman" w:cs="Times New Roman"/>
          <w:color w:val="000000"/>
          <w:lang w:bidi="ar"/>
        </w:rPr>
        <w:t>2019</w:t>
      </w:r>
      <w:r>
        <w:rPr>
          <w:rFonts w:ascii="Times New Roman" w:hAnsi="Times New Roman" w:cs="Times New Roman" w:hint="eastAsia"/>
          <w:color w:val="000000"/>
          <w:lang w:bidi="ar"/>
        </w:rPr>
        <w:t>年</w:t>
      </w:r>
      <w:r>
        <w:rPr>
          <w:rFonts w:ascii="Times New Roman" w:hAnsi="Times New Roman" w:cs="Times New Roman"/>
          <w:color w:val="000000"/>
          <w:lang w:bidi="ar"/>
        </w:rPr>
        <w:t>1-9</w:t>
      </w:r>
      <w:r>
        <w:rPr>
          <w:rFonts w:ascii="Times New Roman" w:hAnsi="Times New Roman" w:cs="Times New Roman" w:hint="eastAsia"/>
          <w:color w:val="000000"/>
          <w:lang w:bidi="ar"/>
        </w:rPr>
        <w:t>月增长了</w:t>
      </w:r>
      <w:r>
        <w:rPr>
          <w:rFonts w:ascii="Times New Roman" w:hAnsi="Times New Roman" w:cs="Times New Roman"/>
          <w:color w:val="000000"/>
          <w:lang w:bidi="ar"/>
        </w:rPr>
        <w:t>28.35%</w:t>
      </w:r>
      <w:r>
        <w:rPr>
          <w:rFonts w:ascii="Times New Roman" w:hAnsi="Times New Roman" w:cs="Times New Roman" w:hint="eastAsia"/>
          <w:color w:val="000000"/>
          <w:lang w:bidi="ar"/>
        </w:rPr>
        <w:t>，北洋天青</w:t>
      </w:r>
      <w:r>
        <w:rPr>
          <w:rFonts w:ascii="Times New Roman" w:hAnsi="Times New Roman" w:cs="Times New Roman"/>
          <w:color w:val="000000"/>
          <w:lang w:bidi="ar"/>
        </w:rPr>
        <w:t>2020</w:t>
      </w:r>
      <w:r>
        <w:rPr>
          <w:rFonts w:ascii="Times New Roman" w:hAnsi="Times New Roman" w:cs="Times New Roman" w:hint="eastAsia"/>
          <w:color w:val="000000"/>
          <w:lang w:bidi="ar"/>
        </w:rPr>
        <w:t>年度的营业收入相较于</w:t>
      </w:r>
      <w:r>
        <w:rPr>
          <w:rFonts w:ascii="Times New Roman" w:hAnsi="Times New Roman" w:cs="Times New Roman"/>
          <w:color w:val="000000"/>
          <w:lang w:bidi="ar"/>
        </w:rPr>
        <w:t>2019</w:t>
      </w:r>
      <w:r>
        <w:rPr>
          <w:rFonts w:ascii="Times New Roman" w:hAnsi="Times New Roman" w:cs="Times New Roman" w:hint="eastAsia"/>
          <w:color w:val="000000"/>
          <w:lang w:bidi="ar"/>
        </w:rPr>
        <w:t>年度增长了</w:t>
      </w:r>
      <w:r>
        <w:rPr>
          <w:rFonts w:ascii="Times New Roman" w:hAnsi="Times New Roman" w:cs="Times New Roman"/>
          <w:color w:val="000000"/>
          <w:lang w:bidi="ar"/>
        </w:rPr>
        <w:t>45.81%</w:t>
      </w:r>
      <w:r>
        <w:rPr>
          <w:rFonts w:ascii="Times New Roman" w:hAnsi="Times New Roman" w:cs="Times New Roman" w:hint="eastAsia"/>
          <w:color w:val="000000"/>
          <w:lang w:bidi="ar"/>
        </w:rPr>
        <w:t>，主要系标的公司仍处于快速增长期，经营规模迅速扩大所致。报告期内，北洋天青与同行业上市公司的营业收入变动趋势保持一致。</w:t>
      </w:r>
    </w:p>
    <w:p w14:paraId="5FD7140B"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二、市场容量变化情况</w:t>
      </w:r>
    </w:p>
    <w:p w14:paraId="5928E0C2"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工业机械行业在历经了发展低潮后，自</w:t>
      </w:r>
      <w:r>
        <w:rPr>
          <w:rFonts w:ascii="Times New Roman" w:hAnsi="Times New Roman" w:cs="Times New Roman" w:hint="eastAsia"/>
          <w:bCs/>
        </w:rPr>
        <w:t>2016</w:t>
      </w:r>
      <w:r>
        <w:rPr>
          <w:rFonts w:ascii="Times New Roman" w:hAnsi="Times New Roman" w:cs="Times New Roman" w:hint="eastAsia"/>
          <w:bCs/>
        </w:rPr>
        <w:t>年起开始恢复增长，全行业坚持高质量发展的工作要求，深入开展供给侧结构性改革，积极投身“一带一路”建设，取得了较好成绩，技术创新和盈利能力大幅度提升，市场销售继续保持快速增长，经中国工程机械工业协会统计，在扣除不可比因素、重复数据和非工程机械产业营业收入之后，</w:t>
      </w:r>
      <w:r>
        <w:rPr>
          <w:rFonts w:ascii="Times New Roman" w:hAnsi="Times New Roman" w:cs="Times New Roman" w:hint="eastAsia"/>
          <w:bCs/>
        </w:rPr>
        <w:t>2019</w:t>
      </w:r>
      <w:r>
        <w:rPr>
          <w:rFonts w:ascii="Times New Roman" w:hAnsi="Times New Roman" w:cs="Times New Roman" w:hint="eastAsia"/>
          <w:bCs/>
        </w:rPr>
        <w:t>年全行业实现营业收入</w:t>
      </w:r>
      <w:r>
        <w:rPr>
          <w:rFonts w:ascii="Times New Roman" w:hAnsi="Times New Roman" w:cs="Times New Roman" w:hint="eastAsia"/>
          <w:bCs/>
        </w:rPr>
        <w:t>6,681</w:t>
      </w:r>
      <w:r>
        <w:rPr>
          <w:rFonts w:ascii="Times New Roman" w:hAnsi="Times New Roman" w:cs="Times New Roman" w:hint="eastAsia"/>
          <w:bCs/>
        </w:rPr>
        <w:t>亿元，比</w:t>
      </w:r>
      <w:r>
        <w:rPr>
          <w:rFonts w:ascii="Times New Roman" w:hAnsi="Times New Roman" w:cs="Times New Roman" w:hint="eastAsia"/>
          <w:bCs/>
        </w:rPr>
        <w:t>2018</w:t>
      </w:r>
      <w:r>
        <w:rPr>
          <w:rFonts w:ascii="Times New Roman" w:hAnsi="Times New Roman" w:cs="Times New Roman" w:hint="eastAsia"/>
          <w:bCs/>
        </w:rPr>
        <w:t>年增长</w:t>
      </w:r>
      <w:r>
        <w:rPr>
          <w:rFonts w:ascii="Times New Roman" w:hAnsi="Times New Roman" w:cs="Times New Roman" w:hint="eastAsia"/>
          <w:bCs/>
        </w:rPr>
        <w:t>12%</w:t>
      </w:r>
      <w:r>
        <w:rPr>
          <w:rFonts w:ascii="Times New Roman" w:hAnsi="Times New Roman" w:cs="Times New Roman" w:hint="eastAsia"/>
          <w:bCs/>
        </w:rPr>
        <w:t>。因此，市场容量的变化情况与标的公司同行业上市公司的营业收入变化趋势保持一致。</w:t>
      </w:r>
    </w:p>
    <w:p w14:paraId="1043487F"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三、北洋天青营业收入波动的原因</w:t>
      </w:r>
    </w:p>
    <w:p w14:paraId="0040F7B3"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首先，近年来家电行业出货量持续上涨。其中海尔、澳柯玛家电板块保持增长，并不断拓展海外市场。随着海尔、澳柯玛相关家电板块近年来持续增长，相应生产线智能化建设、升级和改造需求较为强烈。其次，经过多年的合作，通过北洋天青自身迅速的客户需求反应能力及高水平的综合集成能力，与客户建立了较高的默契度，获得了良好的口碑。由于订单的不断增加，北洋天青</w:t>
      </w:r>
      <w:r>
        <w:rPr>
          <w:rFonts w:ascii="Times New Roman" w:hAnsi="Times New Roman" w:cs="Times New Roman" w:hint="eastAsia"/>
          <w:bCs/>
        </w:rPr>
        <w:t>2019</w:t>
      </w:r>
      <w:r>
        <w:rPr>
          <w:rFonts w:ascii="Times New Roman" w:hAnsi="Times New Roman" w:cs="Times New Roman" w:hint="eastAsia"/>
          <w:bCs/>
        </w:rPr>
        <w:t>年度的营业收入较</w:t>
      </w:r>
      <w:r>
        <w:rPr>
          <w:rFonts w:ascii="Times New Roman" w:hAnsi="Times New Roman" w:cs="Times New Roman" w:hint="eastAsia"/>
          <w:bCs/>
        </w:rPr>
        <w:t>2018</w:t>
      </w:r>
      <w:r>
        <w:rPr>
          <w:rFonts w:ascii="Times New Roman" w:hAnsi="Times New Roman" w:cs="Times New Roman" w:hint="eastAsia"/>
          <w:bCs/>
        </w:rPr>
        <w:t>年增长了</w:t>
      </w:r>
      <w:r>
        <w:rPr>
          <w:rFonts w:ascii="Times New Roman" w:hAnsi="Times New Roman" w:cs="Times New Roman" w:hint="eastAsia"/>
          <w:bCs/>
        </w:rPr>
        <w:t>69.11%</w:t>
      </w:r>
      <w:r>
        <w:rPr>
          <w:rFonts w:ascii="Times New Roman" w:hAnsi="Times New Roman" w:cs="Times New Roman" w:hint="eastAsia"/>
          <w:bCs/>
        </w:rPr>
        <w:t>。</w:t>
      </w:r>
    </w:p>
    <w:p w14:paraId="576B2D0C" w14:textId="77777777" w:rsidR="000A0ACD" w:rsidRDefault="00362A99">
      <w:pPr>
        <w:suppressAutoHyphens/>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020</w:t>
      </w:r>
      <w:r>
        <w:rPr>
          <w:rFonts w:ascii="Times New Roman" w:hAnsi="Times New Roman" w:cs="Times New Roman" w:hint="eastAsia"/>
          <w:bCs/>
        </w:rPr>
        <w:t>年，由于受到疫情影响，北洋天青部分项目的合同签订时间推迟、工期延后或无法按期完工，其收入确认受到一定影响。由于北洋天青具有出色的智能工厂设计能力，获得了客户的高度认可，其于</w:t>
      </w:r>
      <w:r>
        <w:rPr>
          <w:rFonts w:ascii="Times New Roman" w:hAnsi="Times New Roman" w:cs="Times New Roman" w:hint="eastAsia"/>
          <w:bCs/>
        </w:rPr>
        <w:t>2</w:t>
      </w:r>
      <w:r>
        <w:rPr>
          <w:rFonts w:ascii="Times New Roman" w:hAnsi="Times New Roman" w:cs="Times New Roman"/>
          <w:bCs/>
        </w:rPr>
        <w:t>020</w:t>
      </w:r>
      <w:r>
        <w:rPr>
          <w:rFonts w:ascii="Times New Roman" w:hAnsi="Times New Roman" w:cs="Times New Roman" w:hint="eastAsia"/>
          <w:bCs/>
        </w:rPr>
        <w:t>年</w:t>
      </w:r>
      <w:r>
        <w:rPr>
          <w:rFonts w:ascii="Times New Roman" w:hAnsi="Times New Roman" w:cs="Times New Roman" w:hint="eastAsia"/>
          <w:bCs/>
        </w:rPr>
        <w:t>8</w:t>
      </w:r>
      <w:r>
        <w:rPr>
          <w:rFonts w:ascii="Times New Roman" w:hAnsi="Times New Roman" w:cs="Times New Roman" w:hint="eastAsia"/>
          <w:bCs/>
        </w:rPr>
        <w:t>月与澳柯玛股份有限公司签订了</w:t>
      </w:r>
      <w:r>
        <w:rPr>
          <w:rFonts w:ascii="Times New Roman" w:hAnsi="Times New Roman" w:cs="Times New Roman"/>
          <w:bCs/>
        </w:rPr>
        <w:t>《工业互联网平台、信息化系统及自动化物流线等设备采购合同》</w:t>
      </w:r>
      <w:r>
        <w:rPr>
          <w:rFonts w:ascii="Times New Roman" w:hAnsi="Times New Roman" w:cs="Times New Roman" w:hint="eastAsia"/>
          <w:bCs/>
        </w:rPr>
        <w:t>及其补充协议，并于</w:t>
      </w:r>
      <w:r>
        <w:rPr>
          <w:rFonts w:ascii="Times New Roman" w:hAnsi="Times New Roman" w:cs="Times New Roman" w:hint="eastAsia"/>
          <w:bCs/>
        </w:rPr>
        <w:t>2</w:t>
      </w:r>
      <w:r>
        <w:rPr>
          <w:rFonts w:ascii="Times New Roman" w:hAnsi="Times New Roman" w:cs="Times New Roman"/>
          <w:bCs/>
        </w:rPr>
        <w:t>020</w:t>
      </w:r>
      <w:r>
        <w:rPr>
          <w:rFonts w:ascii="Times New Roman" w:hAnsi="Times New Roman" w:cs="Times New Roman" w:hint="eastAsia"/>
          <w:bCs/>
        </w:rPr>
        <w:t>年</w:t>
      </w:r>
      <w:r>
        <w:rPr>
          <w:rFonts w:ascii="Times New Roman" w:hAnsi="Times New Roman" w:cs="Times New Roman" w:hint="eastAsia"/>
          <w:bCs/>
        </w:rPr>
        <w:t>1</w:t>
      </w:r>
      <w:r>
        <w:rPr>
          <w:rFonts w:ascii="Times New Roman" w:hAnsi="Times New Roman" w:cs="Times New Roman"/>
          <w:bCs/>
        </w:rPr>
        <w:t>2</w:t>
      </w:r>
      <w:r>
        <w:rPr>
          <w:rFonts w:ascii="Times New Roman" w:hAnsi="Times New Roman" w:cs="Times New Roman" w:hint="eastAsia"/>
          <w:bCs/>
        </w:rPr>
        <w:t>月就工业互联网平台、</w:t>
      </w:r>
      <w:r>
        <w:rPr>
          <w:rFonts w:ascii="Times New Roman" w:hAnsi="Times New Roman" w:cs="Times New Roman"/>
          <w:bCs/>
        </w:rPr>
        <w:t>MES</w:t>
      </w:r>
      <w:r>
        <w:rPr>
          <w:rFonts w:ascii="Times New Roman" w:hAnsi="Times New Roman" w:cs="Times New Roman"/>
          <w:bCs/>
        </w:rPr>
        <w:t>系统、</w:t>
      </w:r>
      <w:r>
        <w:rPr>
          <w:rFonts w:ascii="Times New Roman" w:hAnsi="Times New Roman" w:cs="Times New Roman"/>
          <w:bCs/>
        </w:rPr>
        <w:t>SCADA</w:t>
      </w:r>
      <w:r>
        <w:rPr>
          <w:rFonts w:ascii="Times New Roman" w:hAnsi="Times New Roman" w:cs="Times New Roman"/>
          <w:bCs/>
        </w:rPr>
        <w:t>系统、</w:t>
      </w:r>
      <w:r>
        <w:rPr>
          <w:rFonts w:ascii="Times New Roman" w:hAnsi="Times New Roman" w:cs="Times New Roman"/>
          <w:bCs/>
        </w:rPr>
        <w:t>PLM</w:t>
      </w:r>
      <w:r>
        <w:rPr>
          <w:rFonts w:ascii="Times New Roman" w:hAnsi="Times New Roman" w:cs="Times New Roman"/>
          <w:bCs/>
        </w:rPr>
        <w:t>及仿真系统及信息化硬件等企业信息化领域的定制化集成项目完成验收并确认收入</w:t>
      </w:r>
      <w:r>
        <w:rPr>
          <w:rFonts w:ascii="Times New Roman" w:hAnsi="Times New Roman" w:cs="Times New Roman" w:hint="eastAsia"/>
          <w:bCs/>
        </w:rPr>
        <w:t>，保持了其营业收入较好的增长趋势。</w:t>
      </w:r>
      <w:r>
        <w:rPr>
          <w:rFonts w:ascii="Times New Roman" w:hAnsi="Times New Roman" w:cs="Times New Roman"/>
          <w:bCs/>
        </w:rPr>
        <w:t>2020</w:t>
      </w:r>
      <w:r>
        <w:rPr>
          <w:rFonts w:ascii="Times New Roman" w:hAnsi="Times New Roman" w:cs="Times New Roman"/>
          <w:bCs/>
        </w:rPr>
        <w:t>年</w:t>
      </w:r>
      <w:r>
        <w:rPr>
          <w:rFonts w:ascii="Times New Roman" w:hAnsi="Times New Roman" w:cs="Times New Roman" w:hint="eastAsia"/>
          <w:bCs/>
        </w:rPr>
        <w:t>，北洋天青</w:t>
      </w:r>
      <w:r>
        <w:rPr>
          <w:rFonts w:ascii="Times New Roman" w:hAnsi="Times New Roman" w:cs="Times New Roman"/>
          <w:bCs/>
        </w:rPr>
        <w:t>营业收入</w:t>
      </w:r>
      <w:r>
        <w:rPr>
          <w:rFonts w:ascii="Times New Roman" w:hAnsi="Times New Roman" w:cs="Times New Roman" w:hint="eastAsia"/>
          <w:bCs/>
        </w:rPr>
        <w:t>为</w:t>
      </w:r>
      <w:r>
        <w:rPr>
          <w:rFonts w:ascii="Times New Roman" w:hAnsi="Times New Roman" w:cs="Times New Roman"/>
          <w:bCs/>
        </w:rPr>
        <w:t>15,056.17</w:t>
      </w:r>
      <w:r>
        <w:rPr>
          <w:rFonts w:ascii="Times New Roman" w:hAnsi="Times New Roman" w:cs="Times New Roman"/>
          <w:bCs/>
        </w:rPr>
        <w:t>万元</w:t>
      </w:r>
      <w:r>
        <w:rPr>
          <w:rFonts w:ascii="Times New Roman" w:hAnsi="Times New Roman" w:cs="Times New Roman" w:hint="eastAsia"/>
          <w:bCs/>
        </w:rPr>
        <w:t>，</w:t>
      </w:r>
      <w:r>
        <w:rPr>
          <w:rFonts w:ascii="Times New Roman" w:hAnsi="Times New Roman" w:cs="Times New Roman"/>
          <w:bCs/>
        </w:rPr>
        <w:t>较</w:t>
      </w:r>
      <w:r>
        <w:rPr>
          <w:rFonts w:ascii="Times New Roman" w:hAnsi="Times New Roman" w:cs="Times New Roman"/>
          <w:bCs/>
        </w:rPr>
        <w:t>2019</w:t>
      </w:r>
      <w:r>
        <w:rPr>
          <w:rFonts w:ascii="Times New Roman" w:hAnsi="Times New Roman" w:cs="Times New Roman"/>
          <w:bCs/>
        </w:rPr>
        <w:t>年增加</w:t>
      </w:r>
      <w:r>
        <w:rPr>
          <w:rFonts w:ascii="Times New Roman" w:hAnsi="Times New Roman" w:cs="Times New Roman" w:hint="eastAsia"/>
          <w:bCs/>
        </w:rPr>
        <w:t>了</w:t>
      </w:r>
      <w:r>
        <w:rPr>
          <w:rFonts w:ascii="Times New Roman" w:hAnsi="Times New Roman" w:cs="Times New Roman" w:hint="eastAsia"/>
          <w:bCs/>
        </w:rPr>
        <w:t>4</w:t>
      </w:r>
      <w:r>
        <w:rPr>
          <w:rFonts w:ascii="Times New Roman" w:hAnsi="Times New Roman" w:cs="Times New Roman"/>
          <w:bCs/>
        </w:rPr>
        <w:t>,730.03</w:t>
      </w:r>
      <w:r>
        <w:rPr>
          <w:rFonts w:ascii="Times New Roman" w:hAnsi="Times New Roman" w:cs="Times New Roman"/>
          <w:bCs/>
        </w:rPr>
        <w:t>万元，同比增长</w:t>
      </w:r>
      <w:r>
        <w:rPr>
          <w:rFonts w:ascii="Times New Roman" w:hAnsi="Times New Roman" w:cs="Times New Roman" w:hint="eastAsia"/>
          <w:bCs/>
        </w:rPr>
        <w:t>了</w:t>
      </w:r>
      <w:r>
        <w:rPr>
          <w:rFonts w:ascii="Times New Roman" w:hAnsi="Times New Roman" w:cs="Times New Roman"/>
          <w:bCs/>
        </w:rPr>
        <w:t>45.81%</w:t>
      </w:r>
      <w:r>
        <w:rPr>
          <w:rFonts w:ascii="Times New Roman" w:hAnsi="Times New Roman" w:cs="Times New Roman" w:hint="eastAsia"/>
          <w:bCs/>
        </w:rPr>
        <w:t>。</w:t>
      </w:r>
    </w:p>
    <w:p w14:paraId="45AC06D8"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四、补充披露情况</w:t>
      </w:r>
    </w:p>
    <w:p w14:paraId="738F5A64"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上市公司已在《重组报告书》“第九节</w:t>
      </w:r>
      <w:r>
        <w:rPr>
          <w:rFonts w:ascii="Times New Roman" w:hAnsi="Times New Roman" w:cs="Times New Roman"/>
          <w:bCs/>
        </w:rPr>
        <w:t xml:space="preserve"> </w:t>
      </w:r>
      <w:r>
        <w:rPr>
          <w:rFonts w:ascii="Times New Roman" w:hAnsi="Times New Roman" w:cs="Times New Roman" w:hint="eastAsia"/>
          <w:bCs/>
        </w:rPr>
        <w:t>管理层讨论与分析”之“三、标的公司报告期财务状况和经营成果的讨论分析”之“（二）盈利能力分析”进行了补充披露。</w:t>
      </w:r>
    </w:p>
    <w:p w14:paraId="5D8BAAEF"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五、中介机构核查意见</w:t>
      </w:r>
    </w:p>
    <w:p w14:paraId="52296F5C"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经核查，独立财务顾问和会计师认为：报告期内，北洋天青与同行业上市公司的营业收入变动趋势保持一致，市场容量的变化情况与标的公司同行业上市公司的营业收入变化趋势保持一致。</w:t>
      </w:r>
    </w:p>
    <w:p w14:paraId="1AA202C7"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）补充披露北洋天青收入确认的政策、依据和时点，是否存在收入跨期的情形。</w:t>
      </w:r>
    </w:p>
    <w:p w14:paraId="5451446A"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一、北洋天青收入确认的政策、依据和时点</w:t>
      </w:r>
    </w:p>
    <w:p w14:paraId="4CBA7238"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北洋天青主营业务为生产线智能化、信息化的建设、升级和改造业务，均以终验法作为收入确认的政策。在北洋天青的项目满足验收条件后，由北洋天青向客户发起验收申请，客户根据合同要求进行项目验收，并在满足验收条件时向北洋天青出具验收单。北洋天青在项目验收合格后根据验收单的出具时点作为收入确认的时点。</w:t>
      </w:r>
    </w:p>
    <w:p w14:paraId="27BCB4C6"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二、北洋天青不存在收入跨期的情形</w:t>
      </w:r>
    </w:p>
    <w:p w14:paraId="0D6FCF06"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北洋天青的客户通常在项目完工并正常运行三十日后进行验收，标的公司大部分项目能够在约定工期的一个月左右完成验收。报告期内，北洋天青在每年</w:t>
      </w:r>
      <w:r>
        <w:rPr>
          <w:rFonts w:ascii="Times New Roman" w:hAnsi="Times New Roman" w:cs="Times New Roman" w:hint="eastAsia"/>
        </w:rPr>
        <w:t>1</w:t>
      </w:r>
      <w:r>
        <w:rPr>
          <w:rFonts w:ascii="Times New Roman" w:hAnsi="Times New Roman" w:cs="Times New Roman" w:hint="eastAsia"/>
        </w:rPr>
        <w:t>月和</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月确认收入的项目的合同签署情况及完工时间情况如下：</w:t>
      </w:r>
    </w:p>
    <w:tbl>
      <w:tblPr>
        <w:tblW w:w="5111"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49"/>
        <w:gridCol w:w="1711"/>
        <w:gridCol w:w="972"/>
        <w:gridCol w:w="1134"/>
        <w:gridCol w:w="991"/>
        <w:gridCol w:w="2554"/>
      </w:tblGrid>
      <w:tr w:rsidR="000A0ACD" w14:paraId="4338100A" w14:textId="77777777">
        <w:trPr>
          <w:trHeight w:val="397"/>
          <w:tblHeader/>
          <w:jc w:val="center"/>
        </w:trPr>
        <w:tc>
          <w:tcPr>
            <w:tcW w:w="774" w:type="pct"/>
            <w:shd w:val="clear" w:color="auto" w:fill="auto"/>
            <w:vAlign w:val="center"/>
          </w:tcPr>
          <w:p w14:paraId="1565CA69"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项目编号</w:t>
            </w:r>
          </w:p>
        </w:tc>
        <w:tc>
          <w:tcPr>
            <w:tcW w:w="982" w:type="pct"/>
            <w:shd w:val="clear" w:color="auto" w:fill="auto"/>
            <w:vAlign w:val="center"/>
          </w:tcPr>
          <w:p w14:paraId="7D12DE94"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项目名称</w:t>
            </w:r>
          </w:p>
        </w:tc>
        <w:tc>
          <w:tcPr>
            <w:tcW w:w="558" w:type="pct"/>
            <w:shd w:val="clear" w:color="auto" w:fill="auto"/>
            <w:vAlign w:val="center"/>
          </w:tcPr>
          <w:p w14:paraId="57F1DC0F"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合同签订时间</w:t>
            </w:r>
          </w:p>
        </w:tc>
        <w:tc>
          <w:tcPr>
            <w:tcW w:w="651" w:type="pct"/>
            <w:shd w:val="clear" w:color="auto" w:fill="auto"/>
            <w:vAlign w:val="center"/>
          </w:tcPr>
          <w:p w14:paraId="749414DF"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约定工期</w:t>
            </w:r>
          </w:p>
        </w:tc>
        <w:tc>
          <w:tcPr>
            <w:tcW w:w="569" w:type="pct"/>
            <w:vAlign w:val="center"/>
          </w:tcPr>
          <w:p w14:paraId="6FF19EA7"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验收时间</w:t>
            </w:r>
          </w:p>
        </w:tc>
        <w:tc>
          <w:tcPr>
            <w:tcW w:w="1466" w:type="pct"/>
            <w:vAlign w:val="center"/>
          </w:tcPr>
          <w:p w14:paraId="23605F63"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约定工期与验收时间是否相符</w:t>
            </w:r>
          </w:p>
        </w:tc>
      </w:tr>
      <w:tr w:rsidR="000A0ACD" w14:paraId="0DD07E10" w14:textId="77777777">
        <w:trPr>
          <w:trHeight w:val="397"/>
          <w:jc w:val="center"/>
        </w:trPr>
        <w:tc>
          <w:tcPr>
            <w:tcW w:w="774" w:type="pct"/>
            <w:shd w:val="clear" w:color="auto" w:fill="auto"/>
            <w:vAlign w:val="center"/>
          </w:tcPr>
          <w:p w14:paraId="58CC1684"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Q18</w:t>
            </w:r>
            <w:r>
              <w:rPr>
                <w:rFonts w:ascii="Times New Roman" w:hAnsi="Times New Roman" w:cs="Times New Roman" w:hint="eastAsia"/>
                <w:sz w:val="21"/>
                <w:szCs w:val="21"/>
              </w:rPr>
              <w:t>-</w:t>
            </w:r>
            <w:r>
              <w:rPr>
                <w:rFonts w:ascii="Times New Roman" w:hAnsi="Times New Roman" w:cs="Times New Roman"/>
                <w:sz w:val="21"/>
                <w:szCs w:val="21"/>
              </w:rPr>
              <w:t>HE06</w:t>
            </w:r>
          </w:p>
        </w:tc>
        <w:tc>
          <w:tcPr>
            <w:tcW w:w="982" w:type="pct"/>
            <w:shd w:val="clear" w:color="auto" w:fill="auto"/>
            <w:vAlign w:val="center"/>
          </w:tcPr>
          <w:p w14:paraId="2888995A"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合肥海尔滚筒自动化</w:t>
            </w:r>
          </w:p>
        </w:tc>
        <w:tc>
          <w:tcPr>
            <w:tcW w:w="558" w:type="pct"/>
            <w:shd w:val="clear" w:color="auto" w:fill="auto"/>
            <w:vAlign w:val="center"/>
          </w:tcPr>
          <w:p w14:paraId="1B6FCB8B"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7</w:t>
            </w:r>
            <w:r>
              <w:rPr>
                <w:rFonts w:ascii="Times New Roman" w:hAnsi="Times New Roman" w:cs="Times New Roman"/>
                <w:sz w:val="21"/>
                <w:szCs w:val="21"/>
              </w:rPr>
              <w:t>月</w:t>
            </w:r>
          </w:p>
        </w:tc>
        <w:tc>
          <w:tcPr>
            <w:tcW w:w="651" w:type="pct"/>
            <w:shd w:val="clear" w:color="auto" w:fill="auto"/>
            <w:vAlign w:val="center"/>
          </w:tcPr>
          <w:p w14:paraId="2AE04FAA"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90</w:t>
            </w:r>
            <w:r>
              <w:rPr>
                <w:rFonts w:ascii="Times New Roman" w:hAnsi="Times New Roman" w:cs="Times New Roman"/>
                <w:sz w:val="21"/>
                <w:szCs w:val="21"/>
              </w:rPr>
              <w:t>天</w:t>
            </w:r>
          </w:p>
        </w:tc>
        <w:tc>
          <w:tcPr>
            <w:tcW w:w="569" w:type="pct"/>
            <w:vAlign w:val="center"/>
          </w:tcPr>
          <w:p w14:paraId="7A5D0120"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12</w:t>
            </w:r>
            <w:r>
              <w:rPr>
                <w:rFonts w:ascii="Times New Roman" w:hAnsi="Times New Roman" w:cs="Times New Roman"/>
                <w:sz w:val="21"/>
                <w:szCs w:val="21"/>
              </w:rPr>
              <w:t>月</w:t>
            </w:r>
          </w:p>
        </w:tc>
        <w:tc>
          <w:tcPr>
            <w:tcW w:w="1466" w:type="pct"/>
            <w:vAlign w:val="center"/>
          </w:tcPr>
          <w:p w14:paraId="5D0116B1"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相符</w:t>
            </w:r>
          </w:p>
        </w:tc>
      </w:tr>
      <w:tr w:rsidR="000A0ACD" w14:paraId="0DC923C0" w14:textId="77777777">
        <w:trPr>
          <w:trHeight w:val="397"/>
          <w:jc w:val="center"/>
        </w:trPr>
        <w:tc>
          <w:tcPr>
            <w:tcW w:w="774" w:type="pct"/>
            <w:shd w:val="clear" w:color="auto" w:fill="auto"/>
            <w:vAlign w:val="center"/>
          </w:tcPr>
          <w:p w14:paraId="1280E5A9"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Q18-HE14</w:t>
            </w:r>
          </w:p>
        </w:tc>
        <w:tc>
          <w:tcPr>
            <w:tcW w:w="982" w:type="pct"/>
            <w:shd w:val="clear" w:color="auto" w:fill="auto"/>
            <w:vAlign w:val="center"/>
          </w:tcPr>
          <w:p w14:paraId="75F7408F"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合肥冰箱压力机连线</w:t>
            </w:r>
          </w:p>
        </w:tc>
        <w:tc>
          <w:tcPr>
            <w:tcW w:w="558" w:type="pct"/>
            <w:shd w:val="clear" w:color="auto" w:fill="auto"/>
            <w:vAlign w:val="center"/>
          </w:tcPr>
          <w:p w14:paraId="2974A8AF"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10</w:t>
            </w:r>
            <w:r>
              <w:rPr>
                <w:rFonts w:ascii="Times New Roman" w:hAnsi="Times New Roman" w:cs="Times New Roman"/>
                <w:sz w:val="21"/>
                <w:szCs w:val="21"/>
              </w:rPr>
              <w:t>月</w:t>
            </w:r>
          </w:p>
        </w:tc>
        <w:tc>
          <w:tcPr>
            <w:tcW w:w="651" w:type="pct"/>
            <w:shd w:val="clear" w:color="auto" w:fill="auto"/>
            <w:vAlign w:val="center"/>
          </w:tcPr>
          <w:p w14:paraId="7B78096D"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60</w:t>
            </w:r>
            <w:r>
              <w:rPr>
                <w:rFonts w:ascii="Times New Roman" w:hAnsi="Times New Roman" w:cs="Times New Roman"/>
                <w:sz w:val="21"/>
                <w:szCs w:val="21"/>
              </w:rPr>
              <w:t>天</w:t>
            </w:r>
          </w:p>
        </w:tc>
        <w:tc>
          <w:tcPr>
            <w:tcW w:w="569" w:type="pct"/>
            <w:vAlign w:val="center"/>
          </w:tcPr>
          <w:p w14:paraId="470EA238"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12</w:t>
            </w:r>
            <w:r>
              <w:rPr>
                <w:rFonts w:ascii="Times New Roman" w:hAnsi="Times New Roman" w:cs="Times New Roman"/>
                <w:sz w:val="21"/>
                <w:szCs w:val="21"/>
              </w:rPr>
              <w:t>月</w:t>
            </w:r>
          </w:p>
        </w:tc>
        <w:tc>
          <w:tcPr>
            <w:tcW w:w="1466" w:type="pct"/>
            <w:vAlign w:val="center"/>
          </w:tcPr>
          <w:p w14:paraId="17720F7E"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相符</w:t>
            </w:r>
          </w:p>
        </w:tc>
      </w:tr>
      <w:tr w:rsidR="000A0ACD" w14:paraId="0075614F" w14:textId="77777777">
        <w:trPr>
          <w:trHeight w:val="397"/>
          <w:jc w:val="center"/>
        </w:trPr>
        <w:tc>
          <w:tcPr>
            <w:tcW w:w="774" w:type="pct"/>
            <w:shd w:val="clear" w:color="auto" w:fill="auto"/>
            <w:vAlign w:val="center"/>
          </w:tcPr>
          <w:p w14:paraId="786D4175"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Q18-HE03</w:t>
            </w:r>
          </w:p>
        </w:tc>
        <w:tc>
          <w:tcPr>
            <w:tcW w:w="982" w:type="pct"/>
            <w:shd w:val="clear" w:color="auto" w:fill="auto"/>
            <w:vAlign w:val="center"/>
          </w:tcPr>
          <w:p w14:paraId="12751500"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挡板机器人连线</w:t>
            </w:r>
          </w:p>
        </w:tc>
        <w:tc>
          <w:tcPr>
            <w:tcW w:w="558" w:type="pct"/>
            <w:shd w:val="clear" w:color="auto" w:fill="auto"/>
            <w:vAlign w:val="center"/>
          </w:tcPr>
          <w:p w14:paraId="30B35F44"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5</w:t>
            </w:r>
            <w:r>
              <w:rPr>
                <w:rFonts w:ascii="Times New Roman" w:hAnsi="Times New Roman" w:cs="Times New Roman"/>
                <w:sz w:val="21"/>
                <w:szCs w:val="21"/>
              </w:rPr>
              <w:t>月</w:t>
            </w:r>
          </w:p>
        </w:tc>
        <w:tc>
          <w:tcPr>
            <w:tcW w:w="651" w:type="pct"/>
            <w:shd w:val="clear" w:color="auto" w:fill="auto"/>
            <w:vAlign w:val="center"/>
          </w:tcPr>
          <w:p w14:paraId="6C5A8B5E"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60</w:t>
            </w:r>
            <w:r>
              <w:rPr>
                <w:rFonts w:ascii="Times New Roman" w:hAnsi="Times New Roman" w:cs="Times New Roman"/>
                <w:sz w:val="21"/>
                <w:szCs w:val="21"/>
              </w:rPr>
              <w:t>天</w:t>
            </w:r>
          </w:p>
        </w:tc>
        <w:tc>
          <w:tcPr>
            <w:tcW w:w="569" w:type="pct"/>
            <w:vAlign w:val="center"/>
          </w:tcPr>
          <w:p w14:paraId="68A182EB"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12</w:t>
            </w:r>
            <w:r>
              <w:rPr>
                <w:rFonts w:ascii="Times New Roman" w:hAnsi="Times New Roman" w:cs="Times New Roman"/>
                <w:sz w:val="21"/>
                <w:szCs w:val="21"/>
              </w:rPr>
              <w:t>月</w:t>
            </w:r>
          </w:p>
        </w:tc>
        <w:tc>
          <w:tcPr>
            <w:tcW w:w="1466" w:type="pct"/>
            <w:vAlign w:val="center"/>
          </w:tcPr>
          <w:p w14:paraId="17284F42"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该项目客户新采购的产品模具</w:t>
            </w: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10</w:t>
            </w:r>
            <w:r>
              <w:rPr>
                <w:rFonts w:ascii="Times New Roman" w:hAnsi="Times New Roman" w:cs="Times New Roman"/>
                <w:sz w:val="21"/>
                <w:szCs w:val="21"/>
              </w:rPr>
              <w:t>月份才完成交付，导致该项目调试延期，项目验收时间也相应延后。</w:t>
            </w:r>
          </w:p>
        </w:tc>
      </w:tr>
      <w:tr w:rsidR="000A0ACD" w14:paraId="0F99C161" w14:textId="77777777">
        <w:trPr>
          <w:trHeight w:val="397"/>
          <w:jc w:val="center"/>
        </w:trPr>
        <w:tc>
          <w:tcPr>
            <w:tcW w:w="774" w:type="pct"/>
            <w:shd w:val="clear" w:color="auto" w:fill="auto"/>
            <w:vAlign w:val="center"/>
          </w:tcPr>
          <w:p w14:paraId="3222CE5F"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Q19-DS001</w:t>
            </w:r>
          </w:p>
        </w:tc>
        <w:tc>
          <w:tcPr>
            <w:tcW w:w="982" w:type="pct"/>
            <w:shd w:val="clear" w:color="auto" w:fill="auto"/>
            <w:vAlign w:val="center"/>
          </w:tcPr>
          <w:p w14:paraId="7C53CE9A"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湖南长沙康庭园机器人</w:t>
            </w:r>
            <w:r>
              <w:rPr>
                <w:rFonts w:ascii="Times New Roman" w:hAnsi="Times New Roman" w:cs="Times New Roman"/>
                <w:sz w:val="21"/>
                <w:szCs w:val="21"/>
              </w:rPr>
              <w:t>6700-2006</w:t>
            </w:r>
            <w:r>
              <w:rPr>
                <w:rFonts w:ascii="Times New Roman" w:hAnsi="Times New Roman" w:cs="Times New Roman"/>
                <w:sz w:val="21"/>
                <w:szCs w:val="21"/>
              </w:rPr>
              <w:t>台</w:t>
            </w:r>
          </w:p>
        </w:tc>
        <w:tc>
          <w:tcPr>
            <w:tcW w:w="558" w:type="pct"/>
            <w:shd w:val="clear" w:color="auto" w:fill="auto"/>
            <w:vAlign w:val="center"/>
          </w:tcPr>
          <w:p w14:paraId="3629E936"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11</w:t>
            </w:r>
            <w:r>
              <w:rPr>
                <w:rFonts w:ascii="Times New Roman" w:hAnsi="Times New Roman" w:cs="Times New Roman"/>
                <w:sz w:val="21"/>
                <w:szCs w:val="21"/>
              </w:rPr>
              <w:t>月</w:t>
            </w:r>
          </w:p>
        </w:tc>
        <w:tc>
          <w:tcPr>
            <w:tcW w:w="651" w:type="pct"/>
            <w:shd w:val="clear" w:color="auto" w:fill="auto"/>
            <w:vAlign w:val="center"/>
          </w:tcPr>
          <w:p w14:paraId="00E49736"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40</w:t>
            </w:r>
            <w:r>
              <w:rPr>
                <w:rFonts w:ascii="Times New Roman" w:hAnsi="Times New Roman" w:cs="Times New Roman" w:hint="eastAsia"/>
                <w:sz w:val="21"/>
                <w:szCs w:val="21"/>
              </w:rPr>
              <w:t>个</w:t>
            </w:r>
            <w:r>
              <w:rPr>
                <w:rFonts w:ascii="Times New Roman" w:hAnsi="Times New Roman" w:cs="Times New Roman"/>
                <w:sz w:val="21"/>
                <w:szCs w:val="21"/>
              </w:rPr>
              <w:t>工作日</w:t>
            </w:r>
          </w:p>
        </w:tc>
        <w:tc>
          <w:tcPr>
            <w:tcW w:w="569" w:type="pct"/>
            <w:vAlign w:val="center"/>
          </w:tcPr>
          <w:p w14:paraId="5C8996E2"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2019</w:t>
            </w:r>
            <w:r>
              <w:rPr>
                <w:rFonts w:ascii="Times New Roman" w:hAnsi="Times New Roman" w:cs="Times New Roman"/>
                <w:sz w:val="21"/>
                <w:szCs w:val="21"/>
              </w:rPr>
              <w:t>年</w:t>
            </w:r>
            <w:r>
              <w:rPr>
                <w:rFonts w:ascii="Times New Roman" w:hAnsi="Times New Roman" w:cs="Times New Roman"/>
                <w:sz w:val="21"/>
                <w:szCs w:val="21"/>
              </w:rPr>
              <w:t>1</w:t>
            </w:r>
            <w:r>
              <w:rPr>
                <w:rFonts w:ascii="Times New Roman" w:hAnsi="Times New Roman" w:cs="Times New Roman"/>
                <w:sz w:val="21"/>
                <w:szCs w:val="21"/>
              </w:rPr>
              <w:t>月</w:t>
            </w:r>
          </w:p>
        </w:tc>
        <w:tc>
          <w:tcPr>
            <w:tcW w:w="1466" w:type="pct"/>
            <w:vAlign w:val="center"/>
          </w:tcPr>
          <w:p w14:paraId="256E32A6"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相符</w:t>
            </w:r>
          </w:p>
        </w:tc>
      </w:tr>
      <w:tr w:rsidR="000A0ACD" w14:paraId="120DE320" w14:textId="77777777">
        <w:trPr>
          <w:trHeight w:val="397"/>
          <w:jc w:val="center"/>
        </w:trPr>
        <w:tc>
          <w:tcPr>
            <w:tcW w:w="774" w:type="pct"/>
            <w:shd w:val="clear" w:color="auto" w:fill="auto"/>
            <w:vAlign w:val="center"/>
          </w:tcPr>
          <w:p w14:paraId="189C6D20"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Q19-HE12</w:t>
            </w:r>
          </w:p>
        </w:tc>
        <w:tc>
          <w:tcPr>
            <w:tcW w:w="982" w:type="pct"/>
            <w:shd w:val="clear" w:color="auto" w:fill="auto"/>
            <w:vAlign w:val="center"/>
          </w:tcPr>
          <w:p w14:paraId="441311A8"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胶南洗衣机干衣机总装二线</w:t>
            </w:r>
          </w:p>
        </w:tc>
        <w:tc>
          <w:tcPr>
            <w:tcW w:w="558" w:type="pct"/>
            <w:shd w:val="clear" w:color="auto" w:fill="auto"/>
            <w:vAlign w:val="center"/>
          </w:tcPr>
          <w:p w14:paraId="2A993A3E"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8</w:t>
            </w:r>
            <w:r>
              <w:rPr>
                <w:rFonts w:ascii="Times New Roman" w:hAnsi="Times New Roman" w:cs="Times New Roman" w:hint="eastAsia"/>
                <w:sz w:val="21"/>
                <w:szCs w:val="21"/>
              </w:rPr>
              <w:t>月</w:t>
            </w:r>
          </w:p>
        </w:tc>
        <w:tc>
          <w:tcPr>
            <w:tcW w:w="651" w:type="pct"/>
            <w:shd w:val="clear" w:color="auto" w:fill="auto"/>
            <w:vAlign w:val="center"/>
          </w:tcPr>
          <w:p w14:paraId="535C18B1"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90</w:t>
            </w:r>
            <w:r>
              <w:rPr>
                <w:rFonts w:ascii="Times New Roman" w:hAnsi="Times New Roman" w:cs="Times New Roman" w:hint="eastAsia"/>
                <w:sz w:val="21"/>
                <w:szCs w:val="21"/>
              </w:rPr>
              <w:t>天</w:t>
            </w:r>
          </w:p>
        </w:tc>
        <w:tc>
          <w:tcPr>
            <w:tcW w:w="569" w:type="pct"/>
            <w:vAlign w:val="center"/>
          </w:tcPr>
          <w:p w14:paraId="0F2C12AC"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1466" w:type="pct"/>
            <w:vAlign w:val="center"/>
          </w:tcPr>
          <w:p w14:paraId="28D51831"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相符</w:t>
            </w:r>
          </w:p>
        </w:tc>
      </w:tr>
      <w:tr w:rsidR="000A0ACD" w14:paraId="33DA2F8D" w14:textId="77777777">
        <w:trPr>
          <w:trHeight w:val="397"/>
          <w:jc w:val="center"/>
        </w:trPr>
        <w:tc>
          <w:tcPr>
            <w:tcW w:w="774" w:type="pct"/>
            <w:shd w:val="clear" w:color="auto" w:fill="auto"/>
            <w:vAlign w:val="center"/>
          </w:tcPr>
          <w:p w14:paraId="39CEF581"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Q19-AKM04</w:t>
            </w:r>
          </w:p>
        </w:tc>
        <w:tc>
          <w:tcPr>
            <w:tcW w:w="982" w:type="pct"/>
            <w:shd w:val="clear" w:color="auto" w:fill="auto"/>
            <w:vAlign w:val="center"/>
          </w:tcPr>
          <w:p w14:paraId="53AD162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澳柯玛智慧冷链包装线</w:t>
            </w:r>
          </w:p>
        </w:tc>
        <w:tc>
          <w:tcPr>
            <w:tcW w:w="558" w:type="pct"/>
            <w:shd w:val="clear" w:color="auto" w:fill="auto"/>
            <w:vAlign w:val="center"/>
          </w:tcPr>
          <w:p w14:paraId="3237AA2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7</w:t>
            </w:r>
            <w:r>
              <w:rPr>
                <w:rFonts w:ascii="Times New Roman" w:hAnsi="Times New Roman" w:cs="Times New Roman" w:hint="eastAsia"/>
                <w:sz w:val="21"/>
                <w:szCs w:val="21"/>
              </w:rPr>
              <w:t>月</w:t>
            </w:r>
          </w:p>
        </w:tc>
        <w:tc>
          <w:tcPr>
            <w:tcW w:w="651" w:type="pct"/>
            <w:shd w:val="clear" w:color="auto" w:fill="auto"/>
            <w:vAlign w:val="center"/>
          </w:tcPr>
          <w:p w14:paraId="1C87D87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50</w:t>
            </w:r>
            <w:r>
              <w:rPr>
                <w:rFonts w:ascii="Times New Roman" w:hAnsi="Times New Roman" w:cs="Times New Roman" w:hint="eastAsia"/>
                <w:sz w:val="21"/>
                <w:szCs w:val="21"/>
              </w:rPr>
              <w:t>天</w:t>
            </w:r>
          </w:p>
        </w:tc>
        <w:tc>
          <w:tcPr>
            <w:tcW w:w="569" w:type="pct"/>
            <w:vAlign w:val="center"/>
          </w:tcPr>
          <w:p w14:paraId="2288F4F9"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1466" w:type="pct"/>
            <w:vMerge w:val="restart"/>
            <w:vAlign w:val="center"/>
          </w:tcPr>
          <w:p w14:paraId="7B2ACBD2"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项目需要与客户原生产线对接，因客户订单量较大，为保证订单生产，推迟了计划的停产对接时间，项目验收时间也相应延后。</w:t>
            </w:r>
          </w:p>
        </w:tc>
      </w:tr>
      <w:tr w:rsidR="000A0ACD" w14:paraId="458DC30C" w14:textId="77777777">
        <w:trPr>
          <w:trHeight w:val="397"/>
          <w:jc w:val="center"/>
        </w:trPr>
        <w:tc>
          <w:tcPr>
            <w:tcW w:w="774" w:type="pct"/>
            <w:shd w:val="clear" w:color="auto" w:fill="auto"/>
            <w:vAlign w:val="center"/>
          </w:tcPr>
          <w:p w14:paraId="545EFC3A"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Q19-AKM03</w:t>
            </w:r>
          </w:p>
        </w:tc>
        <w:tc>
          <w:tcPr>
            <w:tcW w:w="982" w:type="pct"/>
            <w:shd w:val="clear" w:color="auto" w:fill="auto"/>
            <w:vAlign w:val="center"/>
          </w:tcPr>
          <w:p w14:paraId="5AFF2C4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新工厂配套缓存库</w:t>
            </w:r>
          </w:p>
        </w:tc>
        <w:tc>
          <w:tcPr>
            <w:tcW w:w="558" w:type="pct"/>
            <w:shd w:val="clear" w:color="auto" w:fill="auto"/>
            <w:vAlign w:val="center"/>
          </w:tcPr>
          <w:p w14:paraId="0A51F576"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7</w:t>
            </w:r>
            <w:r>
              <w:rPr>
                <w:rFonts w:ascii="Times New Roman" w:hAnsi="Times New Roman" w:cs="Times New Roman" w:hint="eastAsia"/>
                <w:sz w:val="21"/>
                <w:szCs w:val="21"/>
              </w:rPr>
              <w:t>月</w:t>
            </w:r>
          </w:p>
        </w:tc>
        <w:tc>
          <w:tcPr>
            <w:tcW w:w="651" w:type="pct"/>
            <w:shd w:val="clear" w:color="auto" w:fill="auto"/>
            <w:vAlign w:val="center"/>
          </w:tcPr>
          <w:p w14:paraId="054271A8"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hint="eastAsia"/>
                <w:sz w:val="21"/>
                <w:szCs w:val="21"/>
              </w:rPr>
              <w:t>0</w:t>
            </w:r>
            <w:r>
              <w:rPr>
                <w:rFonts w:ascii="Times New Roman" w:hAnsi="Times New Roman" w:cs="Times New Roman" w:hint="eastAsia"/>
                <w:sz w:val="21"/>
                <w:szCs w:val="21"/>
              </w:rPr>
              <w:t>天</w:t>
            </w:r>
          </w:p>
        </w:tc>
        <w:tc>
          <w:tcPr>
            <w:tcW w:w="569" w:type="pct"/>
            <w:vAlign w:val="center"/>
          </w:tcPr>
          <w:p w14:paraId="610EFFF0"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1466" w:type="pct"/>
            <w:vMerge/>
            <w:vAlign w:val="center"/>
          </w:tcPr>
          <w:p w14:paraId="177D8616" w14:textId="77777777" w:rsidR="000A0ACD" w:rsidRDefault="000A0ACD">
            <w:pPr>
              <w:jc w:val="center"/>
              <w:rPr>
                <w:rFonts w:ascii="Times New Roman" w:hAnsi="Times New Roman" w:cs="Times New Roman"/>
                <w:sz w:val="21"/>
                <w:szCs w:val="21"/>
              </w:rPr>
            </w:pPr>
          </w:p>
        </w:tc>
      </w:tr>
      <w:tr w:rsidR="000A0ACD" w14:paraId="2CB9FA1B" w14:textId="77777777">
        <w:trPr>
          <w:trHeight w:val="1674"/>
          <w:jc w:val="center"/>
        </w:trPr>
        <w:tc>
          <w:tcPr>
            <w:tcW w:w="774" w:type="pct"/>
            <w:shd w:val="clear" w:color="auto" w:fill="auto"/>
            <w:vAlign w:val="center"/>
          </w:tcPr>
          <w:p w14:paraId="6A808104"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Q19-HE21</w:t>
            </w:r>
          </w:p>
        </w:tc>
        <w:tc>
          <w:tcPr>
            <w:tcW w:w="982" w:type="pct"/>
            <w:shd w:val="clear" w:color="auto" w:fill="auto"/>
            <w:vAlign w:val="center"/>
          </w:tcPr>
          <w:p w14:paraId="5EE2789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悬挂链</w:t>
            </w:r>
            <w:r>
              <w:rPr>
                <w:rFonts w:ascii="Times New Roman" w:hAnsi="Times New Roman" w:cs="Times New Roman" w:hint="eastAsia"/>
                <w:sz w:val="21"/>
                <w:szCs w:val="21"/>
              </w:rPr>
              <w:t>(</w:t>
            </w:r>
            <w:r>
              <w:rPr>
                <w:rFonts w:ascii="Times New Roman" w:hAnsi="Times New Roman" w:cs="Times New Roman" w:hint="eastAsia"/>
                <w:sz w:val="21"/>
                <w:szCs w:val="21"/>
              </w:rPr>
              <w:t>中德电热</w:t>
            </w:r>
            <w:r>
              <w:rPr>
                <w:rFonts w:ascii="Times New Roman" w:hAnsi="Times New Roman" w:cs="Times New Roman" w:hint="eastAsia"/>
                <w:sz w:val="21"/>
                <w:szCs w:val="21"/>
              </w:rPr>
              <w:t>)</w:t>
            </w:r>
          </w:p>
        </w:tc>
        <w:tc>
          <w:tcPr>
            <w:tcW w:w="558" w:type="pct"/>
            <w:shd w:val="clear" w:color="auto" w:fill="auto"/>
            <w:vAlign w:val="center"/>
          </w:tcPr>
          <w:p w14:paraId="31399958"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8</w:t>
            </w:r>
            <w:r>
              <w:rPr>
                <w:rFonts w:ascii="Times New Roman" w:hAnsi="Times New Roman" w:cs="Times New Roman" w:hint="eastAsia"/>
                <w:sz w:val="21"/>
                <w:szCs w:val="21"/>
              </w:rPr>
              <w:t>月</w:t>
            </w:r>
          </w:p>
        </w:tc>
        <w:tc>
          <w:tcPr>
            <w:tcW w:w="651" w:type="pct"/>
            <w:shd w:val="clear" w:color="auto" w:fill="auto"/>
            <w:vAlign w:val="center"/>
          </w:tcPr>
          <w:p w14:paraId="09BC7FF1"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50</w:t>
            </w:r>
            <w:r>
              <w:rPr>
                <w:rFonts w:ascii="Times New Roman" w:hAnsi="Times New Roman" w:cs="Times New Roman" w:hint="eastAsia"/>
                <w:sz w:val="21"/>
                <w:szCs w:val="21"/>
              </w:rPr>
              <w:t>天</w:t>
            </w:r>
          </w:p>
        </w:tc>
        <w:tc>
          <w:tcPr>
            <w:tcW w:w="569" w:type="pct"/>
            <w:vAlign w:val="center"/>
          </w:tcPr>
          <w:p w14:paraId="1F84F228"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1466" w:type="pct"/>
            <w:vMerge w:val="restart"/>
            <w:vAlign w:val="center"/>
          </w:tcPr>
          <w:p w14:paraId="4A4AA57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项目需在其他多家供应商设备安装调试完成后进行设备对接及信号对接联调。客户工厂生产时不允许施工，各供应商只能在停产时进行施工，导致项目施工时间比原计划增加，验收时间也相应延后。</w:t>
            </w:r>
          </w:p>
        </w:tc>
      </w:tr>
      <w:tr w:rsidR="000A0ACD" w14:paraId="20455AF3" w14:textId="77777777">
        <w:trPr>
          <w:trHeight w:val="397"/>
          <w:jc w:val="center"/>
        </w:trPr>
        <w:tc>
          <w:tcPr>
            <w:tcW w:w="774" w:type="pct"/>
            <w:shd w:val="clear" w:color="auto" w:fill="auto"/>
            <w:vAlign w:val="center"/>
          </w:tcPr>
          <w:p w14:paraId="75BCA2AA"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Q19-HE22</w:t>
            </w:r>
          </w:p>
        </w:tc>
        <w:tc>
          <w:tcPr>
            <w:tcW w:w="982" w:type="pct"/>
            <w:shd w:val="clear" w:color="auto" w:fill="auto"/>
            <w:vAlign w:val="center"/>
          </w:tcPr>
          <w:p w14:paraId="60B95130"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机器人采购与自动化项目</w:t>
            </w:r>
            <w:r>
              <w:rPr>
                <w:rFonts w:ascii="Times New Roman" w:hAnsi="Times New Roman" w:cs="Times New Roman" w:hint="eastAsia"/>
                <w:sz w:val="21"/>
                <w:szCs w:val="21"/>
              </w:rPr>
              <w:t>(</w:t>
            </w:r>
            <w:r>
              <w:rPr>
                <w:rFonts w:ascii="Times New Roman" w:hAnsi="Times New Roman" w:cs="Times New Roman" w:hint="eastAsia"/>
                <w:sz w:val="21"/>
                <w:szCs w:val="21"/>
              </w:rPr>
              <w:t>中德电热</w:t>
            </w:r>
            <w:r>
              <w:rPr>
                <w:rFonts w:ascii="Times New Roman" w:hAnsi="Times New Roman" w:cs="Times New Roman" w:hint="eastAsia"/>
                <w:sz w:val="21"/>
                <w:szCs w:val="21"/>
              </w:rPr>
              <w:t>)</w:t>
            </w:r>
          </w:p>
        </w:tc>
        <w:tc>
          <w:tcPr>
            <w:tcW w:w="558" w:type="pct"/>
            <w:shd w:val="clear" w:color="auto" w:fill="auto"/>
            <w:vAlign w:val="center"/>
          </w:tcPr>
          <w:p w14:paraId="406C7AF9"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1CB688D0"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个月</w:t>
            </w:r>
          </w:p>
        </w:tc>
        <w:tc>
          <w:tcPr>
            <w:tcW w:w="569" w:type="pct"/>
            <w:vAlign w:val="center"/>
          </w:tcPr>
          <w:p w14:paraId="21AB4BB0"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1466" w:type="pct"/>
            <w:vMerge/>
            <w:vAlign w:val="center"/>
          </w:tcPr>
          <w:p w14:paraId="43835449" w14:textId="77777777" w:rsidR="000A0ACD" w:rsidRDefault="000A0ACD">
            <w:pPr>
              <w:jc w:val="center"/>
              <w:rPr>
                <w:rFonts w:ascii="Times New Roman" w:hAnsi="Times New Roman" w:cs="Times New Roman"/>
                <w:sz w:val="21"/>
                <w:szCs w:val="21"/>
              </w:rPr>
            </w:pPr>
          </w:p>
        </w:tc>
      </w:tr>
      <w:tr w:rsidR="000A0ACD" w14:paraId="0F177A0A" w14:textId="77777777">
        <w:trPr>
          <w:trHeight w:val="397"/>
          <w:jc w:val="center"/>
        </w:trPr>
        <w:tc>
          <w:tcPr>
            <w:tcW w:w="774" w:type="pct"/>
            <w:shd w:val="clear" w:color="auto" w:fill="auto"/>
            <w:vAlign w:val="center"/>
          </w:tcPr>
          <w:p w14:paraId="1FBEDB5F"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Q19-HE24</w:t>
            </w:r>
          </w:p>
        </w:tc>
        <w:tc>
          <w:tcPr>
            <w:tcW w:w="982" w:type="pct"/>
            <w:shd w:val="clear" w:color="auto" w:fill="auto"/>
            <w:vAlign w:val="center"/>
          </w:tcPr>
          <w:p w14:paraId="77F27CB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黄岛海尔中二门壳冲压线</w:t>
            </w:r>
          </w:p>
        </w:tc>
        <w:tc>
          <w:tcPr>
            <w:tcW w:w="558" w:type="pct"/>
            <w:shd w:val="clear" w:color="auto" w:fill="auto"/>
            <w:vAlign w:val="center"/>
          </w:tcPr>
          <w:p w14:paraId="2CA8457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11</w:t>
            </w:r>
            <w:r>
              <w:rPr>
                <w:rFonts w:ascii="Times New Roman" w:hAnsi="Times New Roman" w:cs="Times New Roman" w:hint="eastAsia"/>
                <w:sz w:val="21"/>
                <w:szCs w:val="21"/>
              </w:rPr>
              <w:t>月</w:t>
            </w:r>
          </w:p>
        </w:tc>
        <w:tc>
          <w:tcPr>
            <w:tcW w:w="651" w:type="pct"/>
            <w:shd w:val="clear" w:color="auto" w:fill="auto"/>
            <w:vAlign w:val="center"/>
          </w:tcPr>
          <w:p w14:paraId="4E7DA1CC"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55</w:t>
            </w:r>
            <w:r>
              <w:rPr>
                <w:rFonts w:ascii="Times New Roman" w:hAnsi="Times New Roman" w:cs="Times New Roman" w:hint="eastAsia"/>
                <w:sz w:val="21"/>
                <w:szCs w:val="21"/>
              </w:rPr>
              <w:t>天</w:t>
            </w:r>
          </w:p>
        </w:tc>
        <w:tc>
          <w:tcPr>
            <w:tcW w:w="569" w:type="pct"/>
            <w:vAlign w:val="center"/>
          </w:tcPr>
          <w:p w14:paraId="44B4F875"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1466" w:type="pct"/>
            <w:vAlign w:val="center"/>
          </w:tcPr>
          <w:p w14:paraId="6DAC892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相符</w:t>
            </w:r>
          </w:p>
        </w:tc>
      </w:tr>
      <w:tr w:rsidR="000A0ACD" w14:paraId="772FB1BC" w14:textId="77777777">
        <w:trPr>
          <w:trHeight w:val="397"/>
          <w:jc w:val="center"/>
        </w:trPr>
        <w:tc>
          <w:tcPr>
            <w:tcW w:w="774" w:type="pct"/>
            <w:shd w:val="clear" w:color="auto" w:fill="auto"/>
            <w:vAlign w:val="center"/>
          </w:tcPr>
          <w:p w14:paraId="12B17A52"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Q</w:t>
            </w:r>
            <w:r>
              <w:rPr>
                <w:rFonts w:ascii="Times New Roman" w:hAnsi="Times New Roman" w:cs="Times New Roman"/>
                <w:sz w:val="21"/>
                <w:szCs w:val="21"/>
              </w:rPr>
              <w:t>19-HX2A</w:t>
            </w:r>
          </w:p>
        </w:tc>
        <w:tc>
          <w:tcPr>
            <w:tcW w:w="982" w:type="pct"/>
            <w:shd w:val="clear" w:color="auto" w:fill="auto"/>
            <w:vAlign w:val="center"/>
          </w:tcPr>
          <w:p w14:paraId="3DAE6778"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三期两器外机冲床用机器人取片机</w:t>
            </w:r>
          </w:p>
        </w:tc>
        <w:tc>
          <w:tcPr>
            <w:tcW w:w="558" w:type="pct"/>
            <w:shd w:val="clear" w:color="auto" w:fill="auto"/>
            <w:vAlign w:val="center"/>
          </w:tcPr>
          <w:p w14:paraId="66C42B9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019</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sz w:val="21"/>
                <w:szCs w:val="21"/>
              </w:rPr>
              <w:t>0</w:t>
            </w:r>
            <w:r>
              <w:rPr>
                <w:rFonts w:ascii="Times New Roman" w:hAnsi="Times New Roman" w:cs="Times New Roman" w:hint="eastAsia"/>
                <w:sz w:val="21"/>
                <w:szCs w:val="21"/>
              </w:rPr>
              <w:t>月</w:t>
            </w:r>
          </w:p>
        </w:tc>
        <w:tc>
          <w:tcPr>
            <w:tcW w:w="651" w:type="pct"/>
            <w:shd w:val="clear" w:color="auto" w:fill="auto"/>
            <w:vAlign w:val="center"/>
          </w:tcPr>
          <w:p w14:paraId="0EC997F4"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2019</w:t>
            </w:r>
            <w:r>
              <w:rPr>
                <w:rFonts w:ascii="Times New Roman" w:hAnsi="Times New Roman" w:cs="Times New Roman"/>
                <w:sz w:val="21"/>
                <w:szCs w:val="21"/>
              </w:rPr>
              <w:t>年</w:t>
            </w:r>
            <w:r>
              <w:rPr>
                <w:rFonts w:ascii="Times New Roman" w:hAnsi="Times New Roman" w:cs="Times New Roman"/>
                <w:sz w:val="21"/>
                <w:szCs w:val="21"/>
              </w:rPr>
              <w:t>11</w:t>
            </w:r>
            <w:r>
              <w:rPr>
                <w:rFonts w:ascii="Times New Roman" w:hAnsi="Times New Roman" w:cs="Times New Roman"/>
                <w:sz w:val="21"/>
                <w:szCs w:val="21"/>
              </w:rPr>
              <w:t>月</w:t>
            </w:r>
            <w:r>
              <w:rPr>
                <w:rFonts w:ascii="Times New Roman" w:hAnsi="Times New Roman" w:cs="Times New Roman"/>
                <w:sz w:val="21"/>
                <w:szCs w:val="21"/>
              </w:rPr>
              <w:t>23</w:t>
            </w:r>
            <w:r>
              <w:rPr>
                <w:rFonts w:ascii="Times New Roman" w:hAnsi="Times New Roman" w:cs="Times New Roman"/>
                <w:sz w:val="21"/>
                <w:szCs w:val="21"/>
              </w:rPr>
              <w:t>日前产品到指定地点，</w:t>
            </w:r>
            <w:r>
              <w:rPr>
                <w:rFonts w:ascii="Times New Roman" w:hAnsi="Times New Roman" w:cs="Times New Roman"/>
                <w:sz w:val="21"/>
                <w:szCs w:val="21"/>
              </w:rPr>
              <w:t>15</w:t>
            </w:r>
            <w:r>
              <w:rPr>
                <w:rFonts w:ascii="Times New Roman" w:hAnsi="Times New Roman" w:cs="Times New Roman"/>
                <w:sz w:val="21"/>
                <w:szCs w:val="21"/>
              </w:rPr>
              <w:t>日内调试完成，调试完成</w:t>
            </w:r>
            <w:r>
              <w:rPr>
                <w:rFonts w:ascii="Times New Roman" w:hAnsi="Times New Roman" w:cs="Times New Roman"/>
                <w:sz w:val="21"/>
                <w:szCs w:val="21"/>
              </w:rPr>
              <w:t>15</w:t>
            </w:r>
            <w:r>
              <w:rPr>
                <w:rFonts w:ascii="Times New Roman" w:hAnsi="Times New Roman" w:cs="Times New Roman"/>
                <w:sz w:val="21"/>
                <w:szCs w:val="21"/>
              </w:rPr>
              <w:t>日后，双方验收测试</w:t>
            </w:r>
          </w:p>
        </w:tc>
        <w:tc>
          <w:tcPr>
            <w:tcW w:w="569" w:type="pct"/>
            <w:vAlign w:val="center"/>
          </w:tcPr>
          <w:p w14:paraId="66D7196B"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1466" w:type="pct"/>
            <w:vAlign w:val="center"/>
          </w:tcPr>
          <w:p w14:paraId="64F71D66"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相符</w:t>
            </w:r>
          </w:p>
        </w:tc>
      </w:tr>
      <w:tr w:rsidR="000A0ACD" w14:paraId="5F18C9C3" w14:textId="77777777">
        <w:trPr>
          <w:trHeight w:val="397"/>
          <w:jc w:val="center"/>
        </w:trPr>
        <w:tc>
          <w:tcPr>
            <w:tcW w:w="774" w:type="pct"/>
            <w:shd w:val="clear" w:color="auto" w:fill="auto"/>
            <w:vAlign w:val="center"/>
          </w:tcPr>
          <w:p w14:paraId="7BC277C6"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Q19-AKM05</w:t>
            </w:r>
          </w:p>
        </w:tc>
        <w:tc>
          <w:tcPr>
            <w:tcW w:w="982" w:type="pct"/>
            <w:shd w:val="clear" w:color="auto" w:fill="auto"/>
            <w:vAlign w:val="center"/>
          </w:tcPr>
          <w:p w14:paraId="6E79D825"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商超</w:t>
            </w:r>
            <w:r>
              <w:rPr>
                <w:rFonts w:ascii="Times New Roman" w:hAnsi="Times New Roman" w:cs="Times New Roman" w:hint="eastAsia"/>
                <w:sz w:val="21"/>
                <w:szCs w:val="21"/>
              </w:rPr>
              <w:t>RGV</w:t>
            </w:r>
            <w:r>
              <w:rPr>
                <w:rFonts w:ascii="Times New Roman" w:hAnsi="Times New Roman" w:cs="Times New Roman" w:hint="eastAsia"/>
                <w:sz w:val="21"/>
                <w:szCs w:val="21"/>
              </w:rPr>
              <w:t>生产线</w:t>
            </w:r>
          </w:p>
        </w:tc>
        <w:tc>
          <w:tcPr>
            <w:tcW w:w="558" w:type="pct"/>
            <w:shd w:val="clear" w:color="auto" w:fill="auto"/>
            <w:vAlign w:val="center"/>
          </w:tcPr>
          <w:p w14:paraId="5365EEF6"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088D466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10</w:t>
            </w:r>
            <w:r>
              <w:rPr>
                <w:rFonts w:ascii="Times New Roman" w:hAnsi="Times New Roman" w:cs="Times New Roman" w:hint="eastAsia"/>
                <w:sz w:val="21"/>
                <w:szCs w:val="21"/>
              </w:rPr>
              <w:t>月</w:t>
            </w:r>
            <w:r>
              <w:rPr>
                <w:rFonts w:ascii="Times New Roman" w:hAnsi="Times New Roman" w:cs="Times New Roman" w:hint="eastAsia"/>
                <w:sz w:val="21"/>
                <w:szCs w:val="21"/>
              </w:rPr>
              <w:t>26</w:t>
            </w:r>
            <w:r>
              <w:rPr>
                <w:rFonts w:ascii="Times New Roman" w:hAnsi="Times New Roman" w:cs="Times New Roman" w:hint="eastAsia"/>
                <w:sz w:val="21"/>
                <w:szCs w:val="21"/>
              </w:rPr>
              <w:t>日前调试完成</w:t>
            </w:r>
          </w:p>
        </w:tc>
        <w:tc>
          <w:tcPr>
            <w:tcW w:w="569" w:type="pct"/>
            <w:vAlign w:val="center"/>
          </w:tcPr>
          <w:p w14:paraId="2ED1F079"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1466" w:type="pct"/>
            <w:vAlign w:val="center"/>
          </w:tcPr>
          <w:p w14:paraId="470327C0"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RGV</w:t>
            </w:r>
            <w:r>
              <w:rPr>
                <w:rFonts w:ascii="Times New Roman" w:hAnsi="Times New Roman" w:cs="Times New Roman"/>
                <w:sz w:val="21"/>
                <w:szCs w:val="21"/>
              </w:rPr>
              <w:t>生产线需与其它供应商的生产线对接，因另一供应商生产线的安装完成时间晚于标的公司的</w:t>
            </w:r>
            <w:r>
              <w:rPr>
                <w:rFonts w:ascii="Times New Roman" w:hAnsi="Times New Roman" w:cs="Times New Roman"/>
                <w:sz w:val="21"/>
                <w:szCs w:val="21"/>
              </w:rPr>
              <w:t>RGV</w:t>
            </w:r>
            <w:r>
              <w:rPr>
                <w:rFonts w:ascii="Times New Roman" w:hAnsi="Times New Roman" w:cs="Times New Roman"/>
                <w:sz w:val="21"/>
                <w:szCs w:val="21"/>
              </w:rPr>
              <w:t>生产线安装完成时间，致使北洋天青的联调时间延后，验收时间也相应延后。</w:t>
            </w:r>
          </w:p>
        </w:tc>
      </w:tr>
      <w:tr w:rsidR="000A0ACD" w14:paraId="0E50F6A4" w14:textId="77777777">
        <w:trPr>
          <w:trHeight w:val="397"/>
          <w:jc w:val="center"/>
        </w:trPr>
        <w:tc>
          <w:tcPr>
            <w:tcW w:w="774" w:type="pct"/>
            <w:shd w:val="clear" w:color="auto" w:fill="auto"/>
            <w:vAlign w:val="center"/>
          </w:tcPr>
          <w:p w14:paraId="550135F3"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Q20-HE10</w:t>
            </w:r>
          </w:p>
        </w:tc>
        <w:tc>
          <w:tcPr>
            <w:tcW w:w="982" w:type="pct"/>
            <w:shd w:val="clear" w:color="auto" w:fill="auto"/>
            <w:vAlign w:val="center"/>
          </w:tcPr>
          <w:p w14:paraId="2A7F8BA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合肥海尔玻璃门壳智能配送设备</w:t>
            </w:r>
          </w:p>
        </w:tc>
        <w:tc>
          <w:tcPr>
            <w:tcW w:w="558" w:type="pct"/>
            <w:shd w:val="clear" w:color="auto" w:fill="auto"/>
            <w:vAlign w:val="center"/>
          </w:tcPr>
          <w:p w14:paraId="7A1CB651"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8</w:t>
            </w:r>
            <w:r>
              <w:rPr>
                <w:rFonts w:ascii="Times New Roman" w:hAnsi="Times New Roman" w:cs="Times New Roman" w:hint="eastAsia"/>
                <w:sz w:val="21"/>
                <w:szCs w:val="21"/>
              </w:rPr>
              <w:t>月</w:t>
            </w:r>
          </w:p>
        </w:tc>
        <w:tc>
          <w:tcPr>
            <w:tcW w:w="651" w:type="pct"/>
            <w:shd w:val="clear" w:color="auto" w:fill="auto"/>
            <w:vAlign w:val="center"/>
          </w:tcPr>
          <w:p w14:paraId="3A8B33EB"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个月</w:t>
            </w:r>
          </w:p>
        </w:tc>
        <w:tc>
          <w:tcPr>
            <w:tcW w:w="569" w:type="pct"/>
            <w:vAlign w:val="center"/>
          </w:tcPr>
          <w:p w14:paraId="095386D5"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月</w:t>
            </w:r>
          </w:p>
        </w:tc>
        <w:tc>
          <w:tcPr>
            <w:tcW w:w="1466" w:type="pct"/>
            <w:vAlign w:val="center"/>
          </w:tcPr>
          <w:p w14:paraId="64683F4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相符</w:t>
            </w:r>
          </w:p>
        </w:tc>
      </w:tr>
      <w:tr w:rsidR="000A0ACD" w14:paraId="0636D2A4" w14:textId="77777777">
        <w:trPr>
          <w:trHeight w:val="397"/>
          <w:jc w:val="center"/>
        </w:trPr>
        <w:tc>
          <w:tcPr>
            <w:tcW w:w="774" w:type="pct"/>
            <w:shd w:val="clear" w:color="auto" w:fill="auto"/>
            <w:vAlign w:val="center"/>
          </w:tcPr>
          <w:p w14:paraId="5312B59D"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Q19-HE30</w:t>
            </w:r>
          </w:p>
        </w:tc>
        <w:tc>
          <w:tcPr>
            <w:tcW w:w="982" w:type="pct"/>
            <w:shd w:val="clear" w:color="auto" w:fill="auto"/>
            <w:vAlign w:val="center"/>
          </w:tcPr>
          <w:p w14:paraId="0FCE1F2E"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合肥海尔玻璃门输送线</w:t>
            </w:r>
          </w:p>
        </w:tc>
        <w:tc>
          <w:tcPr>
            <w:tcW w:w="558" w:type="pct"/>
            <w:shd w:val="clear" w:color="auto" w:fill="auto"/>
            <w:vAlign w:val="center"/>
          </w:tcPr>
          <w:p w14:paraId="718EE4B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651" w:type="pct"/>
            <w:shd w:val="clear" w:color="auto" w:fill="auto"/>
            <w:vAlign w:val="center"/>
          </w:tcPr>
          <w:p w14:paraId="11E8A1B0"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个月</w:t>
            </w:r>
          </w:p>
        </w:tc>
        <w:tc>
          <w:tcPr>
            <w:tcW w:w="569" w:type="pct"/>
            <w:vAlign w:val="center"/>
          </w:tcPr>
          <w:p w14:paraId="248F9DC1"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月</w:t>
            </w:r>
          </w:p>
        </w:tc>
        <w:tc>
          <w:tcPr>
            <w:tcW w:w="1466" w:type="pct"/>
            <w:vAlign w:val="center"/>
          </w:tcPr>
          <w:p w14:paraId="34A3AD2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受到疫情影响，未能正常开工。该项目于</w:t>
            </w:r>
            <w:r>
              <w:rPr>
                <w:rFonts w:ascii="Times New Roman" w:hAnsi="Times New Roman" w:cs="Times New Roman"/>
                <w:color w:val="000000"/>
                <w:sz w:val="21"/>
                <w:szCs w:val="21"/>
              </w:rPr>
              <w:t>2020</w:t>
            </w:r>
            <w:r>
              <w:rPr>
                <w:rFonts w:ascii="Times New Roman" w:hAnsi="Times New Roman" w:cs="Times New Roman"/>
                <w:color w:val="000000"/>
                <w:sz w:val="21"/>
                <w:szCs w:val="21"/>
              </w:rPr>
              <w:t>年</w:t>
            </w:r>
            <w:r>
              <w:rPr>
                <w:rFonts w:ascii="Times New Roman" w:hAnsi="Times New Roman" w:cs="Times New Roman"/>
                <w:color w:val="000000"/>
                <w:sz w:val="21"/>
                <w:szCs w:val="21"/>
              </w:rPr>
              <w:t>9</w:t>
            </w:r>
            <w:r>
              <w:rPr>
                <w:rFonts w:ascii="Times New Roman" w:hAnsi="Times New Roman" w:cs="Times New Roman"/>
                <w:color w:val="000000"/>
                <w:sz w:val="21"/>
                <w:szCs w:val="21"/>
              </w:rPr>
              <w:t>月恢复施工，考虑疫情影响后该项目约定工期与验收时间相符。</w:t>
            </w:r>
          </w:p>
        </w:tc>
      </w:tr>
      <w:tr w:rsidR="000A0ACD" w14:paraId="0978AF02" w14:textId="77777777">
        <w:trPr>
          <w:trHeight w:val="397"/>
          <w:jc w:val="center"/>
        </w:trPr>
        <w:tc>
          <w:tcPr>
            <w:tcW w:w="774" w:type="pct"/>
            <w:shd w:val="clear" w:color="auto" w:fill="auto"/>
            <w:vAlign w:val="center"/>
          </w:tcPr>
          <w:p w14:paraId="003BA1C4"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Q20-HE14</w:t>
            </w:r>
          </w:p>
        </w:tc>
        <w:tc>
          <w:tcPr>
            <w:tcW w:w="982" w:type="pct"/>
            <w:shd w:val="clear" w:color="auto" w:fill="auto"/>
            <w:vAlign w:val="center"/>
          </w:tcPr>
          <w:p w14:paraId="0AB99AEC"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佛山门壳压力机连线</w:t>
            </w:r>
          </w:p>
        </w:tc>
        <w:tc>
          <w:tcPr>
            <w:tcW w:w="558" w:type="pct"/>
            <w:shd w:val="clear" w:color="auto" w:fill="auto"/>
            <w:vAlign w:val="center"/>
          </w:tcPr>
          <w:p w14:paraId="0D79047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7</w:t>
            </w:r>
            <w:r>
              <w:rPr>
                <w:rFonts w:ascii="Times New Roman" w:hAnsi="Times New Roman" w:cs="Times New Roman" w:hint="eastAsia"/>
                <w:sz w:val="21"/>
                <w:szCs w:val="21"/>
              </w:rPr>
              <w:t>月</w:t>
            </w:r>
          </w:p>
        </w:tc>
        <w:tc>
          <w:tcPr>
            <w:tcW w:w="651" w:type="pct"/>
            <w:shd w:val="clear" w:color="auto" w:fill="auto"/>
            <w:vAlign w:val="center"/>
          </w:tcPr>
          <w:p w14:paraId="76ADEC7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10</w:t>
            </w:r>
            <w:r>
              <w:rPr>
                <w:rFonts w:ascii="Times New Roman" w:hAnsi="Times New Roman" w:cs="Times New Roman" w:hint="eastAsia"/>
                <w:sz w:val="21"/>
                <w:szCs w:val="21"/>
              </w:rPr>
              <w:t>月</w:t>
            </w:r>
            <w:r>
              <w:rPr>
                <w:rFonts w:ascii="Times New Roman" w:hAnsi="Times New Roman" w:cs="Times New Roman" w:hint="eastAsia"/>
                <w:sz w:val="21"/>
                <w:szCs w:val="21"/>
              </w:rPr>
              <w:t>1</w:t>
            </w:r>
            <w:r>
              <w:rPr>
                <w:rFonts w:ascii="Times New Roman" w:hAnsi="Times New Roman" w:cs="Times New Roman" w:hint="eastAsia"/>
                <w:sz w:val="21"/>
                <w:szCs w:val="21"/>
              </w:rPr>
              <w:t>日</w:t>
            </w:r>
          </w:p>
        </w:tc>
        <w:tc>
          <w:tcPr>
            <w:tcW w:w="569" w:type="pct"/>
            <w:vAlign w:val="center"/>
          </w:tcPr>
          <w:p w14:paraId="0955839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月</w:t>
            </w:r>
          </w:p>
        </w:tc>
        <w:tc>
          <w:tcPr>
            <w:tcW w:w="1466" w:type="pct"/>
            <w:vAlign w:val="center"/>
          </w:tcPr>
          <w:p w14:paraId="30A6C8F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相符</w:t>
            </w:r>
          </w:p>
        </w:tc>
      </w:tr>
      <w:tr w:rsidR="000A0ACD" w14:paraId="3275B9CD" w14:textId="77777777">
        <w:trPr>
          <w:trHeight w:val="397"/>
          <w:jc w:val="center"/>
        </w:trPr>
        <w:tc>
          <w:tcPr>
            <w:tcW w:w="774" w:type="pct"/>
            <w:shd w:val="clear" w:color="auto" w:fill="auto"/>
            <w:vAlign w:val="center"/>
          </w:tcPr>
          <w:p w14:paraId="75DE9C31" w14:textId="77777777" w:rsidR="000A0ACD" w:rsidRDefault="00362A99">
            <w:pPr>
              <w:rPr>
                <w:rFonts w:ascii="Times New Roman" w:hAnsi="Times New Roman" w:cs="Times New Roman"/>
                <w:sz w:val="21"/>
                <w:szCs w:val="21"/>
                <w:highlight w:val="yellow"/>
              </w:rPr>
            </w:pPr>
            <w:r>
              <w:rPr>
                <w:rFonts w:ascii="Times New Roman" w:hAnsi="Times New Roman" w:cs="Times New Roman"/>
                <w:sz w:val="21"/>
                <w:szCs w:val="21"/>
              </w:rPr>
              <w:t>Q19-HE16</w:t>
            </w:r>
          </w:p>
        </w:tc>
        <w:tc>
          <w:tcPr>
            <w:tcW w:w="982" w:type="pct"/>
            <w:shd w:val="clear" w:color="auto" w:fill="auto"/>
            <w:vAlign w:val="center"/>
          </w:tcPr>
          <w:p w14:paraId="781AF40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洗碗机自动吹水设备</w:t>
            </w:r>
          </w:p>
        </w:tc>
        <w:tc>
          <w:tcPr>
            <w:tcW w:w="558" w:type="pct"/>
            <w:shd w:val="clear" w:color="auto" w:fill="auto"/>
            <w:vAlign w:val="center"/>
          </w:tcPr>
          <w:p w14:paraId="3D1127BB"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651" w:type="pct"/>
            <w:shd w:val="clear" w:color="auto" w:fill="auto"/>
            <w:vAlign w:val="center"/>
          </w:tcPr>
          <w:p w14:paraId="562E13C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个月</w:t>
            </w:r>
          </w:p>
        </w:tc>
        <w:tc>
          <w:tcPr>
            <w:tcW w:w="569" w:type="pct"/>
            <w:vAlign w:val="center"/>
          </w:tcPr>
          <w:p w14:paraId="40B91015"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11</w:t>
            </w:r>
            <w:r>
              <w:rPr>
                <w:rFonts w:ascii="Times New Roman" w:hAnsi="Times New Roman" w:cs="Times New Roman" w:hint="eastAsia"/>
                <w:sz w:val="21"/>
                <w:szCs w:val="21"/>
              </w:rPr>
              <w:t>月</w:t>
            </w:r>
          </w:p>
        </w:tc>
        <w:tc>
          <w:tcPr>
            <w:tcW w:w="1466" w:type="pct"/>
            <w:vAlign w:val="center"/>
          </w:tcPr>
          <w:p w14:paraId="16AAD338"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由于受到疫情影响，未能正常开工。该项目于</w:t>
            </w:r>
            <w:r>
              <w:rPr>
                <w:rFonts w:ascii="Times New Roman" w:hAnsi="Times New Roman" w:cs="Times New Roman"/>
                <w:sz w:val="21"/>
                <w:szCs w:val="21"/>
              </w:rPr>
              <w:t>2020</w:t>
            </w:r>
            <w:r>
              <w:rPr>
                <w:rFonts w:ascii="Times New Roman" w:hAnsi="Times New Roman" w:cs="Times New Roman"/>
                <w:sz w:val="21"/>
                <w:szCs w:val="21"/>
              </w:rPr>
              <w:t>年</w:t>
            </w:r>
            <w:r>
              <w:rPr>
                <w:rFonts w:ascii="Times New Roman" w:hAnsi="Times New Roman" w:cs="Times New Roman"/>
                <w:sz w:val="21"/>
                <w:szCs w:val="21"/>
              </w:rPr>
              <w:t>10</w:t>
            </w:r>
            <w:r>
              <w:rPr>
                <w:rFonts w:ascii="Times New Roman" w:hAnsi="Times New Roman" w:cs="Times New Roman"/>
                <w:sz w:val="21"/>
                <w:szCs w:val="21"/>
              </w:rPr>
              <w:t>月开始施工，于</w:t>
            </w:r>
            <w:r>
              <w:rPr>
                <w:rFonts w:ascii="Times New Roman" w:hAnsi="Times New Roman" w:cs="Times New Roman"/>
                <w:sz w:val="21"/>
                <w:szCs w:val="21"/>
              </w:rPr>
              <w:t>2020</w:t>
            </w:r>
            <w:r>
              <w:rPr>
                <w:rFonts w:ascii="Times New Roman" w:hAnsi="Times New Roman" w:cs="Times New Roman"/>
                <w:sz w:val="21"/>
                <w:szCs w:val="21"/>
              </w:rPr>
              <w:t>年</w:t>
            </w:r>
            <w:r>
              <w:rPr>
                <w:rFonts w:ascii="Times New Roman" w:hAnsi="Times New Roman" w:cs="Times New Roman"/>
                <w:sz w:val="21"/>
                <w:szCs w:val="21"/>
              </w:rPr>
              <w:t>11</w:t>
            </w:r>
            <w:r>
              <w:rPr>
                <w:rFonts w:ascii="Times New Roman" w:hAnsi="Times New Roman" w:cs="Times New Roman"/>
                <w:sz w:val="21"/>
                <w:szCs w:val="21"/>
              </w:rPr>
              <w:t>月完成验收，考虑疫情影响后该项目约定工期与验收时间相符</w:t>
            </w:r>
          </w:p>
        </w:tc>
      </w:tr>
      <w:tr w:rsidR="000A0ACD" w14:paraId="3CADB0FD" w14:textId="77777777">
        <w:trPr>
          <w:trHeight w:val="397"/>
          <w:jc w:val="center"/>
        </w:trPr>
        <w:tc>
          <w:tcPr>
            <w:tcW w:w="774" w:type="pct"/>
            <w:shd w:val="clear" w:color="auto" w:fill="auto"/>
            <w:vAlign w:val="center"/>
          </w:tcPr>
          <w:p w14:paraId="6965B8A0"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Q20-HE13</w:t>
            </w:r>
          </w:p>
        </w:tc>
        <w:tc>
          <w:tcPr>
            <w:tcW w:w="982" w:type="pct"/>
            <w:shd w:val="clear" w:color="auto" w:fill="auto"/>
            <w:vAlign w:val="center"/>
          </w:tcPr>
          <w:p w14:paraId="7E68B314"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沈阳冰箱机器人冲压连线</w:t>
            </w:r>
          </w:p>
        </w:tc>
        <w:tc>
          <w:tcPr>
            <w:tcW w:w="558" w:type="pct"/>
            <w:shd w:val="clear" w:color="auto" w:fill="auto"/>
            <w:vAlign w:val="center"/>
          </w:tcPr>
          <w:p w14:paraId="11AB081F"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7</w:t>
            </w:r>
            <w:r>
              <w:rPr>
                <w:rFonts w:ascii="Times New Roman" w:hAnsi="Times New Roman" w:cs="Times New Roman" w:hint="eastAsia"/>
                <w:sz w:val="21"/>
                <w:szCs w:val="21"/>
              </w:rPr>
              <w:t>月</w:t>
            </w:r>
          </w:p>
        </w:tc>
        <w:tc>
          <w:tcPr>
            <w:tcW w:w="651" w:type="pct"/>
            <w:shd w:val="clear" w:color="auto" w:fill="auto"/>
            <w:vAlign w:val="center"/>
          </w:tcPr>
          <w:p w14:paraId="6963387E"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Align w:val="center"/>
          </w:tcPr>
          <w:p w14:paraId="1E7B328F"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月</w:t>
            </w:r>
          </w:p>
        </w:tc>
        <w:tc>
          <w:tcPr>
            <w:tcW w:w="1466" w:type="pct"/>
            <w:vAlign w:val="center"/>
          </w:tcPr>
          <w:p w14:paraId="774F6A4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相符</w:t>
            </w:r>
          </w:p>
        </w:tc>
      </w:tr>
      <w:tr w:rsidR="000A0ACD" w14:paraId="035F2FBB" w14:textId="77777777">
        <w:trPr>
          <w:trHeight w:val="397"/>
          <w:jc w:val="center"/>
        </w:trPr>
        <w:tc>
          <w:tcPr>
            <w:tcW w:w="774" w:type="pct"/>
            <w:shd w:val="clear" w:color="auto" w:fill="auto"/>
            <w:vAlign w:val="center"/>
          </w:tcPr>
          <w:p w14:paraId="6E6BA98E"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Q20-HE12</w:t>
            </w:r>
          </w:p>
        </w:tc>
        <w:tc>
          <w:tcPr>
            <w:tcW w:w="982" w:type="pct"/>
            <w:shd w:val="clear" w:color="auto" w:fill="auto"/>
            <w:vAlign w:val="center"/>
          </w:tcPr>
          <w:p w14:paraId="3354B00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合肥冰箱门壳压力机</w:t>
            </w:r>
          </w:p>
        </w:tc>
        <w:tc>
          <w:tcPr>
            <w:tcW w:w="558" w:type="pct"/>
            <w:shd w:val="clear" w:color="auto" w:fill="auto"/>
            <w:vAlign w:val="center"/>
          </w:tcPr>
          <w:p w14:paraId="52F12DA5" w14:textId="77777777" w:rsidR="000A0ACD" w:rsidRDefault="00362A99">
            <w:pPr>
              <w:wordWrap w:val="0"/>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6</w:t>
            </w:r>
            <w:r>
              <w:rPr>
                <w:rFonts w:ascii="Times New Roman" w:hAnsi="Times New Roman" w:cs="Times New Roman" w:hint="eastAsia"/>
                <w:sz w:val="21"/>
                <w:szCs w:val="21"/>
              </w:rPr>
              <w:t>月</w:t>
            </w:r>
          </w:p>
        </w:tc>
        <w:tc>
          <w:tcPr>
            <w:tcW w:w="651" w:type="pct"/>
            <w:shd w:val="clear" w:color="auto" w:fill="auto"/>
            <w:vAlign w:val="center"/>
          </w:tcPr>
          <w:p w14:paraId="0970E285"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4</w:t>
            </w:r>
            <w:r>
              <w:rPr>
                <w:rFonts w:ascii="Times New Roman" w:hAnsi="Times New Roman" w:cs="Times New Roman" w:hint="eastAsia"/>
                <w:sz w:val="21"/>
                <w:szCs w:val="21"/>
              </w:rPr>
              <w:t>个月</w:t>
            </w:r>
          </w:p>
        </w:tc>
        <w:tc>
          <w:tcPr>
            <w:tcW w:w="569" w:type="pct"/>
            <w:vAlign w:val="center"/>
          </w:tcPr>
          <w:p w14:paraId="4AAEB80C"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月</w:t>
            </w:r>
          </w:p>
        </w:tc>
        <w:tc>
          <w:tcPr>
            <w:tcW w:w="1466" w:type="pct"/>
            <w:vAlign w:val="center"/>
          </w:tcPr>
          <w:p w14:paraId="2BD772E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相符</w:t>
            </w:r>
          </w:p>
        </w:tc>
      </w:tr>
      <w:tr w:rsidR="000A0ACD" w14:paraId="460D72D4" w14:textId="77777777">
        <w:trPr>
          <w:trHeight w:val="397"/>
          <w:jc w:val="center"/>
        </w:trPr>
        <w:tc>
          <w:tcPr>
            <w:tcW w:w="774" w:type="pct"/>
            <w:shd w:val="clear" w:color="auto" w:fill="auto"/>
            <w:vAlign w:val="center"/>
          </w:tcPr>
          <w:p w14:paraId="75B6D46C"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Q20-HE16</w:t>
            </w:r>
          </w:p>
        </w:tc>
        <w:tc>
          <w:tcPr>
            <w:tcW w:w="982" w:type="pct"/>
            <w:shd w:val="clear" w:color="auto" w:fill="auto"/>
            <w:vAlign w:val="center"/>
          </w:tcPr>
          <w:p w14:paraId="02003BFC"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中德冰箱自动上压机</w:t>
            </w:r>
          </w:p>
        </w:tc>
        <w:tc>
          <w:tcPr>
            <w:tcW w:w="558" w:type="pct"/>
            <w:shd w:val="clear" w:color="auto" w:fill="auto"/>
            <w:vAlign w:val="center"/>
          </w:tcPr>
          <w:p w14:paraId="5E09D2B1"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39E4A738"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个月</w:t>
            </w:r>
          </w:p>
        </w:tc>
        <w:tc>
          <w:tcPr>
            <w:tcW w:w="569" w:type="pct"/>
            <w:vAlign w:val="center"/>
          </w:tcPr>
          <w:p w14:paraId="13EFF4C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月</w:t>
            </w:r>
          </w:p>
        </w:tc>
        <w:tc>
          <w:tcPr>
            <w:tcW w:w="1466" w:type="pct"/>
            <w:vAlign w:val="center"/>
          </w:tcPr>
          <w:p w14:paraId="778F0DB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相符</w:t>
            </w:r>
          </w:p>
        </w:tc>
      </w:tr>
      <w:tr w:rsidR="000A0ACD" w14:paraId="7210E650" w14:textId="77777777">
        <w:trPr>
          <w:trHeight w:val="397"/>
          <w:jc w:val="center"/>
        </w:trPr>
        <w:tc>
          <w:tcPr>
            <w:tcW w:w="774" w:type="pct"/>
            <w:shd w:val="clear" w:color="auto" w:fill="auto"/>
            <w:vAlign w:val="center"/>
          </w:tcPr>
          <w:p w14:paraId="0CFB10F3"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Q20-HE02</w:t>
            </w:r>
          </w:p>
        </w:tc>
        <w:tc>
          <w:tcPr>
            <w:tcW w:w="982" w:type="pct"/>
            <w:shd w:val="clear" w:color="auto" w:fill="auto"/>
            <w:vAlign w:val="center"/>
          </w:tcPr>
          <w:p w14:paraId="16C5FD44"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黄岛空调外机总装线</w:t>
            </w:r>
          </w:p>
        </w:tc>
        <w:tc>
          <w:tcPr>
            <w:tcW w:w="558" w:type="pct"/>
            <w:shd w:val="clear" w:color="auto" w:fill="auto"/>
            <w:vAlign w:val="center"/>
          </w:tcPr>
          <w:p w14:paraId="4491DC04"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651" w:type="pct"/>
            <w:shd w:val="clear" w:color="auto" w:fill="auto"/>
            <w:vAlign w:val="center"/>
          </w:tcPr>
          <w:p w14:paraId="2AB255C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4</w:t>
            </w:r>
            <w:r>
              <w:rPr>
                <w:rFonts w:ascii="Times New Roman" w:hAnsi="Times New Roman" w:cs="Times New Roman" w:hint="eastAsia"/>
                <w:sz w:val="21"/>
                <w:szCs w:val="21"/>
              </w:rPr>
              <w:t>个月</w:t>
            </w:r>
          </w:p>
        </w:tc>
        <w:tc>
          <w:tcPr>
            <w:tcW w:w="569" w:type="pct"/>
            <w:vAlign w:val="center"/>
          </w:tcPr>
          <w:p w14:paraId="16918258"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月</w:t>
            </w:r>
          </w:p>
        </w:tc>
        <w:tc>
          <w:tcPr>
            <w:tcW w:w="1466" w:type="pct"/>
            <w:vAlign w:val="center"/>
          </w:tcPr>
          <w:p w14:paraId="674235A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受到疫情影响，未能正常开工。该项目于</w:t>
            </w:r>
            <w:r>
              <w:rPr>
                <w:rFonts w:ascii="Times New Roman" w:hAnsi="Times New Roman" w:cs="Times New Roman"/>
                <w:color w:val="000000"/>
                <w:sz w:val="21"/>
                <w:szCs w:val="21"/>
              </w:rPr>
              <w:t>2020</w:t>
            </w:r>
            <w:r>
              <w:rPr>
                <w:rFonts w:ascii="Times New Roman" w:hAnsi="Times New Roman" w:cs="Times New Roman"/>
                <w:color w:val="000000"/>
                <w:sz w:val="21"/>
                <w:szCs w:val="21"/>
              </w:rPr>
              <w:t>年</w:t>
            </w:r>
            <w:r>
              <w:rPr>
                <w:rFonts w:ascii="Times New Roman" w:hAnsi="Times New Roman" w:cs="Times New Roman"/>
                <w:color w:val="000000"/>
                <w:sz w:val="21"/>
                <w:szCs w:val="21"/>
              </w:rPr>
              <w:t>9</w:t>
            </w:r>
            <w:r>
              <w:rPr>
                <w:rFonts w:ascii="Times New Roman" w:hAnsi="Times New Roman" w:cs="Times New Roman"/>
                <w:color w:val="000000"/>
                <w:sz w:val="21"/>
                <w:szCs w:val="21"/>
              </w:rPr>
              <w:t>月开始施工，于</w:t>
            </w:r>
            <w:r>
              <w:rPr>
                <w:rFonts w:ascii="Times New Roman" w:hAnsi="Times New Roman" w:cs="Times New Roman"/>
                <w:color w:val="000000"/>
                <w:sz w:val="21"/>
                <w:szCs w:val="21"/>
              </w:rPr>
              <w:t>2020</w:t>
            </w:r>
            <w:r>
              <w:rPr>
                <w:rFonts w:ascii="Times New Roman" w:hAnsi="Times New Roman" w:cs="Times New Roman"/>
                <w:color w:val="000000"/>
                <w:sz w:val="21"/>
                <w:szCs w:val="21"/>
              </w:rPr>
              <w:t>年</w:t>
            </w:r>
            <w:r>
              <w:rPr>
                <w:rFonts w:ascii="Times New Roman" w:hAnsi="Times New Roman" w:cs="Times New Roman"/>
                <w:color w:val="000000"/>
                <w:sz w:val="21"/>
                <w:szCs w:val="21"/>
              </w:rPr>
              <w:t>12</w:t>
            </w:r>
            <w:r>
              <w:rPr>
                <w:rFonts w:ascii="Times New Roman" w:hAnsi="Times New Roman" w:cs="Times New Roman"/>
                <w:color w:val="000000"/>
                <w:sz w:val="21"/>
                <w:szCs w:val="21"/>
              </w:rPr>
              <w:t>月完成验收，考虑疫情影响后该项目约定工期与验收时间相符。</w:t>
            </w:r>
          </w:p>
        </w:tc>
      </w:tr>
      <w:tr w:rsidR="000A0ACD" w14:paraId="5D95D3B5" w14:textId="77777777">
        <w:trPr>
          <w:trHeight w:val="397"/>
          <w:jc w:val="center"/>
        </w:trPr>
        <w:tc>
          <w:tcPr>
            <w:tcW w:w="774" w:type="pct"/>
            <w:shd w:val="clear" w:color="auto" w:fill="auto"/>
            <w:vAlign w:val="center"/>
          </w:tcPr>
          <w:p w14:paraId="0D607012"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Q20-AKM04</w:t>
            </w:r>
          </w:p>
        </w:tc>
        <w:tc>
          <w:tcPr>
            <w:tcW w:w="982" w:type="pct"/>
            <w:shd w:val="clear" w:color="auto" w:fill="auto"/>
            <w:vAlign w:val="center"/>
          </w:tcPr>
          <w:p w14:paraId="47B81052"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信息化硬件</w:t>
            </w:r>
          </w:p>
        </w:tc>
        <w:tc>
          <w:tcPr>
            <w:tcW w:w="558" w:type="pct"/>
            <w:shd w:val="clear" w:color="auto" w:fill="auto"/>
            <w:vAlign w:val="center"/>
          </w:tcPr>
          <w:p w14:paraId="7B56F2F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51B35A5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Merge w:val="restart"/>
            <w:vAlign w:val="center"/>
          </w:tcPr>
          <w:p w14:paraId="689CFA5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1466" w:type="pct"/>
            <w:vMerge w:val="restart"/>
            <w:vAlign w:val="center"/>
          </w:tcPr>
          <w:p w14:paraId="693CD3C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相符</w:t>
            </w:r>
          </w:p>
        </w:tc>
      </w:tr>
      <w:tr w:rsidR="000A0ACD" w14:paraId="43EA9D3E" w14:textId="77777777">
        <w:trPr>
          <w:trHeight w:val="397"/>
          <w:jc w:val="center"/>
        </w:trPr>
        <w:tc>
          <w:tcPr>
            <w:tcW w:w="774" w:type="pct"/>
            <w:shd w:val="clear" w:color="auto" w:fill="auto"/>
            <w:vAlign w:val="center"/>
          </w:tcPr>
          <w:p w14:paraId="57E7B319"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Q20-AKM04</w:t>
            </w:r>
          </w:p>
        </w:tc>
        <w:tc>
          <w:tcPr>
            <w:tcW w:w="982" w:type="pct"/>
            <w:shd w:val="clear" w:color="auto" w:fill="auto"/>
            <w:vAlign w:val="center"/>
          </w:tcPr>
          <w:p w14:paraId="6ECEB8F2"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SCADA</w:t>
            </w:r>
            <w:r>
              <w:rPr>
                <w:rFonts w:ascii="Times New Roman" w:hAnsi="Times New Roman" w:cs="Times New Roman" w:hint="eastAsia"/>
                <w:sz w:val="21"/>
                <w:szCs w:val="21"/>
              </w:rPr>
              <w:t>系统</w:t>
            </w:r>
          </w:p>
        </w:tc>
        <w:tc>
          <w:tcPr>
            <w:tcW w:w="558" w:type="pct"/>
            <w:shd w:val="clear" w:color="auto" w:fill="auto"/>
            <w:vAlign w:val="center"/>
          </w:tcPr>
          <w:p w14:paraId="0B9A073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2F1380A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Merge/>
          </w:tcPr>
          <w:p w14:paraId="1A3B5EF0" w14:textId="77777777" w:rsidR="000A0ACD" w:rsidRDefault="000A0ACD">
            <w:pPr>
              <w:jc w:val="right"/>
              <w:rPr>
                <w:rFonts w:ascii="Times New Roman" w:hAnsi="Times New Roman" w:cs="Times New Roman"/>
                <w:sz w:val="21"/>
                <w:szCs w:val="21"/>
              </w:rPr>
            </w:pPr>
          </w:p>
        </w:tc>
        <w:tc>
          <w:tcPr>
            <w:tcW w:w="1466" w:type="pct"/>
            <w:vMerge/>
          </w:tcPr>
          <w:p w14:paraId="72B5CF9D" w14:textId="77777777" w:rsidR="000A0ACD" w:rsidRDefault="000A0ACD">
            <w:pPr>
              <w:jc w:val="right"/>
              <w:rPr>
                <w:rFonts w:ascii="Times New Roman" w:hAnsi="Times New Roman" w:cs="Times New Roman"/>
                <w:sz w:val="21"/>
                <w:szCs w:val="21"/>
              </w:rPr>
            </w:pPr>
          </w:p>
        </w:tc>
      </w:tr>
      <w:tr w:rsidR="000A0ACD" w14:paraId="4677DE2B" w14:textId="77777777">
        <w:trPr>
          <w:trHeight w:val="397"/>
          <w:jc w:val="center"/>
        </w:trPr>
        <w:tc>
          <w:tcPr>
            <w:tcW w:w="774" w:type="pct"/>
            <w:shd w:val="clear" w:color="auto" w:fill="auto"/>
            <w:vAlign w:val="center"/>
          </w:tcPr>
          <w:p w14:paraId="1A9F19E2"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Q20-AKM04</w:t>
            </w:r>
          </w:p>
        </w:tc>
        <w:tc>
          <w:tcPr>
            <w:tcW w:w="982" w:type="pct"/>
            <w:shd w:val="clear" w:color="auto" w:fill="auto"/>
            <w:vAlign w:val="center"/>
          </w:tcPr>
          <w:p w14:paraId="64B0BC14"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MES</w:t>
            </w:r>
            <w:r>
              <w:rPr>
                <w:rFonts w:ascii="Times New Roman" w:hAnsi="Times New Roman" w:cs="Times New Roman" w:hint="eastAsia"/>
                <w:sz w:val="21"/>
                <w:szCs w:val="21"/>
              </w:rPr>
              <w:t>系统</w:t>
            </w:r>
          </w:p>
        </w:tc>
        <w:tc>
          <w:tcPr>
            <w:tcW w:w="558" w:type="pct"/>
            <w:shd w:val="clear" w:color="auto" w:fill="auto"/>
            <w:vAlign w:val="center"/>
          </w:tcPr>
          <w:p w14:paraId="6B2C4852"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1CDF51B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Merge/>
          </w:tcPr>
          <w:p w14:paraId="3E4E06AF" w14:textId="77777777" w:rsidR="000A0ACD" w:rsidRDefault="000A0ACD">
            <w:pPr>
              <w:jc w:val="right"/>
              <w:rPr>
                <w:rFonts w:ascii="Times New Roman" w:hAnsi="Times New Roman" w:cs="Times New Roman"/>
                <w:sz w:val="21"/>
                <w:szCs w:val="21"/>
              </w:rPr>
            </w:pPr>
          </w:p>
        </w:tc>
        <w:tc>
          <w:tcPr>
            <w:tcW w:w="1466" w:type="pct"/>
            <w:vMerge/>
          </w:tcPr>
          <w:p w14:paraId="52634C6D" w14:textId="77777777" w:rsidR="000A0ACD" w:rsidRDefault="000A0ACD">
            <w:pPr>
              <w:jc w:val="right"/>
              <w:rPr>
                <w:rFonts w:ascii="Times New Roman" w:hAnsi="Times New Roman" w:cs="Times New Roman"/>
                <w:sz w:val="21"/>
                <w:szCs w:val="21"/>
              </w:rPr>
            </w:pPr>
          </w:p>
        </w:tc>
      </w:tr>
      <w:tr w:rsidR="000A0ACD" w14:paraId="720AD776" w14:textId="77777777">
        <w:trPr>
          <w:trHeight w:val="397"/>
          <w:jc w:val="center"/>
        </w:trPr>
        <w:tc>
          <w:tcPr>
            <w:tcW w:w="774" w:type="pct"/>
            <w:shd w:val="clear" w:color="auto" w:fill="auto"/>
            <w:vAlign w:val="center"/>
          </w:tcPr>
          <w:p w14:paraId="7F92F906"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Q20-AKM04</w:t>
            </w:r>
          </w:p>
        </w:tc>
        <w:tc>
          <w:tcPr>
            <w:tcW w:w="982" w:type="pct"/>
            <w:shd w:val="clear" w:color="auto" w:fill="auto"/>
            <w:vAlign w:val="center"/>
          </w:tcPr>
          <w:p w14:paraId="4468607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PLM</w:t>
            </w:r>
            <w:r>
              <w:rPr>
                <w:rFonts w:ascii="Times New Roman" w:hAnsi="Times New Roman" w:cs="Times New Roman" w:hint="eastAsia"/>
                <w:sz w:val="21"/>
                <w:szCs w:val="21"/>
              </w:rPr>
              <w:t>及仿真系统</w:t>
            </w:r>
          </w:p>
        </w:tc>
        <w:tc>
          <w:tcPr>
            <w:tcW w:w="558" w:type="pct"/>
            <w:shd w:val="clear" w:color="auto" w:fill="auto"/>
            <w:vAlign w:val="center"/>
          </w:tcPr>
          <w:p w14:paraId="734A078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7A10A740"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Merge/>
          </w:tcPr>
          <w:p w14:paraId="6BED4C57" w14:textId="77777777" w:rsidR="000A0ACD" w:rsidRDefault="000A0ACD">
            <w:pPr>
              <w:jc w:val="right"/>
              <w:rPr>
                <w:rFonts w:ascii="Times New Roman" w:hAnsi="Times New Roman" w:cs="Times New Roman"/>
                <w:sz w:val="21"/>
                <w:szCs w:val="21"/>
              </w:rPr>
            </w:pPr>
          </w:p>
        </w:tc>
        <w:tc>
          <w:tcPr>
            <w:tcW w:w="1466" w:type="pct"/>
            <w:vMerge/>
          </w:tcPr>
          <w:p w14:paraId="09969CD2" w14:textId="77777777" w:rsidR="000A0ACD" w:rsidRDefault="000A0ACD">
            <w:pPr>
              <w:jc w:val="right"/>
              <w:rPr>
                <w:rFonts w:ascii="Times New Roman" w:hAnsi="Times New Roman" w:cs="Times New Roman"/>
                <w:sz w:val="21"/>
                <w:szCs w:val="21"/>
              </w:rPr>
            </w:pPr>
          </w:p>
        </w:tc>
      </w:tr>
      <w:tr w:rsidR="000A0ACD" w14:paraId="4202474F" w14:textId="77777777">
        <w:trPr>
          <w:trHeight w:val="397"/>
          <w:jc w:val="center"/>
        </w:trPr>
        <w:tc>
          <w:tcPr>
            <w:tcW w:w="774" w:type="pct"/>
            <w:shd w:val="clear" w:color="auto" w:fill="auto"/>
            <w:vAlign w:val="center"/>
          </w:tcPr>
          <w:p w14:paraId="24F8CC65"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Q20-AKM04</w:t>
            </w:r>
          </w:p>
        </w:tc>
        <w:tc>
          <w:tcPr>
            <w:tcW w:w="982" w:type="pct"/>
            <w:shd w:val="clear" w:color="auto" w:fill="auto"/>
            <w:vAlign w:val="center"/>
          </w:tcPr>
          <w:p w14:paraId="77C60259"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工业互联网平台</w:t>
            </w:r>
          </w:p>
        </w:tc>
        <w:tc>
          <w:tcPr>
            <w:tcW w:w="558" w:type="pct"/>
            <w:shd w:val="clear" w:color="auto" w:fill="auto"/>
            <w:vAlign w:val="center"/>
          </w:tcPr>
          <w:p w14:paraId="0255115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1487C82C"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Merge/>
          </w:tcPr>
          <w:p w14:paraId="3816F9FB" w14:textId="77777777" w:rsidR="000A0ACD" w:rsidRDefault="000A0ACD">
            <w:pPr>
              <w:jc w:val="right"/>
              <w:rPr>
                <w:rFonts w:ascii="Times New Roman" w:hAnsi="Times New Roman" w:cs="Times New Roman"/>
                <w:sz w:val="21"/>
                <w:szCs w:val="21"/>
              </w:rPr>
            </w:pPr>
          </w:p>
        </w:tc>
        <w:tc>
          <w:tcPr>
            <w:tcW w:w="1466" w:type="pct"/>
            <w:vMerge/>
          </w:tcPr>
          <w:p w14:paraId="6480F34A" w14:textId="77777777" w:rsidR="000A0ACD" w:rsidRDefault="000A0ACD">
            <w:pPr>
              <w:jc w:val="right"/>
              <w:rPr>
                <w:rFonts w:ascii="Times New Roman" w:hAnsi="Times New Roman" w:cs="Times New Roman"/>
                <w:sz w:val="21"/>
                <w:szCs w:val="21"/>
              </w:rPr>
            </w:pPr>
          </w:p>
        </w:tc>
      </w:tr>
    </w:tbl>
    <w:p w14:paraId="6C766AFA"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综上所述，北洋天青项目验收基本按照合同约定进行，且收入确认的账务处理时间为取得验收单的当月，不存在收入跨期的情形。</w:t>
      </w:r>
    </w:p>
    <w:p w14:paraId="15F2EB63"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三、补充披露情况</w:t>
      </w:r>
    </w:p>
    <w:p w14:paraId="233D0477"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管理层讨论与分析”之“三、标的公司报告期财务状况和经营成果的讨论分析”之“（二）盈利能力分析”进行了补充披露。</w:t>
      </w:r>
    </w:p>
    <w:p w14:paraId="76E1185A"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四、中介机构核查意见</w:t>
      </w:r>
    </w:p>
    <w:p w14:paraId="34702DB5"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核查，独立财务顾问和会计师认为：北洋天青以终验法作为收入确认的政策，以客户出具的验收单为收入确认的依据，根据验收单的时点作为收入确认的时点，符合企业会计准则的规定，不存在收入跨期的情形。</w:t>
      </w:r>
    </w:p>
    <w:p w14:paraId="4E9639B7" w14:textId="77777777" w:rsidR="000A0ACD" w:rsidRDefault="000A0ACD">
      <w:pPr>
        <w:pStyle w:val="afffff"/>
        <w:sectPr w:rsidR="000A0ACD">
          <w:pgSz w:w="11906" w:h="16838"/>
          <w:pgMar w:top="1440" w:right="1800" w:bottom="1440" w:left="1800" w:header="851" w:footer="992" w:gutter="0"/>
          <w:cols w:space="425"/>
          <w:docGrid w:type="lines" w:linePitch="312"/>
        </w:sectPr>
      </w:pPr>
      <w:bookmarkStart w:id="64" w:name="_Toc69256874"/>
      <w:bookmarkStart w:id="65" w:name="_Toc69256856"/>
    </w:p>
    <w:p w14:paraId="74310DD3" w14:textId="77777777" w:rsidR="000A0ACD" w:rsidRDefault="00362A99">
      <w:pPr>
        <w:pStyle w:val="afffff"/>
      </w:pPr>
      <w:r>
        <w:rPr>
          <w:rFonts w:hint="eastAsia"/>
        </w:rPr>
        <w:t>第九题</w:t>
      </w:r>
      <w:bookmarkEnd w:id="64"/>
      <w:bookmarkEnd w:id="65"/>
    </w:p>
    <w:p w14:paraId="18EC4A85"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申请文件显示，报告期内各期，标的资产毛利率分别为</w:t>
      </w:r>
      <w:r>
        <w:rPr>
          <w:rFonts w:ascii="Times New Roman" w:eastAsia="黑体" w:hAnsi="Times New Roman" w:cs="Times New Roman" w:hint="eastAsia"/>
          <w:b/>
          <w:color w:val="000000"/>
          <w:szCs w:val="21"/>
        </w:rPr>
        <w:t>32.63%</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33.06%</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26.69%</w:t>
      </w:r>
      <w:r>
        <w:rPr>
          <w:rFonts w:ascii="Times New Roman" w:eastAsia="黑体" w:hAnsi="Times New Roman" w:cs="Times New Roman" w:hint="eastAsia"/>
          <w:b/>
          <w:color w:val="000000"/>
          <w:szCs w:val="21"/>
        </w:rPr>
        <w:t>。其中，定制化集成业务的毛利率分别为</w:t>
      </w:r>
      <w:r>
        <w:rPr>
          <w:rFonts w:ascii="Times New Roman" w:eastAsia="黑体" w:hAnsi="Times New Roman" w:cs="Times New Roman" w:hint="eastAsia"/>
          <w:b/>
          <w:color w:val="000000"/>
          <w:szCs w:val="21"/>
        </w:rPr>
        <w:t>50.90%</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34.22%</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28.34%</w:t>
      </w:r>
      <w:r>
        <w:rPr>
          <w:rFonts w:ascii="Times New Roman" w:eastAsia="黑体" w:hAnsi="Times New Roman" w:cs="Times New Roman" w:hint="eastAsia"/>
          <w:b/>
          <w:color w:val="000000"/>
          <w:szCs w:val="21"/>
        </w:rPr>
        <w:t>，机器人及配套业务的毛利率分别为</w:t>
      </w:r>
      <w:r>
        <w:rPr>
          <w:rFonts w:ascii="Times New Roman" w:eastAsia="黑体" w:hAnsi="Times New Roman" w:cs="Times New Roman" w:hint="eastAsia"/>
          <w:b/>
          <w:color w:val="000000"/>
          <w:szCs w:val="21"/>
        </w:rPr>
        <w:t>29.51%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27.50%</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25.78%</w:t>
      </w:r>
      <w:r>
        <w:rPr>
          <w:rFonts w:ascii="Times New Roman" w:eastAsia="黑体" w:hAnsi="Times New Roman" w:cs="Times New Roman" w:hint="eastAsia"/>
          <w:b/>
          <w:color w:val="000000"/>
          <w:szCs w:val="21"/>
        </w:rPr>
        <w:t>。请你公司补充披露：</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）北洋天青定制化集成业务、机器人及配套业务毛利率持续下降的原因，是否表明行业竞争逐步加剧。</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）成本结转的准确性，是否与营业收入确认相匹配。请独立财务顾问和会计师核查并发表明确意见。</w:t>
      </w:r>
    </w:p>
    <w:p w14:paraId="3BF39553" w14:textId="77777777" w:rsidR="000A0ACD" w:rsidRDefault="00362A99">
      <w:pPr>
        <w:pStyle w:val="affffd"/>
        <w:spacing w:before="156"/>
        <w:ind w:firstLine="482"/>
        <w:rPr>
          <w:b/>
        </w:rPr>
      </w:pPr>
      <w:r>
        <w:rPr>
          <w:rFonts w:hint="eastAsia"/>
          <w:b/>
        </w:rPr>
        <w:t>【回复说明】</w:t>
      </w:r>
    </w:p>
    <w:p w14:paraId="0AB47629"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）北洋天青定制化集成业务、机器人及配套业务毛利率持续下降的原因，是否表明行业竞争逐步加剧。</w:t>
      </w:r>
    </w:p>
    <w:p w14:paraId="4825B0AD"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一、定制化集成业务毛利率持续下降的原因</w:t>
      </w:r>
    </w:p>
    <w:p w14:paraId="68F7B603"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bookmarkStart w:id="66" w:name="_Hlk68964342"/>
      <w:r>
        <w:rPr>
          <w:rFonts w:ascii="Times New Roman" w:hAnsi="Times New Roman" w:cs="Times New Roman" w:hint="eastAsia"/>
          <w:color w:val="000000"/>
          <w:lang w:val="en-GB"/>
        </w:rPr>
        <w:t>报告期内，标的公司定制化集成业务的毛利及毛利率情况如下：</w:t>
      </w:r>
    </w:p>
    <w:p w14:paraId="020E70C7"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05"/>
        <w:gridCol w:w="1069"/>
        <w:gridCol w:w="1070"/>
        <w:gridCol w:w="1069"/>
        <w:gridCol w:w="1070"/>
        <w:gridCol w:w="1069"/>
        <w:gridCol w:w="1070"/>
      </w:tblGrid>
      <w:tr w:rsidR="000A0ACD" w14:paraId="44991A7A" w14:textId="77777777">
        <w:trPr>
          <w:trHeight w:val="397"/>
          <w:tblHeader/>
          <w:jc w:val="center"/>
        </w:trPr>
        <w:tc>
          <w:tcPr>
            <w:tcW w:w="1235" w:type="pct"/>
            <w:vMerge w:val="restart"/>
            <w:tcBorders>
              <w:top w:val="single" w:sz="12" w:space="0" w:color="auto"/>
              <w:left w:val="nil"/>
              <w:bottom w:val="single" w:sz="4" w:space="0" w:color="auto"/>
              <w:right w:val="single" w:sz="4" w:space="0" w:color="auto"/>
            </w:tcBorders>
            <w:vAlign w:val="center"/>
          </w:tcPr>
          <w:p w14:paraId="7F09340B"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定制化集成业务</w:t>
            </w:r>
          </w:p>
        </w:tc>
        <w:tc>
          <w:tcPr>
            <w:tcW w:w="1255" w:type="pct"/>
            <w:gridSpan w:val="2"/>
            <w:tcBorders>
              <w:top w:val="single" w:sz="12" w:space="0" w:color="auto"/>
              <w:left w:val="single" w:sz="4" w:space="0" w:color="auto"/>
              <w:bottom w:val="single" w:sz="4" w:space="0" w:color="auto"/>
              <w:right w:val="single" w:sz="4" w:space="0" w:color="auto"/>
            </w:tcBorders>
            <w:vAlign w:val="center"/>
          </w:tcPr>
          <w:p w14:paraId="1F1E7B38"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年度</w:t>
            </w:r>
          </w:p>
        </w:tc>
        <w:tc>
          <w:tcPr>
            <w:tcW w:w="1255" w:type="pct"/>
            <w:gridSpan w:val="2"/>
            <w:tcBorders>
              <w:top w:val="single" w:sz="12" w:space="0" w:color="auto"/>
              <w:left w:val="single" w:sz="4" w:space="0" w:color="auto"/>
              <w:bottom w:val="single" w:sz="4" w:space="0" w:color="auto"/>
              <w:right w:val="single" w:sz="4" w:space="0" w:color="auto"/>
            </w:tcBorders>
            <w:vAlign w:val="center"/>
          </w:tcPr>
          <w:p w14:paraId="6F69C911"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年度</w:t>
            </w:r>
          </w:p>
        </w:tc>
        <w:tc>
          <w:tcPr>
            <w:tcW w:w="1255" w:type="pct"/>
            <w:gridSpan w:val="2"/>
            <w:tcBorders>
              <w:top w:val="single" w:sz="12" w:space="0" w:color="auto"/>
              <w:left w:val="single" w:sz="4" w:space="0" w:color="auto"/>
              <w:bottom w:val="single" w:sz="4" w:space="0" w:color="auto"/>
              <w:right w:val="nil"/>
            </w:tcBorders>
            <w:vAlign w:val="center"/>
          </w:tcPr>
          <w:p w14:paraId="48537415"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年度</w:t>
            </w:r>
          </w:p>
        </w:tc>
      </w:tr>
      <w:tr w:rsidR="000A0ACD" w14:paraId="39767B06" w14:textId="77777777">
        <w:trPr>
          <w:trHeight w:val="397"/>
          <w:tblHeader/>
          <w:jc w:val="center"/>
        </w:trPr>
        <w:tc>
          <w:tcPr>
            <w:tcW w:w="0" w:type="auto"/>
            <w:vMerge/>
            <w:tcBorders>
              <w:top w:val="single" w:sz="12" w:space="0" w:color="auto"/>
              <w:left w:val="nil"/>
              <w:bottom w:val="single" w:sz="4" w:space="0" w:color="auto"/>
              <w:right w:val="single" w:sz="4" w:space="0" w:color="auto"/>
            </w:tcBorders>
            <w:vAlign w:val="center"/>
          </w:tcPr>
          <w:p w14:paraId="409993C9" w14:textId="77777777" w:rsidR="000A0ACD" w:rsidRDefault="000A0ACD">
            <w:pPr>
              <w:rPr>
                <w:rFonts w:ascii="Times New Roman" w:hAnsi="Times New Roman" w:cs="Times New Roman"/>
                <w:b/>
                <w:bCs/>
                <w:color w:val="000000"/>
                <w:sz w:val="21"/>
                <w:szCs w:val="21"/>
              </w:rPr>
            </w:pPr>
          </w:p>
        </w:tc>
        <w:tc>
          <w:tcPr>
            <w:tcW w:w="627" w:type="pct"/>
            <w:tcBorders>
              <w:top w:val="single" w:sz="4" w:space="0" w:color="auto"/>
              <w:left w:val="single" w:sz="4" w:space="0" w:color="auto"/>
              <w:bottom w:val="single" w:sz="4" w:space="0" w:color="auto"/>
              <w:right w:val="single" w:sz="4" w:space="0" w:color="auto"/>
            </w:tcBorders>
            <w:noWrap/>
            <w:vAlign w:val="center"/>
          </w:tcPr>
          <w:p w14:paraId="5EC75B36"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8" w:type="pct"/>
            <w:tcBorders>
              <w:top w:val="single" w:sz="4" w:space="0" w:color="auto"/>
              <w:left w:val="single" w:sz="4" w:space="0" w:color="auto"/>
              <w:bottom w:val="single" w:sz="4" w:space="0" w:color="auto"/>
              <w:right w:val="single" w:sz="4" w:space="0" w:color="auto"/>
            </w:tcBorders>
            <w:noWrap/>
            <w:vAlign w:val="center"/>
          </w:tcPr>
          <w:p w14:paraId="2103149D"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627" w:type="pct"/>
            <w:tcBorders>
              <w:top w:val="single" w:sz="4" w:space="0" w:color="auto"/>
              <w:left w:val="single" w:sz="4" w:space="0" w:color="auto"/>
              <w:bottom w:val="single" w:sz="4" w:space="0" w:color="auto"/>
              <w:right w:val="single" w:sz="4" w:space="0" w:color="auto"/>
            </w:tcBorders>
            <w:noWrap/>
            <w:vAlign w:val="center"/>
          </w:tcPr>
          <w:p w14:paraId="0E3A9764"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8" w:type="pct"/>
            <w:tcBorders>
              <w:top w:val="single" w:sz="4" w:space="0" w:color="auto"/>
              <w:left w:val="single" w:sz="4" w:space="0" w:color="auto"/>
              <w:bottom w:val="single" w:sz="4" w:space="0" w:color="auto"/>
              <w:right w:val="single" w:sz="4" w:space="0" w:color="auto"/>
            </w:tcBorders>
            <w:noWrap/>
            <w:vAlign w:val="center"/>
          </w:tcPr>
          <w:p w14:paraId="78CE8E53"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627" w:type="pct"/>
            <w:tcBorders>
              <w:top w:val="single" w:sz="4" w:space="0" w:color="auto"/>
              <w:left w:val="single" w:sz="4" w:space="0" w:color="auto"/>
              <w:bottom w:val="single" w:sz="4" w:space="0" w:color="auto"/>
              <w:right w:val="single" w:sz="4" w:space="0" w:color="auto"/>
            </w:tcBorders>
            <w:noWrap/>
            <w:vAlign w:val="center"/>
          </w:tcPr>
          <w:p w14:paraId="2736EC6E"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8" w:type="pct"/>
            <w:tcBorders>
              <w:top w:val="single" w:sz="4" w:space="0" w:color="auto"/>
              <w:left w:val="single" w:sz="4" w:space="0" w:color="auto"/>
              <w:bottom w:val="single" w:sz="4" w:space="0" w:color="auto"/>
              <w:right w:val="nil"/>
            </w:tcBorders>
            <w:noWrap/>
            <w:vAlign w:val="center"/>
          </w:tcPr>
          <w:p w14:paraId="01190F8E"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0A0ACD" w14:paraId="38219F25" w14:textId="77777777">
        <w:trPr>
          <w:trHeight w:val="397"/>
          <w:jc w:val="center"/>
        </w:trPr>
        <w:tc>
          <w:tcPr>
            <w:tcW w:w="1235" w:type="pct"/>
            <w:tcBorders>
              <w:top w:val="single" w:sz="4" w:space="0" w:color="auto"/>
              <w:left w:val="nil"/>
              <w:bottom w:val="single" w:sz="4" w:space="0" w:color="auto"/>
              <w:right w:val="single" w:sz="4" w:space="0" w:color="auto"/>
            </w:tcBorders>
            <w:vAlign w:val="center"/>
          </w:tcPr>
          <w:p w14:paraId="115A771E"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测试系统集成</w:t>
            </w:r>
          </w:p>
        </w:tc>
        <w:tc>
          <w:tcPr>
            <w:tcW w:w="627" w:type="pct"/>
            <w:tcBorders>
              <w:top w:val="single" w:sz="4" w:space="0" w:color="auto"/>
              <w:left w:val="single" w:sz="4" w:space="0" w:color="auto"/>
              <w:bottom w:val="single" w:sz="4" w:space="0" w:color="auto"/>
              <w:right w:val="single" w:sz="4" w:space="0" w:color="auto"/>
            </w:tcBorders>
            <w:vAlign w:val="center"/>
          </w:tcPr>
          <w:p w14:paraId="569861FC"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2EF3E135"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627" w:type="pct"/>
            <w:tcBorders>
              <w:top w:val="single" w:sz="4" w:space="0" w:color="auto"/>
              <w:left w:val="single" w:sz="4" w:space="0" w:color="auto"/>
              <w:bottom w:val="single" w:sz="4" w:space="0" w:color="auto"/>
              <w:right w:val="single" w:sz="4" w:space="0" w:color="auto"/>
            </w:tcBorders>
            <w:vAlign w:val="center"/>
          </w:tcPr>
          <w:p w14:paraId="5D136DDE"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4D6ABFA7"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627" w:type="pct"/>
            <w:tcBorders>
              <w:top w:val="single" w:sz="4" w:space="0" w:color="auto"/>
              <w:left w:val="single" w:sz="4" w:space="0" w:color="auto"/>
              <w:bottom w:val="single" w:sz="4" w:space="0" w:color="auto"/>
              <w:right w:val="single" w:sz="4" w:space="0" w:color="auto"/>
            </w:tcBorders>
            <w:vAlign w:val="center"/>
          </w:tcPr>
          <w:p w14:paraId="134759FD"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36.49</w:t>
            </w:r>
          </w:p>
        </w:tc>
        <w:tc>
          <w:tcPr>
            <w:tcW w:w="628" w:type="pct"/>
            <w:tcBorders>
              <w:top w:val="single" w:sz="4" w:space="0" w:color="auto"/>
              <w:left w:val="single" w:sz="4" w:space="0" w:color="auto"/>
              <w:bottom w:val="single" w:sz="4" w:space="0" w:color="auto"/>
              <w:right w:val="nil"/>
            </w:tcBorders>
            <w:noWrap/>
            <w:vAlign w:val="center"/>
          </w:tcPr>
          <w:p w14:paraId="3353FD1A"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79.06%</w:t>
            </w:r>
          </w:p>
        </w:tc>
      </w:tr>
      <w:tr w:rsidR="000A0ACD" w14:paraId="25B4F1FC" w14:textId="77777777">
        <w:trPr>
          <w:trHeight w:val="397"/>
          <w:jc w:val="center"/>
        </w:trPr>
        <w:tc>
          <w:tcPr>
            <w:tcW w:w="1235" w:type="pct"/>
            <w:tcBorders>
              <w:top w:val="single" w:sz="4" w:space="0" w:color="auto"/>
              <w:left w:val="nil"/>
              <w:bottom w:val="single" w:sz="4" w:space="0" w:color="auto"/>
              <w:right w:val="single" w:sz="4" w:space="0" w:color="auto"/>
            </w:tcBorders>
            <w:vAlign w:val="center"/>
          </w:tcPr>
          <w:p w14:paraId="7CE319F7"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企业信息化</w:t>
            </w:r>
          </w:p>
        </w:tc>
        <w:tc>
          <w:tcPr>
            <w:tcW w:w="627" w:type="pct"/>
            <w:tcBorders>
              <w:top w:val="single" w:sz="4" w:space="0" w:color="auto"/>
              <w:left w:val="single" w:sz="4" w:space="0" w:color="auto"/>
              <w:bottom w:val="single" w:sz="4" w:space="0" w:color="auto"/>
              <w:right w:val="single" w:sz="4" w:space="0" w:color="auto"/>
            </w:tcBorders>
            <w:vAlign w:val="center"/>
          </w:tcPr>
          <w:p w14:paraId="2F681C88"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2,722.79</w:t>
            </w:r>
          </w:p>
        </w:tc>
        <w:tc>
          <w:tcPr>
            <w:tcW w:w="628" w:type="pct"/>
            <w:tcBorders>
              <w:top w:val="single" w:sz="4" w:space="0" w:color="auto"/>
              <w:left w:val="single" w:sz="4" w:space="0" w:color="auto"/>
              <w:bottom w:val="single" w:sz="4" w:space="0" w:color="auto"/>
              <w:right w:val="single" w:sz="4" w:space="0" w:color="auto"/>
            </w:tcBorders>
            <w:vAlign w:val="center"/>
          </w:tcPr>
          <w:p w14:paraId="481B545D" w14:textId="77777777" w:rsidR="000A0ACD" w:rsidRDefault="00362A99">
            <w:pPr>
              <w:snapToGrid w:val="0"/>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68.19%</w:t>
            </w:r>
          </w:p>
        </w:tc>
        <w:tc>
          <w:tcPr>
            <w:tcW w:w="627" w:type="pct"/>
            <w:tcBorders>
              <w:top w:val="single" w:sz="4" w:space="0" w:color="auto"/>
              <w:left w:val="single" w:sz="4" w:space="0" w:color="auto"/>
              <w:bottom w:val="single" w:sz="4" w:space="0" w:color="auto"/>
              <w:right w:val="single" w:sz="4" w:space="0" w:color="auto"/>
            </w:tcBorders>
            <w:vAlign w:val="center"/>
          </w:tcPr>
          <w:p w14:paraId="5B804E26"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29.47</w:t>
            </w:r>
          </w:p>
        </w:tc>
        <w:tc>
          <w:tcPr>
            <w:tcW w:w="628" w:type="pct"/>
            <w:tcBorders>
              <w:top w:val="single" w:sz="4" w:space="0" w:color="auto"/>
              <w:left w:val="single" w:sz="4" w:space="0" w:color="auto"/>
              <w:bottom w:val="single" w:sz="4" w:space="0" w:color="auto"/>
              <w:right w:val="single" w:sz="4" w:space="0" w:color="auto"/>
            </w:tcBorders>
            <w:vAlign w:val="center"/>
          </w:tcPr>
          <w:p w14:paraId="6442E3E4"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87.70%</w:t>
            </w:r>
          </w:p>
        </w:tc>
        <w:tc>
          <w:tcPr>
            <w:tcW w:w="627" w:type="pct"/>
            <w:tcBorders>
              <w:top w:val="single" w:sz="4" w:space="0" w:color="auto"/>
              <w:left w:val="single" w:sz="4" w:space="0" w:color="auto"/>
              <w:bottom w:val="single" w:sz="4" w:space="0" w:color="auto"/>
              <w:right w:val="single" w:sz="4" w:space="0" w:color="auto"/>
            </w:tcBorders>
            <w:vAlign w:val="center"/>
          </w:tcPr>
          <w:p w14:paraId="752D84BB"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165.12</w:t>
            </w:r>
          </w:p>
        </w:tc>
        <w:tc>
          <w:tcPr>
            <w:tcW w:w="628" w:type="pct"/>
            <w:tcBorders>
              <w:top w:val="single" w:sz="4" w:space="0" w:color="auto"/>
              <w:left w:val="single" w:sz="4" w:space="0" w:color="auto"/>
              <w:bottom w:val="single" w:sz="4" w:space="0" w:color="auto"/>
              <w:right w:val="nil"/>
            </w:tcBorders>
            <w:noWrap/>
            <w:vAlign w:val="center"/>
          </w:tcPr>
          <w:p w14:paraId="6E49F124"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93.89%</w:t>
            </w:r>
          </w:p>
        </w:tc>
      </w:tr>
      <w:tr w:rsidR="000A0ACD" w14:paraId="3488E7CF" w14:textId="77777777">
        <w:trPr>
          <w:trHeight w:val="397"/>
          <w:jc w:val="center"/>
        </w:trPr>
        <w:tc>
          <w:tcPr>
            <w:tcW w:w="1235" w:type="pct"/>
            <w:tcBorders>
              <w:top w:val="single" w:sz="4" w:space="0" w:color="auto"/>
              <w:left w:val="nil"/>
              <w:bottom w:val="single" w:sz="4" w:space="0" w:color="auto"/>
              <w:right w:val="single" w:sz="4" w:space="0" w:color="auto"/>
            </w:tcBorders>
            <w:vAlign w:val="center"/>
          </w:tcPr>
          <w:p w14:paraId="29B4066C"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物流悬挂输送系统</w:t>
            </w:r>
          </w:p>
        </w:tc>
        <w:tc>
          <w:tcPr>
            <w:tcW w:w="627" w:type="pct"/>
            <w:tcBorders>
              <w:top w:val="single" w:sz="4" w:space="0" w:color="auto"/>
              <w:left w:val="single" w:sz="4" w:space="0" w:color="auto"/>
              <w:bottom w:val="single" w:sz="4" w:space="0" w:color="auto"/>
              <w:right w:val="single" w:sz="4" w:space="0" w:color="auto"/>
            </w:tcBorders>
            <w:vAlign w:val="center"/>
          </w:tcPr>
          <w:p w14:paraId="7A6727B6"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楷体" w:hAnsi="Times New Roman" w:cs="Times New Roman"/>
                <w:color w:val="000000"/>
                <w:sz w:val="21"/>
                <w:szCs w:val="21"/>
              </w:rPr>
              <w:t>646.13</w:t>
            </w:r>
          </w:p>
        </w:tc>
        <w:tc>
          <w:tcPr>
            <w:tcW w:w="628" w:type="pct"/>
            <w:tcBorders>
              <w:top w:val="single" w:sz="4" w:space="0" w:color="auto"/>
              <w:left w:val="single" w:sz="4" w:space="0" w:color="auto"/>
              <w:bottom w:val="single" w:sz="4" w:space="0" w:color="auto"/>
              <w:right w:val="single" w:sz="4" w:space="0" w:color="auto"/>
            </w:tcBorders>
            <w:vAlign w:val="center"/>
          </w:tcPr>
          <w:p w14:paraId="626B6016"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楷体" w:hAnsi="Times New Roman" w:cs="Times New Roman"/>
                <w:color w:val="000000"/>
                <w:sz w:val="21"/>
                <w:szCs w:val="21"/>
              </w:rPr>
              <w:t>32.67%</w:t>
            </w:r>
          </w:p>
        </w:tc>
        <w:tc>
          <w:tcPr>
            <w:tcW w:w="627" w:type="pct"/>
            <w:tcBorders>
              <w:top w:val="single" w:sz="4" w:space="0" w:color="auto"/>
              <w:left w:val="single" w:sz="4" w:space="0" w:color="auto"/>
              <w:bottom w:val="single" w:sz="4" w:space="0" w:color="auto"/>
              <w:right w:val="single" w:sz="4" w:space="0" w:color="auto"/>
            </w:tcBorders>
            <w:vAlign w:val="center"/>
          </w:tcPr>
          <w:p w14:paraId="4C520648"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357.93</w:t>
            </w:r>
          </w:p>
        </w:tc>
        <w:tc>
          <w:tcPr>
            <w:tcW w:w="628" w:type="pct"/>
            <w:tcBorders>
              <w:top w:val="single" w:sz="4" w:space="0" w:color="auto"/>
              <w:left w:val="single" w:sz="4" w:space="0" w:color="auto"/>
              <w:bottom w:val="single" w:sz="4" w:space="0" w:color="auto"/>
              <w:right w:val="single" w:sz="4" w:space="0" w:color="auto"/>
            </w:tcBorders>
            <w:vAlign w:val="center"/>
          </w:tcPr>
          <w:p w14:paraId="01C7CD47"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32.95%</w:t>
            </w:r>
          </w:p>
        </w:tc>
        <w:tc>
          <w:tcPr>
            <w:tcW w:w="627" w:type="pct"/>
            <w:tcBorders>
              <w:top w:val="single" w:sz="4" w:space="0" w:color="auto"/>
              <w:left w:val="single" w:sz="4" w:space="0" w:color="auto"/>
              <w:bottom w:val="single" w:sz="4" w:space="0" w:color="auto"/>
              <w:right w:val="single" w:sz="4" w:space="0" w:color="auto"/>
            </w:tcBorders>
            <w:vAlign w:val="center"/>
          </w:tcPr>
          <w:p w14:paraId="691ADD74"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628" w:type="pct"/>
            <w:tcBorders>
              <w:top w:val="single" w:sz="4" w:space="0" w:color="auto"/>
              <w:left w:val="single" w:sz="4" w:space="0" w:color="auto"/>
              <w:bottom w:val="single" w:sz="4" w:space="0" w:color="auto"/>
              <w:right w:val="nil"/>
            </w:tcBorders>
            <w:noWrap/>
            <w:vAlign w:val="center"/>
          </w:tcPr>
          <w:p w14:paraId="46AEA1FB"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r>
      <w:tr w:rsidR="000A0ACD" w14:paraId="62701537" w14:textId="77777777">
        <w:trPr>
          <w:trHeight w:val="397"/>
          <w:jc w:val="center"/>
        </w:trPr>
        <w:tc>
          <w:tcPr>
            <w:tcW w:w="1235" w:type="pct"/>
            <w:tcBorders>
              <w:top w:val="single" w:sz="4" w:space="0" w:color="auto"/>
              <w:left w:val="nil"/>
              <w:bottom w:val="single" w:sz="4" w:space="0" w:color="auto"/>
              <w:right w:val="single" w:sz="4" w:space="0" w:color="auto"/>
            </w:tcBorders>
            <w:vAlign w:val="center"/>
          </w:tcPr>
          <w:p w14:paraId="0331D0F0"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智能制造装备</w:t>
            </w:r>
          </w:p>
        </w:tc>
        <w:tc>
          <w:tcPr>
            <w:tcW w:w="627" w:type="pct"/>
            <w:tcBorders>
              <w:top w:val="single" w:sz="4" w:space="0" w:color="auto"/>
              <w:left w:val="single" w:sz="4" w:space="0" w:color="auto"/>
              <w:bottom w:val="single" w:sz="4" w:space="0" w:color="auto"/>
              <w:right w:val="single" w:sz="4" w:space="0" w:color="auto"/>
            </w:tcBorders>
            <w:vAlign w:val="center"/>
          </w:tcPr>
          <w:p w14:paraId="29292769"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楷体" w:hAnsi="Times New Roman" w:cs="Times New Roman"/>
                <w:color w:val="000000"/>
                <w:sz w:val="21"/>
                <w:szCs w:val="21"/>
              </w:rPr>
              <w:t>770.75</w:t>
            </w:r>
          </w:p>
        </w:tc>
        <w:tc>
          <w:tcPr>
            <w:tcW w:w="628" w:type="pct"/>
            <w:tcBorders>
              <w:top w:val="single" w:sz="4" w:space="0" w:color="auto"/>
              <w:left w:val="single" w:sz="4" w:space="0" w:color="auto"/>
              <w:bottom w:val="single" w:sz="4" w:space="0" w:color="auto"/>
              <w:right w:val="single" w:sz="4" w:space="0" w:color="auto"/>
            </w:tcBorders>
            <w:vAlign w:val="center"/>
          </w:tcPr>
          <w:p w14:paraId="2AD99EAC"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楷体" w:hAnsi="Times New Roman" w:cs="Times New Roman"/>
                <w:color w:val="000000"/>
                <w:sz w:val="21"/>
                <w:szCs w:val="21"/>
              </w:rPr>
              <w:t>32.74%</w:t>
            </w:r>
          </w:p>
        </w:tc>
        <w:tc>
          <w:tcPr>
            <w:tcW w:w="627" w:type="pct"/>
            <w:tcBorders>
              <w:top w:val="single" w:sz="4" w:space="0" w:color="auto"/>
              <w:left w:val="single" w:sz="4" w:space="0" w:color="auto"/>
              <w:bottom w:val="single" w:sz="4" w:space="0" w:color="auto"/>
              <w:right w:val="single" w:sz="4" w:space="0" w:color="auto"/>
            </w:tcBorders>
            <w:vAlign w:val="center"/>
          </w:tcPr>
          <w:p w14:paraId="79A8E773"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2,536.82</w:t>
            </w:r>
          </w:p>
        </w:tc>
        <w:tc>
          <w:tcPr>
            <w:tcW w:w="628" w:type="pct"/>
            <w:tcBorders>
              <w:top w:val="single" w:sz="4" w:space="0" w:color="auto"/>
              <w:left w:val="single" w:sz="4" w:space="0" w:color="auto"/>
              <w:bottom w:val="single" w:sz="4" w:space="0" w:color="auto"/>
              <w:right w:val="single" w:sz="4" w:space="0" w:color="auto"/>
            </w:tcBorders>
            <w:vAlign w:val="center"/>
          </w:tcPr>
          <w:p w14:paraId="5FC4251B"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34.17%</w:t>
            </w:r>
          </w:p>
        </w:tc>
        <w:tc>
          <w:tcPr>
            <w:tcW w:w="627" w:type="pct"/>
            <w:tcBorders>
              <w:top w:val="single" w:sz="4" w:space="0" w:color="auto"/>
              <w:left w:val="single" w:sz="4" w:space="0" w:color="auto"/>
              <w:bottom w:val="single" w:sz="4" w:space="0" w:color="auto"/>
              <w:right w:val="single" w:sz="4" w:space="0" w:color="auto"/>
            </w:tcBorders>
            <w:vAlign w:val="center"/>
          </w:tcPr>
          <w:p w14:paraId="02D0603E"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251.77</w:t>
            </w:r>
          </w:p>
        </w:tc>
        <w:tc>
          <w:tcPr>
            <w:tcW w:w="628" w:type="pct"/>
            <w:tcBorders>
              <w:top w:val="single" w:sz="4" w:space="0" w:color="auto"/>
              <w:left w:val="single" w:sz="4" w:space="0" w:color="auto"/>
              <w:bottom w:val="single" w:sz="4" w:space="0" w:color="auto"/>
              <w:right w:val="nil"/>
            </w:tcBorders>
            <w:noWrap/>
            <w:vAlign w:val="center"/>
          </w:tcPr>
          <w:p w14:paraId="0F08DF6D"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37.65%</w:t>
            </w:r>
          </w:p>
        </w:tc>
      </w:tr>
      <w:tr w:rsidR="000A0ACD" w14:paraId="79CC4EC2" w14:textId="77777777">
        <w:trPr>
          <w:trHeight w:val="397"/>
          <w:jc w:val="center"/>
        </w:trPr>
        <w:tc>
          <w:tcPr>
            <w:tcW w:w="1235" w:type="pct"/>
            <w:tcBorders>
              <w:top w:val="single" w:sz="4" w:space="0" w:color="auto"/>
              <w:left w:val="nil"/>
              <w:bottom w:val="single" w:sz="12" w:space="0" w:color="auto"/>
              <w:right w:val="single" w:sz="4" w:space="0" w:color="auto"/>
            </w:tcBorders>
            <w:vAlign w:val="center"/>
          </w:tcPr>
          <w:p w14:paraId="00EACDCE"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627" w:type="pct"/>
            <w:tcBorders>
              <w:top w:val="single" w:sz="4" w:space="0" w:color="auto"/>
              <w:left w:val="single" w:sz="4" w:space="0" w:color="auto"/>
              <w:bottom w:val="single" w:sz="12" w:space="0" w:color="auto"/>
              <w:right w:val="single" w:sz="4" w:space="0" w:color="auto"/>
            </w:tcBorders>
            <w:vAlign w:val="center"/>
          </w:tcPr>
          <w:p w14:paraId="4AE5FDC0" w14:textId="77777777" w:rsidR="000A0ACD" w:rsidRDefault="00362A99">
            <w:pPr>
              <w:snapToGrid w:val="0"/>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4,139.66</w:t>
            </w:r>
          </w:p>
        </w:tc>
        <w:tc>
          <w:tcPr>
            <w:tcW w:w="628" w:type="pct"/>
            <w:tcBorders>
              <w:top w:val="single" w:sz="4" w:space="0" w:color="auto"/>
              <w:left w:val="single" w:sz="4" w:space="0" w:color="auto"/>
              <w:bottom w:val="single" w:sz="12" w:space="0" w:color="auto"/>
              <w:right w:val="single" w:sz="4" w:space="0" w:color="auto"/>
            </w:tcBorders>
            <w:vAlign w:val="center"/>
          </w:tcPr>
          <w:p w14:paraId="74448524" w14:textId="77777777" w:rsidR="000A0ACD" w:rsidRDefault="00362A99">
            <w:pPr>
              <w:snapToGrid w:val="0"/>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49.73%</w:t>
            </w:r>
          </w:p>
        </w:tc>
        <w:tc>
          <w:tcPr>
            <w:tcW w:w="627" w:type="pct"/>
            <w:tcBorders>
              <w:top w:val="single" w:sz="4" w:space="0" w:color="auto"/>
              <w:left w:val="single" w:sz="4" w:space="0" w:color="auto"/>
              <w:bottom w:val="single" w:sz="12" w:space="0" w:color="auto"/>
              <w:right w:val="single" w:sz="4" w:space="0" w:color="auto"/>
            </w:tcBorders>
            <w:vAlign w:val="center"/>
          </w:tcPr>
          <w:p w14:paraId="03B4ABF2"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2924.22</w:t>
            </w:r>
          </w:p>
        </w:tc>
        <w:tc>
          <w:tcPr>
            <w:tcW w:w="628" w:type="pct"/>
            <w:tcBorders>
              <w:top w:val="single" w:sz="4" w:space="0" w:color="auto"/>
              <w:left w:val="single" w:sz="4" w:space="0" w:color="auto"/>
              <w:bottom w:val="single" w:sz="12" w:space="0" w:color="auto"/>
              <w:right w:val="single" w:sz="4" w:space="0" w:color="auto"/>
            </w:tcBorders>
            <w:vAlign w:val="center"/>
          </w:tcPr>
          <w:p w14:paraId="45350BC0"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34.22%</w:t>
            </w:r>
          </w:p>
        </w:tc>
        <w:tc>
          <w:tcPr>
            <w:tcW w:w="627" w:type="pct"/>
            <w:tcBorders>
              <w:top w:val="single" w:sz="4" w:space="0" w:color="auto"/>
              <w:left w:val="single" w:sz="4" w:space="0" w:color="auto"/>
              <w:bottom w:val="single" w:sz="12" w:space="0" w:color="auto"/>
              <w:right w:val="single" w:sz="4" w:space="0" w:color="auto"/>
            </w:tcBorders>
            <w:vAlign w:val="center"/>
          </w:tcPr>
          <w:p w14:paraId="1F109E5E"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453.37</w:t>
            </w:r>
          </w:p>
        </w:tc>
        <w:tc>
          <w:tcPr>
            <w:tcW w:w="628" w:type="pct"/>
            <w:tcBorders>
              <w:top w:val="single" w:sz="4" w:space="0" w:color="auto"/>
              <w:left w:val="single" w:sz="4" w:space="0" w:color="auto"/>
              <w:bottom w:val="single" w:sz="12" w:space="0" w:color="auto"/>
              <w:right w:val="nil"/>
            </w:tcBorders>
            <w:noWrap/>
            <w:vAlign w:val="center"/>
          </w:tcPr>
          <w:p w14:paraId="5B9838EA"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50.90%</w:t>
            </w:r>
          </w:p>
        </w:tc>
      </w:tr>
    </w:tbl>
    <w:p w14:paraId="2DF65BF1"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2019</w:t>
      </w:r>
      <w:r>
        <w:rPr>
          <w:rFonts w:ascii="Times New Roman" w:hAnsi="Times New Roman" w:cs="Times New Roman" w:hint="eastAsia"/>
          <w:color w:val="000000"/>
          <w:lang w:val="en-GB"/>
        </w:rPr>
        <w:t>年，标的公司定制化集成业务毛利率为</w:t>
      </w:r>
      <w:r>
        <w:rPr>
          <w:rFonts w:ascii="Times New Roman" w:hAnsi="Times New Roman" w:cs="Times New Roman"/>
          <w:color w:val="000000"/>
          <w:lang w:val="en-GB"/>
        </w:rPr>
        <w:t>34.22%</w:t>
      </w:r>
      <w:r>
        <w:rPr>
          <w:rFonts w:ascii="Times New Roman" w:hAnsi="Times New Roman" w:cs="Times New Roman" w:hint="eastAsia"/>
          <w:color w:val="000000"/>
          <w:lang w:val="en-GB"/>
        </w:rPr>
        <w:t>，较</w:t>
      </w:r>
      <w:r>
        <w:rPr>
          <w:rFonts w:ascii="Times New Roman" w:hAnsi="Times New Roman" w:cs="Times New Roman"/>
          <w:color w:val="000000"/>
          <w:lang w:val="en-GB"/>
        </w:rPr>
        <w:t>2018</w:t>
      </w:r>
      <w:r>
        <w:rPr>
          <w:rFonts w:ascii="Times New Roman" w:hAnsi="Times New Roman" w:cs="Times New Roman" w:hint="eastAsia"/>
          <w:color w:val="000000"/>
          <w:lang w:val="en-GB"/>
        </w:rPr>
        <w:t>年的</w:t>
      </w:r>
      <w:r>
        <w:rPr>
          <w:rFonts w:ascii="Times New Roman" w:hAnsi="Times New Roman" w:cs="Times New Roman"/>
          <w:color w:val="000000"/>
          <w:lang w:val="en-GB"/>
        </w:rPr>
        <w:t>50.90%</w:t>
      </w:r>
      <w:r>
        <w:rPr>
          <w:rFonts w:ascii="Times New Roman" w:hAnsi="Times New Roman" w:cs="Times New Roman" w:hint="eastAsia"/>
          <w:color w:val="000000"/>
          <w:lang w:val="en-GB"/>
        </w:rPr>
        <w:t>下降了</w:t>
      </w:r>
      <w:r>
        <w:rPr>
          <w:rFonts w:ascii="Times New Roman" w:hAnsi="Times New Roman" w:cs="Times New Roman"/>
          <w:color w:val="000000"/>
          <w:lang w:val="en-GB"/>
        </w:rPr>
        <w:t>16.68%</w:t>
      </w:r>
      <w:r>
        <w:rPr>
          <w:rFonts w:ascii="Times New Roman" w:hAnsi="Times New Roman" w:cs="Times New Roman" w:hint="eastAsia"/>
          <w:color w:val="000000"/>
          <w:lang w:val="en-GB"/>
        </w:rPr>
        <w:t>，主要系</w:t>
      </w:r>
      <w:r>
        <w:rPr>
          <w:rFonts w:ascii="Times New Roman" w:hAnsi="Times New Roman" w:cs="Times New Roman"/>
          <w:color w:val="000000"/>
          <w:lang w:val="en-GB"/>
        </w:rPr>
        <w:t>2018</w:t>
      </w:r>
      <w:r>
        <w:rPr>
          <w:rFonts w:ascii="Times New Roman" w:hAnsi="Times New Roman" w:cs="Times New Roman" w:hint="eastAsia"/>
          <w:color w:val="000000"/>
          <w:lang w:val="en-GB"/>
        </w:rPr>
        <w:t>年企业信息化业务毛利率为</w:t>
      </w:r>
      <w:r>
        <w:rPr>
          <w:rFonts w:ascii="Times New Roman" w:hAnsi="Times New Roman" w:cs="Times New Roman"/>
          <w:color w:val="000000"/>
          <w:lang w:val="en-GB"/>
        </w:rPr>
        <w:t>93.89%</w:t>
      </w:r>
      <w:r>
        <w:rPr>
          <w:rFonts w:ascii="Times New Roman" w:hAnsi="Times New Roman" w:cs="Times New Roman" w:hint="eastAsia"/>
          <w:color w:val="000000"/>
          <w:lang w:val="en-GB"/>
        </w:rPr>
        <w:t>，收入为</w:t>
      </w:r>
      <w:r>
        <w:rPr>
          <w:rFonts w:ascii="Times New Roman" w:hAnsi="Times New Roman" w:cs="Times New Roman"/>
          <w:color w:val="000000"/>
          <w:lang w:val="en-GB"/>
        </w:rPr>
        <w:t>175.86</w:t>
      </w:r>
      <w:r>
        <w:rPr>
          <w:rFonts w:ascii="Times New Roman" w:hAnsi="Times New Roman" w:cs="Times New Roman" w:hint="eastAsia"/>
          <w:color w:val="000000"/>
          <w:lang w:val="en-GB"/>
        </w:rPr>
        <w:t>万元，占总定制化集成业务</w:t>
      </w:r>
      <w:r>
        <w:rPr>
          <w:rFonts w:ascii="Times New Roman" w:hAnsi="Times New Roman" w:cs="Times New Roman"/>
          <w:color w:val="000000"/>
          <w:lang w:val="en-GB"/>
        </w:rPr>
        <w:t>890.75</w:t>
      </w:r>
      <w:r>
        <w:rPr>
          <w:rFonts w:ascii="Times New Roman" w:hAnsi="Times New Roman" w:cs="Times New Roman" w:hint="eastAsia"/>
          <w:color w:val="000000"/>
          <w:lang w:val="en-GB"/>
        </w:rPr>
        <w:t>万元的</w:t>
      </w:r>
      <w:r>
        <w:rPr>
          <w:rFonts w:ascii="Times New Roman" w:hAnsi="Times New Roman" w:cs="Times New Roman"/>
          <w:color w:val="000000"/>
          <w:lang w:val="en-GB"/>
        </w:rPr>
        <w:t>19.74%</w:t>
      </w:r>
      <w:r>
        <w:rPr>
          <w:rFonts w:ascii="Times New Roman" w:hAnsi="Times New Roman" w:cs="Times New Roman" w:hint="eastAsia"/>
          <w:color w:val="000000"/>
          <w:lang w:val="en-GB"/>
        </w:rPr>
        <w:t>；</w:t>
      </w:r>
      <w:r>
        <w:rPr>
          <w:rFonts w:ascii="Times New Roman" w:hAnsi="Times New Roman" w:cs="Times New Roman"/>
          <w:color w:val="000000"/>
          <w:lang w:val="en-GB"/>
        </w:rPr>
        <w:t>2019</w:t>
      </w:r>
      <w:r>
        <w:rPr>
          <w:rFonts w:ascii="Times New Roman" w:hAnsi="Times New Roman" w:cs="Times New Roman" w:hint="eastAsia"/>
          <w:color w:val="000000"/>
          <w:lang w:val="en-GB"/>
        </w:rPr>
        <w:t>年，标的公司企业信息化业务毛利率为</w:t>
      </w:r>
      <w:r>
        <w:rPr>
          <w:rFonts w:ascii="Times New Roman" w:hAnsi="Times New Roman" w:cs="Times New Roman"/>
          <w:color w:val="000000"/>
          <w:lang w:val="en-GB"/>
        </w:rPr>
        <w:t>87.70%</w:t>
      </w:r>
      <w:r>
        <w:rPr>
          <w:rFonts w:ascii="Times New Roman" w:hAnsi="Times New Roman" w:cs="Times New Roman" w:hint="eastAsia"/>
          <w:color w:val="000000"/>
          <w:lang w:val="en-GB"/>
        </w:rPr>
        <w:t>，相应收入为</w:t>
      </w:r>
      <w:r>
        <w:rPr>
          <w:rFonts w:ascii="Times New Roman" w:hAnsi="Times New Roman" w:cs="Times New Roman"/>
          <w:color w:val="000000"/>
          <w:lang w:val="en-GB"/>
        </w:rPr>
        <w:t>33.61</w:t>
      </w:r>
      <w:r>
        <w:rPr>
          <w:rFonts w:ascii="Times New Roman" w:hAnsi="Times New Roman" w:cs="Times New Roman" w:hint="eastAsia"/>
          <w:color w:val="000000"/>
          <w:lang w:val="en-GB"/>
        </w:rPr>
        <w:t>万元，占定制化集成业务</w:t>
      </w:r>
      <w:r>
        <w:rPr>
          <w:rFonts w:ascii="Times New Roman" w:hAnsi="Times New Roman" w:cs="Times New Roman"/>
          <w:color w:val="000000"/>
          <w:lang w:val="en-GB"/>
        </w:rPr>
        <w:t>8,544.53</w:t>
      </w:r>
      <w:r>
        <w:rPr>
          <w:rFonts w:ascii="Times New Roman" w:hAnsi="Times New Roman" w:cs="Times New Roman" w:hint="eastAsia"/>
          <w:color w:val="000000"/>
          <w:lang w:val="en-GB"/>
        </w:rPr>
        <w:t>万元的</w:t>
      </w:r>
      <w:r>
        <w:rPr>
          <w:rFonts w:ascii="Times New Roman" w:hAnsi="Times New Roman" w:cs="Times New Roman"/>
          <w:color w:val="000000"/>
          <w:lang w:val="en-GB"/>
        </w:rPr>
        <w:t>0.39%</w:t>
      </w:r>
      <w:r>
        <w:rPr>
          <w:rFonts w:ascii="Times New Roman" w:hAnsi="Times New Roman" w:cs="Times New Roman" w:hint="eastAsia"/>
          <w:color w:val="000000"/>
          <w:lang w:val="en-GB"/>
        </w:rPr>
        <w:t>。</w:t>
      </w:r>
      <w:r>
        <w:rPr>
          <w:rFonts w:ascii="Times New Roman" w:hAnsi="Times New Roman" w:cs="Times New Roman"/>
          <w:color w:val="000000"/>
          <w:lang w:val="en-GB"/>
        </w:rPr>
        <w:t>2019</w:t>
      </w:r>
      <w:r>
        <w:rPr>
          <w:rFonts w:ascii="Times New Roman" w:hAnsi="Times New Roman" w:cs="Times New Roman" w:hint="eastAsia"/>
          <w:color w:val="000000"/>
          <w:lang w:val="en-GB"/>
        </w:rPr>
        <w:t>年定制化集成业务中高毛利率的企业信息化业务收入占比较</w:t>
      </w:r>
      <w:r>
        <w:rPr>
          <w:rFonts w:ascii="Times New Roman" w:hAnsi="Times New Roman" w:cs="Times New Roman"/>
          <w:color w:val="000000"/>
          <w:lang w:val="en-GB"/>
        </w:rPr>
        <w:t>2018</w:t>
      </w:r>
      <w:r>
        <w:rPr>
          <w:rFonts w:ascii="Times New Roman" w:hAnsi="Times New Roman" w:cs="Times New Roman" w:hint="eastAsia"/>
          <w:color w:val="000000"/>
          <w:lang w:val="en-GB"/>
        </w:rPr>
        <w:t>年大幅下降，导致</w:t>
      </w:r>
      <w:r>
        <w:rPr>
          <w:rFonts w:ascii="Times New Roman" w:hAnsi="Times New Roman" w:cs="Times New Roman"/>
          <w:color w:val="000000"/>
          <w:lang w:val="en-GB"/>
        </w:rPr>
        <w:t>2019</w:t>
      </w:r>
      <w:r>
        <w:rPr>
          <w:rFonts w:ascii="Times New Roman" w:hAnsi="Times New Roman" w:cs="Times New Roman" w:hint="eastAsia"/>
          <w:color w:val="000000"/>
          <w:lang w:val="en-GB"/>
        </w:rPr>
        <w:t>年定制化集成业务毛利率有所下降。</w:t>
      </w:r>
    </w:p>
    <w:p w14:paraId="5F3202F1"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2020</w:t>
      </w:r>
      <w:r>
        <w:rPr>
          <w:rFonts w:ascii="Times New Roman" w:hAnsi="Times New Roman" w:cs="Times New Roman" w:hint="eastAsia"/>
          <w:color w:val="000000"/>
          <w:lang w:val="en-GB"/>
        </w:rPr>
        <w:t>年，标的公司定制化集成业务毛利率为</w:t>
      </w:r>
      <w:r>
        <w:rPr>
          <w:rFonts w:ascii="Times New Roman" w:hAnsi="Times New Roman" w:cs="Times New Roman"/>
          <w:color w:val="000000"/>
          <w:lang w:val="en-GB"/>
        </w:rPr>
        <w:t>49.73%</w:t>
      </w:r>
      <w:r>
        <w:rPr>
          <w:rFonts w:ascii="Times New Roman" w:hAnsi="Times New Roman" w:cs="Times New Roman" w:hint="eastAsia"/>
          <w:color w:val="000000"/>
          <w:lang w:val="en-GB"/>
        </w:rPr>
        <w:t>，较</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34.22%</w:t>
      </w:r>
      <w:r>
        <w:rPr>
          <w:rFonts w:ascii="Times New Roman" w:hAnsi="Times New Roman" w:cs="Times New Roman" w:hint="eastAsia"/>
          <w:color w:val="000000"/>
          <w:lang w:val="en-GB"/>
        </w:rPr>
        <w:t>增长了</w:t>
      </w:r>
      <w:r>
        <w:rPr>
          <w:rFonts w:ascii="Times New Roman" w:hAnsi="Times New Roman" w:cs="Times New Roman"/>
          <w:color w:val="000000"/>
          <w:lang w:val="en-GB"/>
        </w:rPr>
        <w:t>15.51%</w:t>
      </w:r>
      <w:r>
        <w:rPr>
          <w:rFonts w:ascii="Times New Roman" w:hAnsi="Times New Roman" w:cs="Times New Roman" w:hint="eastAsia"/>
          <w:color w:val="000000"/>
          <w:lang w:val="en-GB"/>
        </w:rPr>
        <w:t>，主要系高毛利率的企业信息化业务规模大幅增长所致。</w:t>
      </w:r>
    </w:p>
    <w:p w14:paraId="1CA7C1F4" w14:textId="77777777" w:rsidR="000A0ACD" w:rsidRDefault="00362A99">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1</w:t>
      </w:r>
      <w:r>
        <w:rPr>
          <w:rFonts w:ascii="Times New Roman" w:hAnsi="Times New Roman" w:cs="Times New Roman" w:hint="eastAsia"/>
          <w:b/>
          <w:color w:val="000000"/>
          <w:lang w:val="en-GB"/>
        </w:rPr>
        <w:t>、企业信息化业务</w:t>
      </w:r>
    </w:p>
    <w:p w14:paraId="6AC85E6B"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报告期内，标的公司企业信息化业务情况如下：</w:t>
      </w:r>
    </w:p>
    <w:p w14:paraId="23DB123A"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90"/>
        <w:gridCol w:w="1307"/>
        <w:gridCol w:w="1311"/>
        <w:gridCol w:w="1307"/>
        <w:gridCol w:w="1454"/>
        <w:gridCol w:w="1253"/>
      </w:tblGrid>
      <w:tr w:rsidR="000A0ACD" w14:paraId="19D4A816" w14:textId="77777777">
        <w:trPr>
          <w:trHeight w:val="397"/>
          <w:tblHeader/>
          <w:jc w:val="center"/>
        </w:trPr>
        <w:tc>
          <w:tcPr>
            <w:tcW w:w="1109" w:type="pct"/>
            <w:vAlign w:val="center"/>
          </w:tcPr>
          <w:p w14:paraId="26570F84"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企业信息化业务</w:t>
            </w:r>
          </w:p>
        </w:tc>
        <w:tc>
          <w:tcPr>
            <w:tcW w:w="767" w:type="pct"/>
            <w:vAlign w:val="center"/>
          </w:tcPr>
          <w:p w14:paraId="74FB09A0"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2020</w:t>
            </w:r>
            <w:r>
              <w:rPr>
                <w:rFonts w:ascii="Times New Roman" w:hAnsi="Times New Roman" w:cs="Times New Roman"/>
                <w:b/>
                <w:bCs/>
                <w:color w:val="000000"/>
                <w:sz w:val="21"/>
                <w:szCs w:val="21"/>
                <w:lang w:val="en-GB"/>
              </w:rPr>
              <w:t>年度</w:t>
            </w:r>
          </w:p>
        </w:tc>
        <w:tc>
          <w:tcPr>
            <w:tcW w:w="769" w:type="pct"/>
            <w:vAlign w:val="center"/>
          </w:tcPr>
          <w:p w14:paraId="5DAD34B0"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020</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767" w:type="pct"/>
            <w:vAlign w:val="center"/>
          </w:tcPr>
          <w:p w14:paraId="58CB1DA0"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年度</w:t>
            </w:r>
          </w:p>
        </w:tc>
        <w:tc>
          <w:tcPr>
            <w:tcW w:w="853" w:type="pct"/>
            <w:vAlign w:val="center"/>
          </w:tcPr>
          <w:p w14:paraId="033C6D3A"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年较</w:t>
            </w: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年增长</w:t>
            </w:r>
          </w:p>
        </w:tc>
        <w:tc>
          <w:tcPr>
            <w:tcW w:w="735" w:type="pct"/>
            <w:vAlign w:val="center"/>
          </w:tcPr>
          <w:p w14:paraId="40370557"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年度</w:t>
            </w:r>
          </w:p>
        </w:tc>
      </w:tr>
      <w:tr w:rsidR="000A0ACD" w14:paraId="56788402" w14:textId="77777777">
        <w:trPr>
          <w:trHeight w:val="397"/>
          <w:jc w:val="center"/>
        </w:trPr>
        <w:tc>
          <w:tcPr>
            <w:tcW w:w="1109" w:type="pct"/>
            <w:vAlign w:val="center"/>
          </w:tcPr>
          <w:p w14:paraId="0E41176E"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营业收入</w:t>
            </w:r>
          </w:p>
        </w:tc>
        <w:tc>
          <w:tcPr>
            <w:tcW w:w="767" w:type="pct"/>
            <w:vAlign w:val="center"/>
          </w:tcPr>
          <w:p w14:paraId="722C9CB7"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3,992.73</w:t>
            </w:r>
          </w:p>
        </w:tc>
        <w:tc>
          <w:tcPr>
            <w:tcW w:w="769" w:type="pct"/>
            <w:vAlign w:val="center"/>
          </w:tcPr>
          <w:p w14:paraId="34851CCE"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3,959.13</w:t>
            </w:r>
          </w:p>
        </w:tc>
        <w:tc>
          <w:tcPr>
            <w:tcW w:w="767" w:type="pct"/>
            <w:vAlign w:val="center"/>
          </w:tcPr>
          <w:p w14:paraId="71AEDC48"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33.61</w:t>
            </w:r>
          </w:p>
        </w:tc>
        <w:tc>
          <w:tcPr>
            <w:tcW w:w="853" w:type="pct"/>
            <w:vAlign w:val="center"/>
          </w:tcPr>
          <w:p w14:paraId="5C45A101"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-142.25</w:t>
            </w:r>
          </w:p>
        </w:tc>
        <w:tc>
          <w:tcPr>
            <w:tcW w:w="735" w:type="pct"/>
            <w:vAlign w:val="center"/>
          </w:tcPr>
          <w:p w14:paraId="763E7E19"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175.86</w:t>
            </w:r>
          </w:p>
        </w:tc>
      </w:tr>
      <w:tr w:rsidR="000A0ACD" w14:paraId="729687E1" w14:textId="77777777">
        <w:trPr>
          <w:trHeight w:val="397"/>
          <w:jc w:val="center"/>
        </w:trPr>
        <w:tc>
          <w:tcPr>
            <w:tcW w:w="1109" w:type="pct"/>
            <w:vAlign w:val="center"/>
          </w:tcPr>
          <w:p w14:paraId="686D358A"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767" w:type="pct"/>
            <w:vAlign w:val="center"/>
          </w:tcPr>
          <w:p w14:paraId="40ABCFCA"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1,269.94</w:t>
            </w:r>
          </w:p>
        </w:tc>
        <w:tc>
          <w:tcPr>
            <w:tcW w:w="769" w:type="pct"/>
            <w:vAlign w:val="center"/>
          </w:tcPr>
          <w:p w14:paraId="1A4F5E5D"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1,265.81</w:t>
            </w:r>
          </w:p>
        </w:tc>
        <w:tc>
          <w:tcPr>
            <w:tcW w:w="767" w:type="pct"/>
            <w:vAlign w:val="center"/>
          </w:tcPr>
          <w:p w14:paraId="71E3D16D"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4.14</w:t>
            </w:r>
          </w:p>
        </w:tc>
        <w:tc>
          <w:tcPr>
            <w:tcW w:w="853" w:type="pct"/>
            <w:vAlign w:val="center"/>
          </w:tcPr>
          <w:p w14:paraId="4BE632EA"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-6.6</w:t>
            </w:r>
            <w:r>
              <w:rPr>
                <w:rFonts w:ascii="Times New Roman" w:eastAsia="等线" w:hAnsi="Times New Roman" w:cs="Times New Roman" w:hint="eastAsia"/>
                <w:color w:val="000000"/>
                <w:kern w:val="2"/>
                <w:sz w:val="21"/>
                <w:szCs w:val="21"/>
              </w:rPr>
              <w:t>1</w:t>
            </w:r>
          </w:p>
        </w:tc>
        <w:tc>
          <w:tcPr>
            <w:tcW w:w="735" w:type="pct"/>
            <w:vAlign w:val="center"/>
          </w:tcPr>
          <w:p w14:paraId="593C1FA3"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10.74</w:t>
            </w:r>
          </w:p>
        </w:tc>
      </w:tr>
      <w:tr w:rsidR="000A0ACD" w14:paraId="41837EB1" w14:textId="77777777">
        <w:trPr>
          <w:trHeight w:val="397"/>
          <w:jc w:val="center"/>
        </w:trPr>
        <w:tc>
          <w:tcPr>
            <w:tcW w:w="1109" w:type="pct"/>
            <w:vAlign w:val="center"/>
          </w:tcPr>
          <w:p w14:paraId="13E7B083"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767" w:type="pct"/>
            <w:vAlign w:val="center"/>
          </w:tcPr>
          <w:p w14:paraId="3A6B491D"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2,722.79</w:t>
            </w:r>
          </w:p>
        </w:tc>
        <w:tc>
          <w:tcPr>
            <w:tcW w:w="769" w:type="pct"/>
            <w:vAlign w:val="center"/>
          </w:tcPr>
          <w:p w14:paraId="40E0A7DD"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2,693.32</w:t>
            </w:r>
          </w:p>
        </w:tc>
        <w:tc>
          <w:tcPr>
            <w:tcW w:w="767" w:type="pct"/>
            <w:vAlign w:val="center"/>
          </w:tcPr>
          <w:p w14:paraId="0594AA52"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29.47</w:t>
            </w:r>
          </w:p>
        </w:tc>
        <w:tc>
          <w:tcPr>
            <w:tcW w:w="853" w:type="pct"/>
            <w:vAlign w:val="center"/>
          </w:tcPr>
          <w:p w14:paraId="3356C7E2"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-135.65</w:t>
            </w:r>
          </w:p>
        </w:tc>
        <w:tc>
          <w:tcPr>
            <w:tcW w:w="735" w:type="pct"/>
            <w:vAlign w:val="center"/>
          </w:tcPr>
          <w:p w14:paraId="233EF681"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165.12</w:t>
            </w:r>
          </w:p>
        </w:tc>
      </w:tr>
      <w:tr w:rsidR="000A0ACD" w14:paraId="38F4A24A" w14:textId="77777777">
        <w:trPr>
          <w:trHeight w:val="397"/>
          <w:jc w:val="center"/>
        </w:trPr>
        <w:tc>
          <w:tcPr>
            <w:tcW w:w="1109" w:type="pct"/>
            <w:vAlign w:val="center"/>
          </w:tcPr>
          <w:p w14:paraId="6CA01F3E"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767" w:type="pct"/>
            <w:vAlign w:val="center"/>
          </w:tcPr>
          <w:p w14:paraId="55DB90A6"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68.19%</w:t>
            </w:r>
          </w:p>
        </w:tc>
        <w:tc>
          <w:tcPr>
            <w:tcW w:w="769" w:type="pct"/>
            <w:vAlign w:val="center"/>
          </w:tcPr>
          <w:p w14:paraId="63490559"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-19.50%</w:t>
            </w:r>
          </w:p>
        </w:tc>
        <w:tc>
          <w:tcPr>
            <w:tcW w:w="767" w:type="pct"/>
            <w:vAlign w:val="center"/>
          </w:tcPr>
          <w:p w14:paraId="035F0765"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87.70%</w:t>
            </w:r>
          </w:p>
        </w:tc>
        <w:tc>
          <w:tcPr>
            <w:tcW w:w="853" w:type="pct"/>
            <w:vAlign w:val="center"/>
          </w:tcPr>
          <w:p w14:paraId="6FAB5BEB"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w:t>
            </w:r>
            <w:r>
              <w:rPr>
                <w:rFonts w:ascii="Times New Roman" w:eastAsia="等线" w:hAnsi="Times New Roman" w:cs="Times New Roman" w:hint="eastAsia"/>
                <w:color w:val="000000"/>
                <w:kern w:val="2"/>
                <w:sz w:val="21"/>
                <w:szCs w:val="21"/>
              </w:rPr>
              <w:t>20</w:t>
            </w:r>
            <w:r>
              <w:rPr>
                <w:rFonts w:ascii="Times New Roman" w:eastAsia="等线" w:hAnsi="Times New Roman" w:cs="Times New Roman"/>
                <w:color w:val="000000"/>
                <w:kern w:val="2"/>
                <w:sz w:val="21"/>
                <w:szCs w:val="21"/>
              </w:rPr>
              <w:t>%</w:t>
            </w:r>
          </w:p>
        </w:tc>
        <w:tc>
          <w:tcPr>
            <w:tcW w:w="735" w:type="pct"/>
            <w:vAlign w:val="center"/>
          </w:tcPr>
          <w:p w14:paraId="1BF24959"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93.89%</w:t>
            </w:r>
          </w:p>
        </w:tc>
      </w:tr>
      <w:tr w:rsidR="000A0ACD" w14:paraId="487D6565" w14:textId="77777777">
        <w:trPr>
          <w:trHeight w:val="397"/>
          <w:jc w:val="center"/>
        </w:trPr>
        <w:tc>
          <w:tcPr>
            <w:tcW w:w="1109" w:type="pct"/>
            <w:vAlign w:val="center"/>
          </w:tcPr>
          <w:p w14:paraId="1C02CB40"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对定制化集成业务的毛利贡献率</w:t>
            </w:r>
          </w:p>
        </w:tc>
        <w:tc>
          <w:tcPr>
            <w:tcW w:w="767" w:type="pct"/>
            <w:vAlign w:val="center"/>
          </w:tcPr>
          <w:p w14:paraId="323C0BFA"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65.77%</w:t>
            </w:r>
          </w:p>
        </w:tc>
        <w:tc>
          <w:tcPr>
            <w:tcW w:w="769" w:type="pct"/>
            <w:vAlign w:val="center"/>
          </w:tcPr>
          <w:p w14:paraId="44A4325D"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64.77%</w:t>
            </w:r>
          </w:p>
        </w:tc>
        <w:tc>
          <w:tcPr>
            <w:tcW w:w="767" w:type="pct"/>
            <w:vAlign w:val="center"/>
          </w:tcPr>
          <w:p w14:paraId="6A2CEAA1"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1.01%</w:t>
            </w:r>
          </w:p>
        </w:tc>
        <w:tc>
          <w:tcPr>
            <w:tcW w:w="853" w:type="pct"/>
            <w:vAlign w:val="center"/>
          </w:tcPr>
          <w:p w14:paraId="58322251"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-35.41%</w:t>
            </w:r>
          </w:p>
        </w:tc>
        <w:tc>
          <w:tcPr>
            <w:tcW w:w="735" w:type="pct"/>
            <w:vAlign w:val="center"/>
          </w:tcPr>
          <w:p w14:paraId="165B529F"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36.42%</w:t>
            </w:r>
          </w:p>
        </w:tc>
      </w:tr>
    </w:tbl>
    <w:p w14:paraId="0DA7A00C"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注：对定制化集成业务的毛利贡献率</w:t>
      </w:r>
      <w:r>
        <w:rPr>
          <w:rFonts w:ascii="Times New Roman" w:hAnsi="Times New Roman" w:cs="Times New Roman" w:hint="eastAsia"/>
          <w:bCs/>
          <w:color w:val="000000"/>
          <w:sz w:val="21"/>
          <w:szCs w:val="21"/>
          <w:lang w:val="en-GB"/>
        </w:rPr>
        <w:t>=</w:t>
      </w:r>
      <w:r>
        <w:rPr>
          <w:rFonts w:ascii="Times New Roman" w:hAnsi="Times New Roman" w:cs="Times New Roman"/>
          <w:bCs/>
          <w:color w:val="000000"/>
          <w:sz w:val="21"/>
          <w:szCs w:val="21"/>
          <w:lang w:val="en-GB"/>
        </w:rPr>
        <w:t>企业信息化</w:t>
      </w:r>
      <w:r>
        <w:rPr>
          <w:rFonts w:ascii="Times New Roman" w:hAnsi="Times New Roman" w:cs="Times New Roman" w:hint="eastAsia"/>
          <w:bCs/>
          <w:color w:val="000000"/>
          <w:sz w:val="21"/>
          <w:szCs w:val="21"/>
          <w:lang w:val="en-GB"/>
        </w:rPr>
        <w:t>业务的毛利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定制化集成业务总毛利。</w:t>
      </w:r>
    </w:p>
    <w:p w14:paraId="72B3A35B"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2020</w:t>
      </w:r>
      <w:r>
        <w:rPr>
          <w:rFonts w:ascii="Times New Roman" w:hAnsi="Times New Roman" w:cs="Times New Roman" w:hint="eastAsia"/>
          <w:color w:val="000000"/>
          <w:lang w:val="en-GB"/>
        </w:rPr>
        <w:t>年，标的公司企业信息化业务产生的毛利为</w:t>
      </w:r>
      <w:r>
        <w:rPr>
          <w:rFonts w:ascii="Times New Roman" w:hAnsi="Times New Roman" w:cs="Times New Roman"/>
          <w:color w:val="000000"/>
          <w:lang w:val="en-GB"/>
        </w:rPr>
        <w:t>2,722.79</w:t>
      </w:r>
      <w:r>
        <w:rPr>
          <w:rFonts w:ascii="Times New Roman" w:hAnsi="Times New Roman" w:cs="Times New Roman" w:hint="eastAsia"/>
          <w:color w:val="000000"/>
          <w:lang w:val="en-GB"/>
        </w:rPr>
        <w:t>万元，相比于</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29.47</w:t>
      </w:r>
      <w:r>
        <w:rPr>
          <w:rFonts w:ascii="Times New Roman" w:hAnsi="Times New Roman" w:cs="Times New Roman" w:hint="eastAsia"/>
          <w:color w:val="000000"/>
          <w:lang w:val="en-GB"/>
        </w:rPr>
        <w:t>万元增加了</w:t>
      </w:r>
      <w:r>
        <w:rPr>
          <w:rFonts w:ascii="Times New Roman" w:hAnsi="Times New Roman" w:cs="Times New Roman"/>
          <w:color w:val="000000"/>
          <w:lang w:val="en-GB"/>
        </w:rPr>
        <w:t>2,693.32</w:t>
      </w:r>
      <w:r>
        <w:rPr>
          <w:rFonts w:ascii="Times New Roman" w:hAnsi="Times New Roman" w:cs="Times New Roman" w:hint="eastAsia"/>
          <w:color w:val="000000"/>
          <w:lang w:val="en-GB"/>
        </w:rPr>
        <w:t>万元，其对定制化集成业务的毛利贡献率为</w:t>
      </w:r>
      <w:r>
        <w:rPr>
          <w:rFonts w:ascii="Times New Roman" w:hAnsi="Times New Roman" w:cs="Times New Roman"/>
          <w:color w:val="000000"/>
          <w:lang w:val="en-GB"/>
        </w:rPr>
        <w:t>65.77%</w:t>
      </w:r>
      <w:r>
        <w:rPr>
          <w:rFonts w:ascii="Times New Roman" w:hAnsi="Times New Roman" w:cs="Times New Roman" w:hint="eastAsia"/>
          <w:color w:val="000000"/>
          <w:lang w:val="en-GB"/>
        </w:rPr>
        <w:t>，相比于</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1.01%</w:t>
      </w:r>
      <w:r>
        <w:rPr>
          <w:rFonts w:ascii="Times New Roman" w:hAnsi="Times New Roman" w:cs="Times New Roman" w:hint="eastAsia"/>
          <w:color w:val="000000"/>
          <w:lang w:val="en-GB"/>
        </w:rPr>
        <w:t>增加了</w:t>
      </w:r>
      <w:r>
        <w:rPr>
          <w:rFonts w:ascii="Times New Roman" w:hAnsi="Times New Roman" w:cs="Times New Roman"/>
          <w:color w:val="000000"/>
          <w:lang w:val="en-GB"/>
        </w:rPr>
        <w:t>64.77%</w:t>
      </w:r>
      <w:r>
        <w:rPr>
          <w:rFonts w:ascii="Times New Roman" w:hAnsi="Times New Roman" w:cs="Times New Roman" w:hint="eastAsia"/>
          <w:color w:val="000000"/>
          <w:lang w:val="en-GB"/>
        </w:rPr>
        <w:t>，主要系</w:t>
      </w:r>
      <w:r>
        <w:rPr>
          <w:rFonts w:ascii="Times New Roman" w:hAnsi="Times New Roman" w:cs="Times New Roman"/>
          <w:color w:val="000000"/>
          <w:lang w:val="en-GB"/>
        </w:rPr>
        <w:t>2020</w:t>
      </w:r>
      <w:r>
        <w:rPr>
          <w:rFonts w:ascii="Times New Roman" w:hAnsi="Times New Roman" w:cs="Times New Roman" w:hint="eastAsia"/>
          <w:color w:val="000000"/>
          <w:lang w:val="en-GB"/>
        </w:rPr>
        <w:t>年度，北洋天青与澳柯玛签订了《工业互联网平台、信息化系统及自动化物流线等设备采购合同》及其补充协议，其中工业互联网平台、</w:t>
      </w:r>
      <w:r>
        <w:rPr>
          <w:rFonts w:ascii="Times New Roman" w:hAnsi="Times New Roman" w:cs="Times New Roman"/>
          <w:color w:val="000000"/>
          <w:lang w:val="en-GB"/>
        </w:rPr>
        <w:t>MES</w:t>
      </w:r>
      <w:r>
        <w:rPr>
          <w:rFonts w:ascii="Times New Roman" w:hAnsi="Times New Roman" w:cs="Times New Roman" w:hint="eastAsia"/>
          <w:color w:val="000000"/>
          <w:lang w:val="en-GB"/>
        </w:rPr>
        <w:t>系统、</w:t>
      </w:r>
      <w:r>
        <w:rPr>
          <w:rFonts w:ascii="Times New Roman" w:hAnsi="Times New Roman" w:cs="Times New Roman"/>
          <w:color w:val="000000"/>
          <w:lang w:val="en-GB"/>
        </w:rPr>
        <w:t>SCADA</w:t>
      </w:r>
      <w:r>
        <w:rPr>
          <w:rFonts w:ascii="Times New Roman" w:hAnsi="Times New Roman" w:cs="Times New Roman" w:hint="eastAsia"/>
          <w:color w:val="000000"/>
          <w:lang w:val="en-GB"/>
        </w:rPr>
        <w:t>系统、</w:t>
      </w:r>
      <w:r>
        <w:rPr>
          <w:rFonts w:ascii="Times New Roman" w:hAnsi="Times New Roman" w:cs="Times New Roman"/>
          <w:color w:val="000000"/>
          <w:lang w:val="en-GB"/>
        </w:rPr>
        <w:t>PLM</w:t>
      </w:r>
      <w:r>
        <w:rPr>
          <w:rFonts w:ascii="Times New Roman" w:hAnsi="Times New Roman" w:cs="Times New Roman" w:hint="eastAsia"/>
          <w:color w:val="000000"/>
          <w:lang w:val="en-GB"/>
        </w:rPr>
        <w:t>及仿真系统及信息化硬件等企业信息化领域的定制化集成项目于</w:t>
      </w:r>
      <w:r>
        <w:rPr>
          <w:rFonts w:ascii="Times New Roman" w:hAnsi="Times New Roman" w:cs="Times New Roman"/>
          <w:color w:val="000000"/>
          <w:lang w:val="en-GB"/>
        </w:rPr>
        <w:t>2020</w:t>
      </w:r>
      <w:r>
        <w:rPr>
          <w:rFonts w:ascii="Times New Roman" w:hAnsi="Times New Roman" w:cs="Times New Roman" w:hint="eastAsia"/>
          <w:color w:val="000000"/>
          <w:lang w:val="en-GB"/>
        </w:rPr>
        <w:t>年</w:t>
      </w:r>
      <w:r>
        <w:rPr>
          <w:rFonts w:ascii="Times New Roman" w:hAnsi="Times New Roman" w:cs="Times New Roman"/>
          <w:color w:val="000000"/>
          <w:lang w:val="en-GB"/>
        </w:rPr>
        <w:t>12</w:t>
      </w:r>
      <w:r>
        <w:rPr>
          <w:rFonts w:ascii="Times New Roman" w:hAnsi="Times New Roman" w:cs="Times New Roman" w:hint="eastAsia"/>
          <w:color w:val="000000"/>
          <w:lang w:val="en-GB"/>
        </w:rPr>
        <w:t>月完成验收并确认收入所致。</w:t>
      </w:r>
    </w:p>
    <w:p w14:paraId="708EC055"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2020</w:t>
      </w:r>
      <w:r>
        <w:rPr>
          <w:rFonts w:ascii="Times New Roman" w:hAnsi="Times New Roman" w:cs="Times New Roman" w:hint="eastAsia"/>
          <w:color w:val="000000"/>
          <w:lang w:val="en-GB"/>
        </w:rPr>
        <w:t>年，标的公司企业信息化业务的毛利率为</w:t>
      </w:r>
      <w:r>
        <w:rPr>
          <w:rFonts w:ascii="Times New Roman" w:hAnsi="Times New Roman" w:cs="Times New Roman"/>
          <w:color w:val="000000"/>
          <w:lang w:val="en-GB"/>
        </w:rPr>
        <w:t>68.19%</w:t>
      </w:r>
      <w:r>
        <w:rPr>
          <w:rFonts w:ascii="Times New Roman" w:hAnsi="Times New Roman" w:cs="Times New Roman" w:hint="eastAsia"/>
          <w:color w:val="000000"/>
          <w:lang w:val="en-GB"/>
        </w:rPr>
        <w:t>，相较于</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87.70%</w:t>
      </w:r>
      <w:r>
        <w:rPr>
          <w:rFonts w:ascii="Times New Roman" w:hAnsi="Times New Roman" w:cs="Times New Roman" w:hint="eastAsia"/>
          <w:color w:val="000000"/>
          <w:lang w:val="en-GB"/>
        </w:rPr>
        <w:t>下降了</w:t>
      </w:r>
      <w:r>
        <w:rPr>
          <w:rFonts w:ascii="Times New Roman" w:hAnsi="Times New Roman" w:cs="Times New Roman"/>
          <w:color w:val="000000"/>
          <w:lang w:val="en-GB"/>
        </w:rPr>
        <w:t>19.50%</w:t>
      </w:r>
      <w:r>
        <w:rPr>
          <w:rFonts w:ascii="Times New Roman" w:hAnsi="Times New Roman" w:cs="Times New Roman" w:hint="eastAsia"/>
          <w:color w:val="000000"/>
          <w:lang w:val="en-GB"/>
        </w:rPr>
        <w:t>，主要系工业互联网平台项目、</w:t>
      </w:r>
      <w:r>
        <w:rPr>
          <w:rFonts w:ascii="Times New Roman" w:hAnsi="Times New Roman" w:cs="Times New Roman"/>
          <w:color w:val="000000"/>
          <w:lang w:val="en-GB"/>
        </w:rPr>
        <w:t>PLM</w:t>
      </w:r>
      <w:r>
        <w:rPr>
          <w:rFonts w:ascii="Times New Roman" w:hAnsi="Times New Roman" w:cs="Times New Roman" w:hint="eastAsia"/>
          <w:color w:val="000000"/>
          <w:lang w:val="en-GB"/>
        </w:rPr>
        <w:t>及仿真系统为标的公司对外采购所致。</w:t>
      </w:r>
      <w:r>
        <w:rPr>
          <w:rFonts w:ascii="Times New Roman" w:hAnsi="Times New Roman" w:cs="Times New Roman"/>
          <w:color w:val="000000"/>
          <w:lang w:val="en-GB"/>
        </w:rPr>
        <w:t>PLM</w:t>
      </w:r>
      <w:r>
        <w:rPr>
          <w:rFonts w:ascii="Times New Roman" w:hAnsi="Times New Roman" w:cs="Times New Roman" w:hint="eastAsia"/>
          <w:color w:val="000000"/>
          <w:lang w:val="en-GB"/>
        </w:rPr>
        <w:t>及仿真系统合同金额较小，工业互联网平台需要庞大的软件开发团队进行系统性开发，成本较高。且其他客户各自拥有不同的工业互联网平台，如海尔集团公司统一使用“卡奥斯”工业互联网平台，标的公司预计自主研发的工业互联网平台未来应用空间较小。北洋天青综合考虑人员安排、利润水平、未来市场空间等因素，未自主研发上述系统。</w:t>
      </w:r>
    </w:p>
    <w:p w14:paraId="2F757AD6" w14:textId="77777777" w:rsidR="000A0ACD" w:rsidRDefault="00362A99">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2</w:t>
      </w:r>
      <w:r>
        <w:rPr>
          <w:rFonts w:ascii="Times New Roman" w:hAnsi="Times New Roman" w:cs="Times New Roman" w:hint="eastAsia"/>
          <w:b/>
          <w:color w:val="000000"/>
          <w:lang w:val="en-GB"/>
        </w:rPr>
        <w:t>、智能制造装备业务</w:t>
      </w:r>
    </w:p>
    <w:p w14:paraId="48F62441"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2019</w:t>
      </w:r>
      <w:r>
        <w:rPr>
          <w:rFonts w:ascii="Times New Roman" w:hAnsi="Times New Roman" w:cs="Times New Roman" w:hint="eastAsia"/>
          <w:color w:val="000000"/>
          <w:lang w:val="en-GB"/>
        </w:rPr>
        <w:t>年，标的公司智能制造装备业务产生的毛利为</w:t>
      </w:r>
      <w:r>
        <w:rPr>
          <w:rFonts w:ascii="Times New Roman" w:hAnsi="Times New Roman" w:cs="Times New Roman"/>
          <w:color w:val="000000"/>
          <w:lang w:val="en-GB"/>
        </w:rPr>
        <w:t>2,536.82</w:t>
      </w:r>
      <w:r>
        <w:rPr>
          <w:rFonts w:ascii="Times New Roman" w:hAnsi="Times New Roman" w:cs="Times New Roman" w:hint="eastAsia"/>
          <w:color w:val="000000"/>
          <w:lang w:val="en-GB"/>
        </w:rPr>
        <w:t>万元，相比于</w:t>
      </w:r>
      <w:r>
        <w:rPr>
          <w:rFonts w:ascii="Times New Roman" w:hAnsi="Times New Roman" w:cs="Times New Roman"/>
          <w:color w:val="000000"/>
          <w:lang w:val="en-GB"/>
        </w:rPr>
        <w:t>2018</w:t>
      </w:r>
      <w:r>
        <w:rPr>
          <w:rFonts w:ascii="Times New Roman" w:hAnsi="Times New Roman" w:cs="Times New Roman" w:hint="eastAsia"/>
          <w:color w:val="000000"/>
          <w:lang w:val="en-GB"/>
        </w:rPr>
        <w:t>年的</w:t>
      </w:r>
      <w:r>
        <w:rPr>
          <w:rFonts w:ascii="Times New Roman" w:hAnsi="Times New Roman" w:cs="Times New Roman"/>
          <w:color w:val="000000"/>
          <w:lang w:val="en-GB"/>
        </w:rPr>
        <w:t>251.77</w:t>
      </w:r>
      <w:r>
        <w:rPr>
          <w:rFonts w:ascii="Times New Roman" w:hAnsi="Times New Roman" w:cs="Times New Roman" w:hint="eastAsia"/>
          <w:color w:val="000000"/>
          <w:lang w:val="en-GB"/>
        </w:rPr>
        <w:t>万元增加了</w:t>
      </w:r>
      <w:r>
        <w:rPr>
          <w:rFonts w:ascii="Times New Roman" w:hAnsi="Times New Roman" w:cs="Times New Roman"/>
          <w:color w:val="000000"/>
          <w:lang w:val="en-GB"/>
        </w:rPr>
        <w:t>2,285.05</w:t>
      </w:r>
      <w:r>
        <w:rPr>
          <w:rFonts w:ascii="Times New Roman" w:hAnsi="Times New Roman" w:cs="Times New Roman" w:hint="eastAsia"/>
          <w:color w:val="000000"/>
          <w:lang w:val="en-GB"/>
        </w:rPr>
        <w:t>万元，其对定制化集成业务的毛利贡献率为</w:t>
      </w:r>
      <w:r>
        <w:rPr>
          <w:rFonts w:ascii="Times New Roman" w:hAnsi="Times New Roman" w:cs="Times New Roman"/>
          <w:color w:val="000000"/>
          <w:lang w:val="en-GB"/>
        </w:rPr>
        <w:t>86.75%</w:t>
      </w:r>
      <w:r>
        <w:rPr>
          <w:rFonts w:ascii="Times New Roman" w:hAnsi="Times New Roman" w:cs="Times New Roman" w:hint="eastAsia"/>
          <w:color w:val="000000"/>
          <w:lang w:val="en-GB"/>
        </w:rPr>
        <w:t>，相比于</w:t>
      </w:r>
      <w:r>
        <w:rPr>
          <w:rFonts w:ascii="Times New Roman" w:hAnsi="Times New Roman" w:cs="Times New Roman"/>
          <w:color w:val="000000"/>
          <w:lang w:val="en-GB"/>
        </w:rPr>
        <w:t>2018</w:t>
      </w:r>
      <w:r>
        <w:rPr>
          <w:rFonts w:ascii="Times New Roman" w:hAnsi="Times New Roman" w:cs="Times New Roman" w:hint="eastAsia"/>
          <w:color w:val="000000"/>
          <w:lang w:val="en-GB"/>
        </w:rPr>
        <w:t>年的</w:t>
      </w:r>
      <w:r>
        <w:rPr>
          <w:rFonts w:ascii="Times New Roman" w:hAnsi="Times New Roman" w:cs="Times New Roman"/>
          <w:color w:val="000000"/>
          <w:lang w:val="en-GB"/>
        </w:rPr>
        <w:t>55.53%</w:t>
      </w:r>
      <w:r>
        <w:rPr>
          <w:rFonts w:ascii="Times New Roman" w:hAnsi="Times New Roman" w:cs="Times New Roman" w:hint="eastAsia"/>
          <w:color w:val="000000"/>
          <w:lang w:val="en-GB"/>
        </w:rPr>
        <w:t>增加了</w:t>
      </w:r>
      <w:r>
        <w:rPr>
          <w:rFonts w:ascii="Times New Roman" w:hAnsi="Times New Roman" w:cs="Times New Roman"/>
          <w:color w:val="000000"/>
          <w:lang w:val="en-GB"/>
        </w:rPr>
        <w:t>31.22%</w:t>
      </w:r>
      <w:r>
        <w:rPr>
          <w:rFonts w:ascii="Times New Roman" w:hAnsi="Times New Roman" w:cs="Times New Roman" w:hint="eastAsia"/>
          <w:color w:val="000000"/>
          <w:lang w:val="en-GB"/>
        </w:rPr>
        <w:t>，主要系标的公司凭借过硬的产品质量和健全的售后服务体系，加强了与主要客户的合作关系，并且标的公司</w:t>
      </w:r>
      <w:r>
        <w:rPr>
          <w:rFonts w:ascii="Times New Roman" w:hAnsi="Times New Roman" w:cs="Times New Roman"/>
          <w:color w:val="000000"/>
          <w:lang w:val="en-GB"/>
        </w:rPr>
        <w:t>2019</w:t>
      </w:r>
      <w:r>
        <w:rPr>
          <w:rFonts w:ascii="Times New Roman" w:hAnsi="Times New Roman" w:cs="Times New Roman" w:hint="eastAsia"/>
          <w:color w:val="000000"/>
          <w:lang w:val="en-GB"/>
        </w:rPr>
        <w:t>年开始转型以智能制造装备业务为发展重点，使得其业务规模迅速增长所致。</w:t>
      </w:r>
    </w:p>
    <w:p w14:paraId="25D9BA84"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2020</w:t>
      </w:r>
      <w:r>
        <w:rPr>
          <w:rFonts w:ascii="Times New Roman" w:hAnsi="Times New Roman" w:cs="Times New Roman" w:hint="eastAsia"/>
          <w:color w:val="000000"/>
          <w:lang w:val="en-GB"/>
        </w:rPr>
        <w:t>年，标的公司智能制造装备业务产生的毛利为</w:t>
      </w:r>
      <w:r>
        <w:rPr>
          <w:rFonts w:ascii="Times New Roman" w:hAnsi="Times New Roman" w:cs="Times New Roman"/>
          <w:color w:val="000000"/>
          <w:lang w:val="en-GB"/>
        </w:rPr>
        <w:t>770.75</w:t>
      </w:r>
      <w:r>
        <w:rPr>
          <w:rFonts w:ascii="Times New Roman" w:hAnsi="Times New Roman" w:cs="Times New Roman" w:hint="eastAsia"/>
          <w:color w:val="000000"/>
          <w:lang w:val="en-GB"/>
        </w:rPr>
        <w:t>万元，相比于</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2,536.82</w:t>
      </w:r>
      <w:r>
        <w:rPr>
          <w:rFonts w:ascii="Times New Roman" w:hAnsi="Times New Roman" w:cs="Times New Roman" w:hint="eastAsia"/>
          <w:color w:val="000000"/>
          <w:lang w:val="en-GB"/>
        </w:rPr>
        <w:t>万元下降了</w:t>
      </w:r>
      <w:r>
        <w:rPr>
          <w:rFonts w:ascii="Times New Roman" w:hAnsi="Times New Roman" w:cs="Times New Roman"/>
          <w:color w:val="000000"/>
          <w:lang w:val="en-GB"/>
        </w:rPr>
        <w:t>1,766.07</w:t>
      </w:r>
      <w:r>
        <w:rPr>
          <w:rFonts w:ascii="Times New Roman" w:hAnsi="Times New Roman" w:cs="Times New Roman" w:hint="eastAsia"/>
          <w:color w:val="000000"/>
          <w:lang w:val="en-GB"/>
        </w:rPr>
        <w:t>万元，其对定制化集成业务的毛利贡献率为</w:t>
      </w:r>
      <w:r>
        <w:rPr>
          <w:rFonts w:ascii="Times New Roman" w:hAnsi="Times New Roman" w:cs="Times New Roman"/>
          <w:color w:val="000000"/>
          <w:lang w:val="en-GB"/>
        </w:rPr>
        <w:t>18.62%</w:t>
      </w:r>
      <w:r>
        <w:rPr>
          <w:rFonts w:ascii="Times New Roman" w:hAnsi="Times New Roman" w:cs="Times New Roman" w:hint="eastAsia"/>
          <w:color w:val="000000"/>
          <w:lang w:val="en-GB"/>
        </w:rPr>
        <w:t>，相比于</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86.75%</w:t>
      </w:r>
      <w:r>
        <w:rPr>
          <w:rFonts w:ascii="Times New Roman" w:hAnsi="Times New Roman" w:cs="Times New Roman" w:hint="eastAsia"/>
          <w:color w:val="000000"/>
          <w:lang w:val="en-GB"/>
        </w:rPr>
        <w:t>下降了</w:t>
      </w:r>
      <w:r>
        <w:rPr>
          <w:rFonts w:ascii="Times New Roman" w:hAnsi="Times New Roman" w:cs="Times New Roman"/>
          <w:color w:val="000000"/>
          <w:lang w:val="en-GB"/>
        </w:rPr>
        <w:t>68.13%</w:t>
      </w:r>
      <w:r>
        <w:rPr>
          <w:rFonts w:ascii="Times New Roman" w:hAnsi="Times New Roman" w:cs="Times New Roman" w:hint="eastAsia"/>
          <w:color w:val="000000"/>
          <w:lang w:val="en-GB"/>
        </w:rPr>
        <w:t>，主要由于智能制造装备业务工期较长，受疫情影响，标的公司部分项目延期，无法确认收入所致。</w:t>
      </w:r>
    </w:p>
    <w:p w14:paraId="2CD518D2"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09"/>
        <w:gridCol w:w="1147"/>
        <w:gridCol w:w="1467"/>
        <w:gridCol w:w="1367"/>
        <w:gridCol w:w="1549"/>
        <w:gridCol w:w="1183"/>
      </w:tblGrid>
      <w:tr w:rsidR="000A0ACD" w14:paraId="2CDDE5BE" w14:textId="77777777">
        <w:trPr>
          <w:trHeight w:val="397"/>
          <w:tblHeader/>
          <w:jc w:val="center"/>
        </w:trPr>
        <w:tc>
          <w:tcPr>
            <w:tcW w:w="1061" w:type="pct"/>
            <w:vAlign w:val="center"/>
          </w:tcPr>
          <w:p w14:paraId="0625F2FB"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智能制造装备业务</w:t>
            </w:r>
          </w:p>
        </w:tc>
        <w:tc>
          <w:tcPr>
            <w:tcW w:w="673" w:type="pct"/>
            <w:vAlign w:val="center"/>
          </w:tcPr>
          <w:p w14:paraId="78E72D9E"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2020</w:t>
            </w:r>
            <w:r>
              <w:rPr>
                <w:rFonts w:ascii="Times New Roman" w:hAnsi="Times New Roman" w:cs="Times New Roman"/>
                <w:b/>
                <w:bCs/>
                <w:color w:val="000000"/>
                <w:sz w:val="21"/>
                <w:szCs w:val="21"/>
                <w:lang w:val="en-GB"/>
              </w:rPr>
              <w:t>年度</w:t>
            </w:r>
          </w:p>
        </w:tc>
        <w:tc>
          <w:tcPr>
            <w:tcW w:w="861" w:type="pct"/>
            <w:vAlign w:val="center"/>
          </w:tcPr>
          <w:p w14:paraId="57CE0D91"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020</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802" w:type="pct"/>
            <w:vAlign w:val="center"/>
          </w:tcPr>
          <w:p w14:paraId="16EB6798"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年度</w:t>
            </w:r>
          </w:p>
        </w:tc>
        <w:tc>
          <w:tcPr>
            <w:tcW w:w="909" w:type="pct"/>
            <w:vAlign w:val="center"/>
          </w:tcPr>
          <w:p w14:paraId="5FF1E59E"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年较</w:t>
            </w: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年增长</w:t>
            </w:r>
          </w:p>
        </w:tc>
        <w:tc>
          <w:tcPr>
            <w:tcW w:w="694" w:type="pct"/>
            <w:vAlign w:val="center"/>
          </w:tcPr>
          <w:p w14:paraId="5E02CF77"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年度</w:t>
            </w:r>
          </w:p>
        </w:tc>
      </w:tr>
      <w:tr w:rsidR="000A0ACD" w14:paraId="31FCA976" w14:textId="77777777">
        <w:trPr>
          <w:trHeight w:val="397"/>
          <w:jc w:val="center"/>
        </w:trPr>
        <w:tc>
          <w:tcPr>
            <w:tcW w:w="1061" w:type="pct"/>
            <w:vAlign w:val="center"/>
          </w:tcPr>
          <w:p w14:paraId="57C377DF"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营业收入</w:t>
            </w:r>
          </w:p>
        </w:tc>
        <w:tc>
          <w:tcPr>
            <w:tcW w:w="673" w:type="pct"/>
            <w:vAlign w:val="center"/>
          </w:tcPr>
          <w:p w14:paraId="00DA9BA7"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2,354.05</w:t>
            </w:r>
          </w:p>
        </w:tc>
        <w:tc>
          <w:tcPr>
            <w:tcW w:w="861" w:type="pct"/>
            <w:vAlign w:val="center"/>
          </w:tcPr>
          <w:p w14:paraId="5D920FE3"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-5,070.66</w:t>
            </w:r>
          </w:p>
        </w:tc>
        <w:tc>
          <w:tcPr>
            <w:tcW w:w="802" w:type="pct"/>
            <w:vAlign w:val="center"/>
          </w:tcPr>
          <w:p w14:paraId="4778567A"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7,424.71</w:t>
            </w:r>
          </w:p>
        </w:tc>
        <w:tc>
          <w:tcPr>
            <w:tcW w:w="909" w:type="pct"/>
            <w:vAlign w:val="center"/>
          </w:tcPr>
          <w:p w14:paraId="6E9A518C"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6,755.9</w:t>
            </w:r>
            <w:r>
              <w:rPr>
                <w:rFonts w:ascii="Times New Roman" w:eastAsia="等线" w:hAnsi="Times New Roman" w:cs="Times New Roman" w:hint="eastAsia"/>
                <w:color w:val="000000"/>
                <w:kern w:val="2"/>
                <w:sz w:val="21"/>
                <w:szCs w:val="21"/>
              </w:rPr>
              <w:t>8</w:t>
            </w:r>
          </w:p>
        </w:tc>
        <w:tc>
          <w:tcPr>
            <w:tcW w:w="694" w:type="pct"/>
            <w:vAlign w:val="center"/>
          </w:tcPr>
          <w:p w14:paraId="31374FC9"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668.74</w:t>
            </w:r>
          </w:p>
        </w:tc>
      </w:tr>
      <w:tr w:rsidR="000A0ACD" w14:paraId="34BD8CEA" w14:textId="77777777">
        <w:trPr>
          <w:trHeight w:val="397"/>
          <w:jc w:val="center"/>
        </w:trPr>
        <w:tc>
          <w:tcPr>
            <w:tcW w:w="1061" w:type="pct"/>
            <w:vAlign w:val="center"/>
          </w:tcPr>
          <w:p w14:paraId="44FDECBB"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673" w:type="pct"/>
            <w:vAlign w:val="center"/>
          </w:tcPr>
          <w:p w14:paraId="5C6FAC1B"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bCs/>
                <w:color w:val="000000"/>
                <w:kern w:val="2"/>
                <w:sz w:val="21"/>
                <w:szCs w:val="21"/>
              </w:rPr>
              <w:t>1,583.31</w:t>
            </w:r>
          </w:p>
        </w:tc>
        <w:tc>
          <w:tcPr>
            <w:tcW w:w="861" w:type="pct"/>
            <w:vAlign w:val="center"/>
          </w:tcPr>
          <w:p w14:paraId="432A7069"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bCs/>
                <w:color w:val="000000"/>
                <w:kern w:val="2"/>
                <w:sz w:val="21"/>
                <w:szCs w:val="21"/>
              </w:rPr>
              <w:t>-3,304.59</w:t>
            </w:r>
          </w:p>
        </w:tc>
        <w:tc>
          <w:tcPr>
            <w:tcW w:w="802" w:type="pct"/>
            <w:vAlign w:val="center"/>
          </w:tcPr>
          <w:p w14:paraId="4E273580"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4,887.90</w:t>
            </w:r>
          </w:p>
        </w:tc>
        <w:tc>
          <w:tcPr>
            <w:tcW w:w="909" w:type="pct"/>
            <w:vAlign w:val="center"/>
          </w:tcPr>
          <w:p w14:paraId="513C42AB"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4,470.93</w:t>
            </w:r>
          </w:p>
        </w:tc>
        <w:tc>
          <w:tcPr>
            <w:tcW w:w="694" w:type="pct"/>
            <w:vAlign w:val="center"/>
          </w:tcPr>
          <w:p w14:paraId="0FD68BCA" w14:textId="77777777" w:rsidR="000A0ACD" w:rsidRDefault="00362A99">
            <w:pPr>
              <w:snapToGrid w:val="0"/>
              <w:jc w:val="right"/>
              <w:rPr>
                <w:rFonts w:ascii="Times New Roman" w:eastAsia="等线" w:hAnsi="Times New Roman" w:cs="Times New Roman"/>
                <w:bCs/>
                <w:color w:val="000000"/>
                <w:kern w:val="2"/>
                <w:sz w:val="21"/>
                <w:szCs w:val="21"/>
              </w:rPr>
            </w:pPr>
            <w:r>
              <w:rPr>
                <w:rFonts w:ascii="Times New Roman" w:hAnsi="Times New Roman" w:cs="Times New Roman"/>
                <w:color w:val="000000"/>
                <w:sz w:val="21"/>
                <w:szCs w:val="21"/>
              </w:rPr>
              <w:t>416.97</w:t>
            </w:r>
          </w:p>
        </w:tc>
      </w:tr>
      <w:tr w:rsidR="000A0ACD" w14:paraId="33ACB5D9" w14:textId="77777777">
        <w:trPr>
          <w:trHeight w:val="397"/>
          <w:jc w:val="center"/>
        </w:trPr>
        <w:tc>
          <w:tcPr>
            <w:tcW w:w="1061" w:type="pct"/>
            <w:vAlign w:val="center"/>
          </w:tcPr>
          <w:p w14:paraId="66D3C040"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673" w:type="pct"/>
            <w:vAlign w:val="center"/>
          </w:tcPr>
          <w:p w14:paraId="64834FE2"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770.75</w:t>
            </w:r>
          </w:p>
        </w:tc>
        <w:tc>
          <w:tcPr>
            <w:tcW w:w="861" w:type="pct"/>
            <w:vAlign w:val="center"/>
          </w:tcPr>
          <w:p w14:paraId="1C9C7BE0"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-1,766.07</w:t>
            </w:r>
          </w:p>
        </w:tc>
        <w:tc>
          <w:tcPr>
            <w:tcW w:w="802" w:type="pct"/>
            <w:vAlign w:val="center"/>
          </w:tcPr>
          <w:p w14:paraId="3A4913FF"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2,536.82</w:t>
            </w:r>
          </w:p>
        </w:tc>
        <w:tc>
          <w:tcPr>
            <w:tcW w:w="909" w:type="pct"/>
            <w:vAlign w:val="center"/>
          </w:tcPr>
          <w:p w14:paraId="2090EC63"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2,285.05</w:t>
            </w:r>
          </w:p>
        </w:tc>
        <w:tc>
          <w:tcPr>
            <w:tcW w:w="694" w:type="pct"/>
            <w:vAlign w:val="center"/>
          </w:tcPr>
          <w:p w14:paraId="72C96821"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251.77</w:t>
            </w:r>
          </w:p>
        </w:tc>
      </w:tr>
      <w:tr w:rsidR="000A0ACD" w14:paraId="4F98250A" w14:textId="77777777">
        <w:trPr>
          <w:trHeight w:val="397"/>
          <w:jc w:val="center"/>
        </w:trPr>
        <w:tc>
          <w:tcPr>
            <w:tcW w:w="1061" w:type="pct"/>
            <w:vAlign w:val="center"/>
          </w:tcPr>
          <w:p w14:paraId="03C9030D"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673" w:type="pct"/>
            <w:vAlign w:val="center"/>
          </w:tcPr>
          <w:p w14:paraId="5186CC8F"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32.74%</w:t>
            </w:r>
          </w:p>
        </w:tc>
        <w:tc>
          <w:tcPr>
            <w:tcW w:w="861" w:type="pct"/>
            <w:vAlign w:val="center"/>
          </w:tcPr>
          <w:p w14:paraId="3B6264B0"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-1.43%</w:t>
            </w:r>
          </w:p>
        </w:tc>
        <w:tc>
          <w:tcPr>
            <w:tcW w:w="802" w:type="pct"/>
            <w:vAlign w:val="center"/>
          </w:tcPr>
          <w:p w14:paraId="48BD8C81"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34.17%</w:t>
            </w:r>
          </w:p>
        </w:tc>
        <w:tc>
          <w:tcPr>
            <w:tcW w:w="909" w:type="pct"/>
            <w:vAlign w:val="center"/>
          </w:tcPr>
          <w:p w14:paraId="2AC3FF2A"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-3.48%</w:t>
            </w:r>
          </w:p>
        </w:tc>
        <w:tc>
          <w:tcPr>
            <w:tcW w:w="694" w:type="pct"/>
            <w:vAlign w:val="center"/>
          </w:tcPr>
          <w:p w14:paraId="3C20C0FB"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37.65%</w:t>
            </w:r>
          </w:p>
        </w:tc>
      </w:tr>
      <w:tr w:rsidR="000A0ACD" w14:paraId="74B56D5A" w14:textId="77777777">
        <w:trPr>
          <w:trHeight w:val="397"/>
          <w:jc w:val="center"/>
        </w:trPr>
        <w:tc>
          <w:tcPr>
            <w:tcW w:w="1061" w:type="pct"/>
            <w:vAlign w:val="center"/>
          </w:tcPr>
          <w:p w14:paraId="1AD1D1E4"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对定制化集成业务的毛利贡献率</w:t>
            </w:r>
          </w:p>
        </w:tc>
        <w:tc>
          <w:tcPr>
            <w:tcW w:w="673" w:type="pct"/>
            <w:vAlign w:val="center"/>
          </w:tcPr>
          <w:p w14:paraId="7E6DE8D2"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18.62%</w:t>
            </w:r>
          </w:p>
        </w:tc>
        <w:tc>
          <w:tcPr>
            <w:tcW w:w="861" w:type="pct"/>
            <w:vAlign w:val="center"/>
          </w:tcPr>
          <w:p w14:paraId="5989CE0D"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-68.13%</w:t>
            </w:r>
          </w:p>
        </w:tc>
        <w:tc>
          <w:tcPr>
            <w:tcW w:w="802" w:type="pct"/>
            <w:vAlign w:val="center"/>
          </w:tcPr>
          <w:p w14:paraId="16B2BC0A"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86.75%</w:t>
            </w:r>
          </w:p>
        </w:tc>
        <w:tc>
          <w:tcPr>
            <w:tcW w:w="909" w:type="pct"/>
            <w:vAlign w:val="center"/>
          </w:tcPr>
          <w:p w14:paraId="61E49403" w14:textId="77777777" w:rsidR="000A0ACD" w:rsidRDefault="00362A99">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31.22%</w:t>
            </w:r>
          </w:p>
        </w:tc>
        <w:tc>
          <w:tcPr>
            <w:tcW w:w="694" w:type="pct"/>
            <w:vAlign w:val="center"/>
          </w:tcPr>
          <w:p w14:paraId="190F22C4"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55.53%</w:t>
            </w:r>
          </w:p>
        </w:tc>
      </w:tr>
    </w:tbl>
    <w:p w14:paraId="6F30FFB7"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注：对定制化集成业务的毛利贡献率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智能制造装备业务的毛利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定制化集成业务总毛利。</w:t>
      </w:r>
    </w:p>
    <w:p w14:paraId="45CF1095"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截至本回复出具日，北洋天青预计</w:t>
      </w:r>
      <w:r>
        <w:rPr>
          <w:rFonts w:ascii="Times New Roman" w:hAnsi="Times New Roman" w:cs="Times New Roman"/>
          <w:color w:val="000000"/>
          <w:lang w:val="en-GB"/>
        </w:rPr>
        <w:t>2021</w:t>
      </w:r>
      <w:r>
        <w:rPr>
          <w:rFonts w:ascii="Times New Roman" w:hAnsi="Times New Roman" w:cs="Times New Roman" w:hint="eastAsia"/>
          <w:color w:val="000000"/>
          <w:lang w:val="en-GB"/>
        </w:rPr>
        <w:t>年可确认在手订单收入规模达到</w:t>
      </w:r>
      <w:r>
        <w:rPr>
          <w:rFonts w:ascii="Times New Roman" w:hAnsi="Times New Roman" w:cs="Times New Roman"/>
          <w:color w:val="000000"/>
          <w:lang w:val="en-GB"/>
        </w:rPr>
        <w:t>3.13</w:t>
      </w:r>
      <w:r>
        <w:rPr>
          <w:rFonts w:ascii="Times New Roman" w:hAnsi="Times New Roman" w:cs="Times New Roman" w:hint="eastAsia"/>
          <w:color w:val="000000"/>
          <w:lang w:val="en-GB"/>
        </w:rPr>
        <w:t>亿元，其中智能制造装备业务贡献的预计可确认在手订单收入规模达到</w:t>
      </w:r>
      <w:r>
        <w:rPr>
          <w:rFonts w:ascii="Times New Roman" w:hAnsi="Times New Roman" w:cs="Times New Roman"/>
          <w:color w:val="000000"/>
          <w:lang w:val="en-GB"/>
        </w:rPr>
        <w:t>1.47</w:t>
      </w:r>
      <w:r>
        <w:rPr>
          <w:rFonts w:ascii="Times New Roman" w:hAnsi="Times New Roman" w:cs="Times New Roman" w:hint="eastAsia"/>
          <w:color w:val="000000"/>
          <w:lang w:val="en-GB"/>
        </w:rPr>
        <w:t>亿元。随着疫情影响的逐渐减小，标的公司智能制造装备业务的营业收入将会逐渐增长。</w:t>
      </w:r>
    </w:p>
    <w:p w14:paraId="33BBFCC5"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报告期内各期，标的公司智能制造装备业务的毛利率分别为</w:t>
      </w:r>
      <w:r>
        <w:rPr>
          <w:rFonts w:ascii="Times New Roman" w:hAnsi="Times New Roman" w:cs="Times New Roman"/>
          <w:color w:val="000000"/>
          <w:lang w:val="en-GB"/>
        </w:rPr>
        <w:t>37.65%</w:t>
      </w:r>
      <w:r>
        <w:rPr>
          <w:rFonts w:ascii="Times New Roman" w:hAnsi="Times New Roman" w:cs="Times New Roman" w:hint="eastAsia"/>
          <w:color w:val="000000"/>
          <w:lang w:val="en-GB"/>
        </w:rPr>
        <w:t>、</w:t>
      </w:r>
      <w:r>
        <w:rPr>
          <w:rFonts w:ascii="Times New Roman" w:hAnsi="Times New Roman" w:cs="Times New Roman"/>
          <w:color w:val="000000"/>
          <w:lang w:val="en-GB"/>
        </w:rPr>
        <w:t>34.17%</w:t>
      </w:r>
      <w:r>
        <w:rPr>
          <w:rFonts w:ascii="Times New Roman" w:hAnsi="Times New Roman" w:cs="Times New Roman" w:hint="eastAsia"/>
          <w:color w:val="000000"/>
          <w:lang w:val="en-GB"/>
        </w:rPr>
        <w:t>和</w:t>
      </w:r>
      <w:r>
        <w:rPr>
          <w:rFonts w:ascii="Times New Roman" w:hAnsi="Times New Roman" w:cs="Times New Roman"/>
          <w:color w:val="000000"/>
          <w:lang w:val="en-GB"/>
        </w:rPr>
        <w:t>32.74%</w:t>
      </w:r>
      <w:r>
        <w:rPr>
          <w:rFonts w:ascii="Times New Roman" w:hAnsi="Times New Roman" w:cs="Times New Roman" w:hint="eastAsia"/>
          <w:color w:val="000000"/>
          <w:lang w:val="en-GB"/>
        </w:rPr>
        <w:t>，毛利率水平逐年下降，主要系标的公司基于战略目的，开拓新业务方向主动放弃部分毛利所致。</w:t>
      </w:r>
    </w:p>
    <w:p w14:paraId="4DDCE6D6" w14:textId="77777777" w:rsidR="000A0ACD" w:rsidRDefault="00362A99">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3</w:t>
      </w:r>
      <w:r>
        <w:rPr>
          <w:rFonts w:ascii="Times New Roman" w:hAnsi="Times New Roman" w:cs="Times New Roman" w:hint="eastAsia"/>
          <w:b/>
          <w:color w:val="000000"/>
          <w:lang w:val="en-GB"/>
        </w:rPr>
        <w:t>、物流悬挂输送系统业务</w:t>
      </w:r>
    </w:p>
    <w:p w14:paraId="2E906E58"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2018</w:t>
      </w:r>
      <w:r>
        <w:rPr>
          <w:rFonts w:ascii="Times New Roman" w:hAnsi="Times New Roman" w:cs="Times New Roman" w:hint="eastAsia"/>
          <w:color w:val="000000"/>
          <w:lang w:val="en-GB"/>
        </w:rPr>
        <w:t>年，标的公司未开展物流悬挂输送系统业务。</w:t>
      </w:r>
      <w:r>
        <w:rPr>
          <w:rFonts w:ascii="Times New Roman" w:hAnsi="Times New Roman" w:cs="Times New Roman"/>
          <w:color w:val="000000"/>
          <w:lang w:val="en-GB"/>
        </w:rPr>
        <w:t>2019</w:t>
      </w:r>
      <w:r>
        <w:rPr>
          <w:rFonts w:ascii="Times New Roman" w:hAnsi="Times New Roman" w:cs="Times New Roman" w:hint="eastAsia"/>
          <w:color w:val="000000"/>
          <w:lang w:val="en-GB"/>
        </w:rPr>
        <w:t>年、</w:t>
      </w:r>
      <w:r>
        <w:rPr>
          <w:rFonts w:ascii="Times New Roman" w:hAnsi="Times New Roman" w:cs="Times New Roman"/>
          <w:color w:val="000000"/>
          <w:lang w:val="en-GB"/>
        </w:rPr>
        <w:t>2020</w:t>
      </w:r>
      <w:r>
        <w:rPr>
          <w:rFonts w:ascii="Times New Roman" w:hAnsi="Times New Roman" w:cs="Times New Roman" w:hint="eastAsia"/>
          <w:color w:val="000000"/>
          <w:lang w:val="en-GB"/>
        </w:rPr>
        <w:t>年，标的公司物流悬挂输送系统业务产生的毛利分别为</w:t>
      </w:r>
      <w:r>
        <w:rPr>
          <w:rFonts w:ascii="Times New Roman" w:hAnsi="Times New Roman" w:cs="Times New Roman"/>
          <w:color w:val="000000"/>
          <w:lang w:val="en-GB"/>
        </w:rPr>
        <w:t>357.93</w:t>
      </w:r>
      <w:r>
        <w:rPr>
          <w:rFonts w:ascii="Times New Roman" w:hAnsi="Times New Roman" w:cs="Times New Roman" w:hint="eastAsia"/>
          <w:color w:val="000000"/>
          <w:lang w:val="en-GB"/>
        </w:rPr>
        <w:t>万元、</w:t>
      </w:r>
      <w:r>
        <w:rPr>
          <w:rFonts w:ascii="Times New Roman" w:hAnsi="Times New Roman" w:cs="Times New Roman"/>
          <w:color w:val="000000"/>
          <w:lang w:val="en-GB"/>
        </w:rPr>
        <w:t>646.13</w:t>
      </w:r>
      <w:r>
        <w:rPr>
          <w:rFonts w:ascii="Times New Roman" w:hAnsi="Times New Roman" w:cs="Times New Roman" w:hint="eastAsia"/>
          <w:color w:val="000000"/>
          <w:lang w:val="en-GB"/>
        </w:rPr>
        <w:t>万元，其对定制化集成业务的毛利贡献率分别为</w:t>
      </w:r>
      <w:r>
        <w:rPr>
          <w:rFonts w:ascii="Times New Roman" w:hAnsi="Times New Roman" w:cs="Times New Roman"/>
          <w:color w:val="000000"/>
          <w:lang w:val="en-GB"/>
        </w:rPr>
        <w:t>12.24%</w:t>
      </w:r>
      <w:r>
        <w:rPr>
          <w:rFonts w:ascii="Times New Roman" w:hAnsi="Times New Roman" w:cs="Times New Roman" w:hint="eastAsia"/>
          <w:color w:val="000000"/>
          <w:lang w:val="en-GB"/>
        </w:rPr>
        <w:t>、</w:t>
      </w:r>
      <w:r>
        <w:rPr>
          <w:rFonts w:ascii="Times New Roman" w:hAnsi="Times New Roman" w:cs="Times New Roman"/>
          <w:color w:val="000000"/>
          <w:lang w:val="en-GB"/>
        </w:rPr>
        <w:t>15.61%</w:t>
      </w:r>
      <w:r>
        <w:rPr>
          <w:rFonts w:ascii="Times New Roman" w:hAnsi="Times New Roman" w:cs="Times New Roman" w:hint="eastAsia"/>
          <w:color w:val="000000"/>
          <w:lang w:val="en-GB"/>
        </w:rPr>
        <w:t>。</w:t>
      </w:r>
      <w:r>
        <w:rPr>
          <w:rFonts w:ascii="Times New Roman" w:hAnsi="Times New Roman" w:cs="Times New Roman"/>
          <w:color w:val="000000"/>
          <w:lang w:val="en-GB"/>
        </w:rPr>
        <w:t>2019</w:t>
      </w:r>
      <w:r>
        <w:rPr>
          <w:rFonts w:ascii="Times New Roman" w:hAnsi="Times New Roman" w:cs="Times New Roman" w:hint="eastAsia"/>
          <w:color w:val="000000"/>
          <w:lang w:val="en-GB"/>
        </w:rPr>
        <w:t>年、</w:t>
      </w:r>
      <w:r>
        <w:rPr>
          <w:rFonts w:ascii="Times New Roman" w:hAnsi="Times New Roman" w:cs="Times New Roman"/>
          <w:color w:val="000000"/>
          <w:lang w:val="en-GB"/>
        </w:rPr>
        <w:t>2020</w:t>
      </w:r>
      <w:r>
        <w:rPr>
          <w:rFonts w:ascii="Times New Roman" w:hAnsi="Times New Roman" w:cs="Times New Roman" w:hint="eastAsia"/>
          <w:color w:val="000000"/>
          <w:lang w:val="en-GB"/>
        </w:rPr>
        <w:t>年，标的公司物流悬挂输送系统业务的毛利率分别为</w:t>
      </w:r>
      <w:r>
        <w:rPr>
          <w:rFonts w:ascii="Times New Roman" w:hAnsi="Times New Roman" w:cs="Times New Roman"/>
          <w:color w:val="000000"/>
          <w:lang w:val="en-GB"/>
        </w:rPr>
        <w:t>32.95%</w:t>
      </w:r>
      <w:r>
        <w:rPr>
          <w:rFonts w:ascii="Times New Roman" w:hAnsi="Times New Roman" w:cs="Times New Roman" w:hint="eastAsia"/>
          <w:color w:val="000000"/>
          <w:lang w:val="en-GB"/>
        </w:rPr>
        <w:t>、</w:t>
      </w:r>
      <w:r>
        <w:rPr>
          <w:rFonts w:ascii="Times New Roman" w:hAnsi="Times New Roman" w:cs="Times New Roman"/>
          <w:color w:val="000000"/>
          <w:lang w:val="en-GB"/>
        </w:rPr>
        <w:t>32.67%</w:t>
      </w:r>
      <w:r>
        <w:rPr>
          <w:rFonts w:ascii="Times New Roman" w:hAnsi="Times New Roman" w:cs="Times New Roman" w:hint="eastAsia"/>
          <w:color w:val="000000"/>
          <w:lang w:val="en-GB"/>
        </w:rPr>
        <w:t>，毛利率水平保持稳定。</w:t>
      </w:r>
    </w:p>
    <w:p w14:paraId="75E5EE32"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90"/>
        <w:gridCol w:w="1307"/>
        <w:gridCol w:w="1311"/>
        <w:gridCol w:w="1307"/>
        <w:gridCol w:w="1454"/>
        <w:gridCol w:w="1253"/>
      </w:tblGrid>
      <w:tr w:rsidR="000A0ACD" w14:paraId="6F41905C" w14:textId="77777777">
        <w:trPr>
          <w:trHeight w:val="397"/>
          <w:tblHeader/>
          <w:jc w:val="center"/>
        </w:trPr>
        <w:tc>
          <w:tcPr>
            <w:tcW w:w="1109" w:type="pct"/>
            <w:vAlign w:val="center"/>
          </w:tcPr>
          <w:p w14:paraId="10EFF844"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物流悬挂输送系统业务</w:t>
            </w:r>
          </w:p>
        </w:tc>
        <w:tc>
          <w:tcPr>
            <w:tcW w:w="767" w:type="pct"/>
            <w:vAlign w:val="center"/>
          </w:tcPr>
          <w:p w14:paraId="6114052B"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2020</w:t>
            </w:r>
            <w:r>
              <w:rPr>
                <w:rFonts w:ascii="Times New Roman" w:hAnsi="Times New Roman" w:cs="Times New Roman"/>
                <w:b/>
                <w:bCs/>
                <w:color w:val="000000"/>
                <w:sz w:val="21"/>
                <w:szCs w:val="21"/>
                <w:lang w:val="en-GB"/>
              </w:rPr>
              <w:t>年度</w:t>
            </w:r>
          </w:p>
        </w:tc>
        <w:tc>
          <w:tcPr>
            <w:tcW w:w="769" w:type="pct"/>
            <w:vAlign w:val="center"/>
          </w:tcPr>
          <w:p w14:paraId="581732DD"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020</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767" w:type="pct"/>
            <w:vAlign w:val="center"/>
          </w:tcPr>
          <w:p w14:paraId="0D0725E0"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年度</w:t>
            </w:r>
          </w:p>
        </w:tc>
        <w:tc>
          <w:tcPr>
            <w:tcW w:w="853" w:type="pct"/>
            <w:vAlign w:val="center"/>
          </w:tcPr>
          <w:p w14:paraId="6644B0D4"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年较</w:t>
            </w: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年增长</w:t>
            </w:r>
          </w:p>
        </w:tc>
        <w:tc>
          <w:tcPr>
            <w:tcW w:w="735" w:type="pct"/>
            <w:vAlign w:val="center"/>
          </w:tcPr>
          <w:p w14:paraId="7440A687" w14:textId="77777777" w:rsidR="000A0ACD" w:rsidRDefault="00362A99">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年度</w:t>
            </w:r>
          </w:p>
        </w:tc>
      </w:tr>
      <w:tr w:rsidR="000A0ACD" w14:paraId="038BCF7D" w14:textId="77777777">
        <w:trPr>
          <w:trHeight w:val="397"/>
          <w:jc w:val="center"/>
        </w:trPr>
        <w:tc>
          <w:tcPr>
            <w:tcW w:w="1109" w:type="pct"/>
            <w:vAlign w:val="center"/>
          </w:tcPr>
          <w:p w14:paraId="414C1B6C"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营业收入</w:t>
            </w:r>
          </w:p>
        </w:tc>
        <w:tc>
          <w:tcPr>
            <w:tcW w:w="767" w:type="pct"/>
            <w:vAlign w:val="center"/>
          </w:tcPr>
          <w:p w14:paraId="1FC4DDC5"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1,977.61</w:t>
            </w:r>
          </w:p>
        </w:tc>
        <w:tc>
          <w:tcPr>
            <w:tcW w:w="769" w:type="pct"/>
            <w:vAlign w:val="center"/>
          </w:tcPr>
          <w:p w14:paraId="5E7C98BE"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891.40</w:t>
            </w:r>
          </w:p>
        </w:tc>
        <w:tc>
          <w:tcPr>
            <w:tcW w:w="767" w:type="pct"/>
            <w:vAlign w:val="center"/>
          </w:tcPr>
          <w:p w14:paraId="6CFCAA7B"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kern w:val="2"/>
                <w:sz w:val="21"/>
                <w:szCs w:val="21"/>
              </w:rPr>
              <w:t>1,086.21</w:t>
            </w:r>
          </w:p>
        </w:tc>
        <w:tc>
          <w:tcPr>
            <w:tcW w:w="853" w:type="pct"/>
            <w:vAlign w:val="center"/>
          </w:tcPr>
          <w:p w14:paraId="34251B62"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1,086.21</w:t>
            </w:r>
          </w:p>
        </w:tc>
        <w:tc>
          <w:tcPr>
            <w:tcW w:w="735" w:type="pct"/>
            <w:vAlign w:val="center"/>
          </w:tcPr>
          <w:p w14:paraId="0E984B42"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r w:rsidR="000A0ACD" w14:paraId="54E4BF12" w14:textId="77777777">
        <w:trPr>
          <w:trHeight w:val="397"/>
          <w:jc w:val="center"/>
        </w:trPr>
        <w:tc>
          <w:tcPr>
            <w:tcW w:w="1109" w:type="pct"/>
            <w:vAlign w:val="center"/>
          </w:tcPr>
          <w:p w14:paraId="25A39DD7"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767" w:type="pct"/>
            <w:vAlign w:val="center"/>
          </w:tcPr>
          <w:p w14:paraId="10EB1A20"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1,331.48</w:t>
            </w:r>
          </w:p>
        </w:tc>
        <w:tc>
          <w:tcPr>
            <w:tcW w:w="769" w:type="pct"/>
            <w:vAlign w:val="center"/>
          </w:tcPr>
          <w:p w14:paraId="2655E903"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603.20</w:t>
            </w:r>
          </w:p>
        </w:tc>
        <w:tc>
          <w:tcPr>
            <w:tcW w:w="767" w:type="pct"/>
            <w:vAlign w:val="center"/>
          </w:tcPr>
          <w:p w14:paraId="48D8D216"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kern w:val="2"/>
                <w:sz w:val="21"/>
                <w:szCs w:val="21"/>
              </w:rPr>
              <w:t>728.28</w:t>
            </w:r>
          </w:p>
        </w:tc>
        <w:tc>
          <w:tcPr>
            <w:tcW w:w="853" w:type="pct"/>
            <w:vAlign w:val="center"/>
          </w:tcPr>
          <w:p w14:paraId="41006019"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728.28</w:t>
            </w:r>
          </w:p>
        </w:tc>
        <w:tc>
          <w:tcPr>
            <w:tcW w:w="735" w:type="pct"/>
            <w:vAlign w:val="center"/>
          </w:tcPr>
          <w:p w14:paraId="46736B36"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r w:rsidR="000A0ACD" w14:paraId="5E54ABD8" w14:textId="77777777">
        <w:trPr>
          <w:trHeight w:val="397"/>
          <w:jc w:val="center"/>
        </w:trPr>
        <w:tc>
          <w:tcPr>
            <w:tcW w:w="1109" w:type="pct"/>
            <w:vAlign w:val="center"/>
          </w:tcPr>
          <w:p w14:paraId="6683082D"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767" w:type="pct"/>
            <w:vAlign w:val="center"/>
          </w:tcPr>
          <w:p w14:paraId="4BDDA31A"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646.13</w:t>
            </w:r>
          </w:p>
        </w:tc>
        <w:tc>
          <w:tcPr>
            <w:tcW w:w="769" w:type="pct"/>
            <w:vAlign w:val="center"/>
          </w:tcPr>
          <w:p w14:paraId="10C706D9"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288.20</w:t>
            </w:r>
          </w:p>
        </w:tc>
        <w:tc>
          <w:tcPr>
            <w:tcW w:w="767" w:type="pct"/>
            <w:vAlign w:val="center"/>
          </w:tcPr>
          <w:p w14:paraId="3E5E639C"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kern w:val="2"/>
                <w:sz w:val="21"/>
                <w:szCs w:val="21"/>
              </w:rPr>
              <w:t>357.93</w:t>
            </w:r>
          </w:p>
        </w:tc>
        <w:tc>
          <w:tcPr>
            <w:tcW w:w="853" w:type="pct"/>
            <w:vAlign w:val="center"/>
          </w:tcPr>
          <w:p w14:paraId="46203B07"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357.93</w:t>
            </w:r>
          </w:p>
        </w:tc>
        <w:tc>
          <w:tcPr>
            <w:tcW w:w="735" w:type="pct"/>
            <w:vAlign w:val="center"/>
          </w:tcPr>
          <w:p w14:paraId="5D854FD6"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r w:rsidR="000A0ACD" w14:paraId="4E6968C1" w14:textId="77777777">
        <w:trPr>
          <w:trHeight w:val="397"/>
          <w:jc w:val="center"/>
        </w:trPr>
        <w:tc>
          <w:tcPr>
            <w:tcW w:w="1109" w:type="pct"/>
            <w:vAlign w:val="center"/>
          </w:tcPr>
          <w:p w14:paraId="715154E8"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767" w:type="pct"/>
            <w:vAlign w:val="center"/>
          </w:tcPr>
          <w:p w14:paraId="58334782"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32.67%</w:t>
            </w:r>
          </w:p>
        </w:tc>
        <w:tc>
          <w:tcPr>
            <w:tcW w:w="769" w:type="pct"/>
            <w:vAlign w:val="center"/>
          </w:tcPr>
          <w:p w14:paraId="424B308D"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-0.28%</w:t>
            </w:r>
          </w:p>
        </w:tc>
        <w:tc>
          <w:tcPr>
            <w:tcW w:w="767" w:type="pct"/>
            <w:vAlign w:val="center"/>
          </w:tcPr>
          <w:p w14:paraId="59926165"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kern w:val="2"/>
                <w:sz w:val="21"/>
                <w:szCs w:val="21"/>
              </w:rPr>
              <w:t>32.95%</w:t>
            </w:r>
          </w:p>
        </w:tc>
        <w:tc>
          <w:tcPr>
            <w:tcW w:w="853" w:type="pct"/>
            <w:vAlign w:val="center"/>
          </w:tcPr>
          <w:p w14:paraId="5FAF472A"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不适用</w:t>
            </w:r>
          </w:p>
        </w:tc>
        <w:tc>
          <w:tcPr>
            <w:tcW w:w="735" w:type="pct"/>
            <w:vAlign w:val="center"/>
          </w:tcPr>
          <w:p w14:paraId="624A108A"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不适用</w:t>
            </w:r>
          </w:p>
        </w:tc>
      </w:tr>
      <w:tr w:rsidR="000A0ACD" w14:paraId="55F18A9B" w14:textId="77777777">
        <w:trPr>
          <w:trHeight w:val="397"/>
          <w:jc w:val="center"/>
        </w:trPr>
        <w:tc>
          <w:tcPr>
            <w:tcW w:w="1109" w:type="pct"/>
            <w:vAlign w:val="center"/>
          </w:tcPr>
          <w:p w14:paraId="3CE4A029"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对定制化集成业务的毛利贡献率</w:t>
            </w:r>
          </w:p>
        </w:tc>
        <w:tc>
          <w:tcPr>
            <w:tcW w:w="767" w:type="pct"/>
            <w:vAlign w:val="center"/>
          </w:tcPr>
          <w:p w14:paraId="29E11BE3"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15.61%</w:t>
            </w:r>
          </w:p>
        </w:tc>
        <w:tc>
          <w:tcPr>
            <w:tcW w:w="769" w:type="pct"/>
            <w:vAlign w:val="center"/>
          </w:tcPr>
          <w:p w14:paraId="3BF7A8E2"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3.37%</w:t>
            </w:r>
          </w:p>
        </w:tc>
        <w:tc>
          <w:tcPr>
            <w:tcW w:w="767" w:type="pct"/>
            <w:vAlign w:val="center"/>
          </w:tcPr>
          <w:p w14:paraId="2716C2A4"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kern w:val="2"/>
                <w:sz w:val="21"/>
                <w:szCs w:val="21"/>
              </w:rPr>
              <w:t>12.24%</w:t>
            </w:r>
          </w:p>
        </w:tc>
        <w:tc>
          <w:tcPr>
            <w:tcW w:w="853" w:type="pct"/>
            <w:vAlign w:val="center"/>
          </w:tcPr>
          <w:p w14:paraId="2F35CD91"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12.24%</w:t>
            </w:r>
          </w:p>
        </w:tc>
        <w:tc>
          <w:tcPr>
            <w:tcW w:w="735" w:type="pct"/>
            <w:vAlign w:val="center"/>
          </w:tcPr>
          <w:p w14:paraId="3E1C1229" w14:textId="77777777" w:rsidR="000A0ACD" w:rsidRDefault="00362A99">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bl>
    <w:bookmarkEnd w:id="66"/>
    <w:p w14:paraId="2E5F42BD"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注：对定制化集成业务的毛利贡献率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物流悬挂输送系统业务的毛利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定制化集成业务总毛利。</w:t>
      </w:r>
    </w:p>
    <w:p w14:paraId="17900BC1"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二、机器人及配套业务毛利率持续下降的原因</w:t>
      </w:r>
    </w:p>
    <w:p w14:paraId="0C1F9C58"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2018</w:t>
      </w:r>
      <w:r>
        <w:rPr>
          <w:rFonts w:ascii="Times New Roman" w:hAnsi="Times New Roman" w:cs="Times New Roman" w:hint="eastAsia"/>
          <w:color w:val="000000"/>
          <w:lang w:val="en-GB"/>
        </w:rPr>
        <w:t>年、</w:t>
      </w:r>
      <w:r>
        <w:rPr>
          <w:rFonts w:ascii="Times New Roman" w:hAnsi="Times New Roman" w:cs="Times New Roman"/>
          <w:color w:val="000000"/>
          <w:lang w:val="en-GB"/>
        </w:rPr>
        <w:t>2019</w:t>
      </w:r>
      <w:r>
        <w:rPr>
          <w:rFonts w:ascii="Times New Roman" w:hAnsi="Times New Roman" w:cs="Times New Roman" w:hint="eastAsia"/>
          <w:color w:val="000000"/>
          <w:lang w:val="en-GB"/>
        </w:rPr>
        <w:t>年和</w:t>
      </w:r>
      <w:r>
        <w:rPr>
          <w:rFonts w:ascii="Times New Roman" w:hAnsi="Times New Roman" w:cs="Times New Roman"/>
          <w:color w:val="000000"/>
          <w:lang w:val="en-GB"/>
        </w:rPr>
        <w:t>2020</w:t>
      </w:r>
      <w:r>
        <w:rPr>
          <w:rFonts w:ascii="Times New Roman" w:hAnsi="Times New Roman" w:cs="Times New Roman" w:hint="eastAsia"/>
          <w:color w:val="000000"/>
          <w:lang w:val="en-GB"/>
        </w:rPr>
        <w:t>年，北洋天青公司机器人及配套业务的毛利率分别为</w:t>
      </w:r>
      <w:r>
        <w:rPr>
          <w:rFonts w:ascii="Times New Roman" w:hAnsi="Times New Roman" w:cs="Times New Roman"/>
          <w:color w:val="000000"/>
          <w:lang w:val="en-GB"/>
        </w:rPr>
        <w:t>29.51%</w:t>
      </w:r>
      <w:r>
        <w:rPr>
          <w:rFonts w:ascii="Times New Roman" w:hAnsi="Times New Roman" w:cs="Times New Roman" w:hint="eastAsia"/>
          <w:color w:val="000000"/>
          <w:lang w:val="en-GB"/>
        </w:rPr>
        <w:t>、</w:t>
      </w:r>
      <w:r>
        <w:rPr>
          <w:rFonts w:ascii="Times New Roman" w:hAnsi="Times New Roman" w:cs="Times New Roman"/>
          <w:color w:val="000000"/>
          <w:lang w:val="en-GB"/>
        </w:rPr>
        <w:t>27.50%</w:t>
      </w:r>
      <w:r>
        <w:rPr>
          <w:rFonts w:ascii="Times New Roman" w:hAnsi="Times New Roman" w:cs="Times New Roman" w:hint="eastAsia"/>
          <w:color w:val="000000"/>
          <w:lang w:val="en-GB"/>
        </w:rPr>
        <w:t>和</w:t>
      </w:r>
      <w:r>
        <w:rPr>
          <w:rFonts w:ascii="Times New Roman" w:hAnsi="Times New Roman" w:cs="Times New Roman"/>
          <w:color w:val="000000"/>
          <w:lang w:val="en-GB"/>
        </w:rPr>
        <w:t>24.00%</w:t>
      </w:r>
      <w:r>
        <w:rPr>
          <w:rFonts w:ascii="Times New Roman" w:hAnsi="Times New Roman" w:cs="Times New Roman" w:hint="eastAsia"/>
          <w:color w:val="000000"/>
          <w:lang w:val="en-GB"/>
        </w:rPr>
        <w:t>，毛利率逐年下降，主要系机器人集成应用业务中毛利率较低的含冲压机冲压连线项目占比逐年上升。</w:t>
      </w:r>
    </w:p>
    <w:p w14:paraId="33BD9C68"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942"/>
        <w:gridCol w:w="994"/>
        <w:gridCol w:w="992"/>
        <w:gridCol w:w="845"/>
        <w:gridCol w:w="899"/>
        <w:gridCol w:w="951"/>
        <w:gridCol w:w="899"/>
      </w:tblGrid>
      <w:tr w:rsidR="000A0ACD" w14:paraId="57C8B05B" w14:textId="77777777">
        <w:trPr>
          <w:trHeight w:val="397"/>
          <w:tblHeader/>
          <w:jc w:val="center"/>
        </w:trPr>
        <w:tc>
          <w:tcPr>
            <w:tcW w:w="1727" w:type="pct"/>
            <w:vMerge w:val="restart"/>
            <w:tcBorders>
              <w:top w:val="single" w:sz="12" w:space="0" w:color="auto"/>
              <w:left w:val="nil"/>
              <w:bottom w:val="single" w:sz="4" w:space="0" w:color="auto"/>
              <w:right w:val="single" w:sz="4" w:space="0" w:color="auto"/>
            </w:tcBorders>
            <w:vAlign w:val="center"/>
          </w:tcPr>
          <w:p w14:paraId="0C2623B7"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机器人及配套业务</w:t>
            </w:r>
          </w:p>
        </w:tc>
        <w:tc>
          <w:tcPr>
            <w:tcW w:w="1165" w:type="pct"/>
            <w:gridSpan w:val="2"/>
            <w:tcBorders>
              <w:top w:val="single" w:sz="12" w:space="0" w:color="auto"/>
              <w:left w:val="single" w:sz="4" w:space="0" w:color="auto"/>
              <w:bottom w:val="single" w:sz="4" w:space="0" w:color="auto"/>
              <w:right w:val="single" w:sz="4" w:space="0" w:color="auto"/>
            </w:tcBorders>
          </w:tcPr>
          <w:p w14:paraId="2E34E678"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年度</w:t>
            </w:r>
          </w:p>
        </w:tc>
        <w:tc>
          <w:tcPr>
            <w:tcW w:w="1023" w:type="pct"/>
            <w:gridSpan w:val="2"/>
            <w:tcBorders>
              <w:top w:val="single" w:sz="12" w:space="0" w:color="auto"/>
              <w:left w:val="single" w:sz="4" w:space="0" w:color="auto"/>
              <w:bottom w:val="single" w:sz="4" w:space="0" w:color="auto"/>
              <w:right w:val="single" w:sz="4" w:space="0" w:color="auto"/>
            </w:tcBorders>
          </w:tcPr>
          <w:p w14:paraId="3E7A4BE8"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年度</w:t>
            </w:r>
          </w:p>
        </w:tc>
        <w:tc>
          <w:tcPr>
            <w:tcW w:w="1085" w:type="pct"/>
            <w:gridSpan w:val="2"/>
            <w:tcBorders>
              <w:top w:val="single" w:sz="12" w:space="0" w:color="auto"/>
              <w:left w:val="single" w:sz="4" w:space="0" w:color="auto"/>
              <w:bottom w:val="single" w:sz="4" w:space="0" w:color="auto"/>
              <w:right w:val="nil"/>
            </w:tcBorders>
          </w:tcPr>
          <w:p w14:paraId="74BED39A"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年度</w:t>
            </w:r>
          </w:p>
        </w:tc>
      </w:tr>
      <w:tr w:rsidR="000A0ACD" w14:paraId="4234F15C" w14:textId="77777777">
        <w:trPr>
          <w:trHeight w:val="397"/>
          <w:tblHeader/>
          <w:jc w:val="center"/>
        </w:trPr>
        <w:tc>
          <w:tcPr>
            <w:tcW w:w="1727" w:type="pct"/>
            <w:vMerge/>
            <w:tcBorders>
              <w:top w:val="single" w:sz="12" w:space="0" w:color="auto"/>
              <w:left w:val="nil"/>
              <w:bottom w:val="single" w:sz="4" w:space="0" w:color="auto"/>
              <w:right w:val="single" w:sz="4" w:space="0" w:color="auto"/>
            </w:tcBorders>
            <w:vAlign w:val="center"/>
          </w:tcPr>
          <w:p w14:paraId="4922852D" w14:textId="77777777" w:rsidR="000A0ACD" w:rsidRDefault="000A0ACD">
            <w:pPr>
              <w:rPr>
                <w:rFonts w:ascii="Times New Roman" w:hAnsi="Times New Roman" w:cs="Times New Roman"/>
                <w:b/>
                <w:bCs/>
                <w:color w:val="000000"/>
                <w:sz w:val="21"/>
                <w:szCs w:val="21"/>
              </w:rPr>
            </w:pPr>
          </w:p>
        </w:tc>
        <w:tc>
          <w:tcPr>
            <w:tcW w:w="583" w:type="pct"/>
            <w:tcBorders>
              <w:top w:val="single" w:sz="4" w:space="0" w:color="auto"/>
              <w:left w:val="single" w:sz="4" w:space="0" w:color="auto"/>
              <w:bottom w:val="single" w:sz="4" w:space="0" w:color="auto"/>
              <w:right w:val="single" w:sz="4" w:space="0" w:color="auto"/>
            </w:tcBorders>
            <w:noWrap/>
            <w:vAlign w:val="center"/>
          </w:tcPr>
          <w:p w14:paraId="4C5BDB53"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82" w:type="pct"/>
            <w:tcBorders>
              <w:top w:val="single" w:sz="4" w:space="0" w:color="auto"/>
              <w:left w:val="single" w:sz="4" w:space="0" w:color="auto"/>
              <w:bottom w:val="single" w:sz="4" w:space="0" w:color="auto"/>
              <w:right w:val="single" w:sz="4" w:space="0" w:color="auto"/>
            </w:tcBorders>
            <w:noWrap/>
            <w:vAlign w:val="center"/>
          </w:tcPr>
          <w:p w14:paraId="7AF9E008"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496" w:type="pct"/>
            <w:tcBorders>
              <w:top w:val="single" w:sz="4" w:space="0" w:color="auto"/>
              <w:left w:val="single" w:sz="4" w:space="0" w:color="auto"/>
              <w:bottom w:val="single" w:sz="4" w:space="0" w:color="auto"/>
              <w:right w:val="single" w:sz="4" w:space="0" w:color="auto"/>
            </w:tcBorders>
            <w:noWrap/>
            <w:vAlign w:val="center"/>
          </w:tcPr>
          <w:p w14:paraId="5F148DC9"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27" w:type="pct"/>
            <w:tcBorders>
              <w:top w:val="single" w:sz="4" w:space="0" w:color="auto"/>
              <w:left w:val="single" w:sz="4" w:space="0" w:color="auto"/>
              <w:bottom w:val="single" w:sz="4" w:space="0" w:color="auto"/>
              <w:right w:val="single" w:sz="4" w:space="0" w:color="auto"/>
            </w:tcBorders>
            <w:noWrap/>
            <w:vAlign w:val="center"/>
          </w:tcPr>
          <w:p w14:paraId="32905407"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558" w:type="pct"/>
            <w:tcBorders>
              <w:top w:val="single" w:sz="4" w:space="0" w:color="auto"/>
              <w:left w:val="single" w:sz="4" w:space="0" w:color="auto"/>
              <w:bottom w:val="single" w:sz="4" w:space="0" w:color="auto"/>
              <w:right w:val="single" w:sz="4" w:space="0" w:color="auto"/>
            </w:tcBorders>
            <w:noWrap/>
            <w:vAlign w:val="center"/>
          </w:tcPr>
          <w:p w14:paraId="65F45B9E"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27" w:type="pct"/>
            <w:tcBorders>
              <w:top w:val="single" w:sz="4" w:space="0" w:color="auto"/>
              <w:left w:val="single" w:sz="4" w:space="0" w:color="auto"/>
              <w:bottom w:val="single" w:sz="4" w:space="0" w:color="auto"/>
              <w:right w:val="nil"/>
            </w:tcBorders>
            <w:noWrap/>
            <w:vAlign w:val="center"/>
          </w:tcPr>
          <w:p w14:paraId="6A6BBCC0"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0A0ACD" w14:paraId="3C8A74D3"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041C2793"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机器人本体销售</w:t>
            </w:r>
          </w:p>
        </w:tc>
        <w:tc>
          <w:tcPr>
            <w:tcW w:w="583" w:type="pct"/>
            <w:tcBorders>
              <w:top w:val="single" w:sz="4" w:space="0" w:color="auto"/>
              <w:left w:val="single" w:sz="4" w:space="0" w:color="auto"/>
              <w:bottom w:val="single" w:sz="4" w:space="0" w:color="auto"/>
              <w:right w:val="single" w:sz="4" w:space="0" w:color="auto"/>
            </w:tcBorders>
            <w:vAlign w:val="center"/>
          </w:tcPr>
          <w:p w14:paraId="4726DB03"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4.46</w:t>
            </w:r>
          </w:p>
        </w:tc>
        <w:tc>
          <w:tcPr>
            <w:tcW w:w="582" w:type="pct"/>
            <w:tcBorders>
              <w:top w:val="single" w:sz="4" w:space="0" w:color="auto"/>
              <w:left w:val="single" w:sz="4" w:space="0" w:color="auto"/>
              <w:bottom w:val="single" w:sz="4" w:space="0" w:color="auto"/>
              <w:right w:val="single" w:sz="4" w:space="0" w:color="auto"/>
            </w:tcBorders>
            <w:vAlign w:val="center"/>
          </w:tcPr>
          <w:p w14:paraId="38ACED2A"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4.17%</w:t>
            </w:r>
          </w:p>
        </w:tc>
        <w:tc>
          <w:tcPr>
            <w:tcW w:w="496" w:type="pct"/>
            <w:tcBorders>
              <w:top w:val="single" w:sz="4" w:space="0" w:color="auto"/>
              <w:left w:val="single" w:sz="4" w:space="0" w:color="auto"/>
              <w:bottom w:val="single" w:sz="4" w:space="0" w:color="auto"/>
              <w:right w:val="single" w:sz="4" w:space="0" w:color="auto"/>
            </w:tcBorders>
            <w:vAlign w:val="center"/>
          </w:tcPr>
          <w:p w14:paraId="5D132D63"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7.37</w:t>
            </w:r>
          </w:p>
        </w:tc>
        <w:tc>
          <w:tcPr>
            <w:tcW w:w="527" w:type="pct"/>
            <w:tcBorders>
              <w:top w:val="single" w:sz="4" w:space="0" w:color="auto"/>
              <w:left w:val="single" w:sz="4" w:space="0" w:color="auto"/>
              <w:bottom w:val="single" w:sz="4" w:space="0" w:color="auto"/>
              <w:right w:val="single" w:sz="4" w:space="0" w:color="auto"/>
            </w:tcBorders>
            <w:vAlign w:val="center"/>
          </w:tcPr>
          <w:p w14:paraId="43C11398"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6.06%</w:t>
            </w:r>
          </w:p>
        </w:tc>
        <w:tc>
          <w:tcPr>
            <w:tcW w:w="558" w:type="pct"/>
            <w:tcBorders>
              <w:top w:val="single" w:sz="4" w:space="0" w:color="auto"/>
              <w:left w:val="single" w:sz="4" w:space="0" w:color="auto"/>
              <w:bottom w:val="single" w:sz="4" w:space="0" w:color="auto"/>
              <w:right w:val="single" w:sz="4" w:space="0" w:color="auto"/>
            </w:tcBorders>
            <w:vAlign w:val="center"/>
          </w:tcPr>
          <w:p w14:paraId="611985E2"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27" w:type="pct"/>
            <w:tcBorders>
              <w:top w:val="single" w:sz="4" w:space="0" w:color="auto"/>
              <w:left w:val="single" w:sz="4" w:space="0" w:color="auto"/>
              <w:bottom w:val="single" w:sz="4" w:space="0" w:color="auto"/>
              <w:right w:val="nil"/>
            </w:tcBorders>
            <w:noWrap/>
            <w:vAlign w:val="center"/>
          </w:tcPr>
          <w:p w14:paraId="2B321CE0"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r>
      <w:tr w:rsidR="000A0ACD" w14:paraId="7D5940CF"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26B08604"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机器人集成应用</w:t>
            </w:r>
          </w:p>
        </w:tc>
        <w:tc>
          <w:tcPr>
            <w:tcW w:w="583" w:type="pct"/>
            <w:tcBorders>
              <w:top w:val="single" w:sz="4" w:space="0" w:color="auto"/>
              <w:left w:val="single" w:sz="4" w:space="0" w:color="auto"/>
              <w:bottom w:val="single" w:sz="4" w:space="0" w:color="auto"/>
              <w:right w:val="single" w:sz="4" w:space="0" w:color="auto"/>
            </w:tcBorders>
            <w:vAlign w:val="center"/>
          </w:tcPr>
          <w:p w14:paraId="5D12063E"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1,611.34</w:t>
            </w:r>
          </w:p>
        </w:tc>
        <w:tc>
          <w:tcPr>
            <w:tcW w:w="582" w:type="pct"/>
            <w:tcBorders>
              <w:top w:val="single" w:sz="4" w:space="0" w:color="auto"/>
              <w:left w:val="single" w:sz="4" w:space="0" w:color="auto"/>
              <w:bottom w:val="single" w:sz="4" w:space="0" w:color="auto"/>
              <w:right w:val="single" w:sz="4" w:space="0" w:color="auto"/>
            </w:tcBorders>
            <w:vAlign w:val="center"/>
          </w:tcPr>
          <w:p w14:paraId="17865A9B"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24.32%</w:t>
            </w:r>
          </w:p>
        </w:tc>
        <w:tc>
          <w:tcPr>
            <w:tcW w:w="496" w:type="pct"/>
            <w:tcBorders>
              <w:top w:val="single" w:sz="4" w:space="0" w:color="auto"/>
              <w:left w:val="single" w:sz="4" w:space="0" w:color="auto"/>
              <w:bottom w:val="single" w:sz="4" w:space="0" w:color="auto"/>
              <w:right w:val="single" w:sz="4" w:space="0" w:color="auto"/>
            </w:tcBorders>
            <w:vAlign w:val="center"/>
          </w:tcPr>
          <w:p w14:paraId="184EBD3C"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468.59</w:t>
            </w:r>
          </w:p>
        </w:tc>
        <w:tc>
          <w:tcPr>
            <w:tcW w:w="527" w:type="pct"/>
            <w:tcBorders>
              <w:top w:val="single" w:sz="4" w:space="0" w:color="auto"/>
              <w:left w:val="single" w:sz="4" w:space="0" w:color="auto"/>
              <w:bottom w:val="single" w:sz="4" w:space="0" w:color="auto"/>
              <w:right w:val="single" w:sz="4" w:space="0" w:color="auto"/>
            </w:tcBorders>
            <w:vAlign w:val="center"/>
          </w:tcPr>
          <w:p w14:paraId="1FBE60DE"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28.68%</w:t>
            </w:r>
          </w:p>
        </w:tc>
        <w:tc>
          <w:tcPr>
            <w:tcW w:w="558" w:type="pct"/>
            <w:tcBorders>
              <w:top w:val="single" w:sz="4" w:space="0" w:color="auto"/>
              <w:left w:val="single" w:sz="4" w:space="0" w:color="auto"/>
              <w:bottom w:val="single" w:sz="4" w:space="0" w:color="auto"/>
              <w:right w:val="single" w:sz="4" w:space="0" w:color="auto"/>
            </w:tcBorders>
            <w:vAlign w:val="center"/>
          </w:tcPr>
          <w:p w14:paraId="6596F5B8"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1,539.28</w:t>
            </w:r>
          </w:p>
        </w:tc>
        <w:tc>
          <w:tcPr>
            <w:tcW w:w="527" w:type="pct"/>
            <w:tcBorders>
              <w:top w:val="single" w:sz="4" w:space="0" w:color="auto"/>
              <w:left w:val="single" w:sz="4" w:space="0" w:color="auto"/>
              <w:bottom w:val="single" w:sz="4" w:space="0" w:color="auto"/>
              <w:right w:val="nil"/>
            </w:tcBorders>
            <w:noWrap/>
            <w:vAlign w:val="center"/>
          </w:tcPr>
          <w:p w14:paraId="6B5D8236"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29.51%</w:t>
            </w:r>
          </w:p>
        </w:tc>
      </w:tr>
      <w:tr w:rsidR="000A0ACD" w14:paraId="6443B5BE"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64183451" w14:textId="77777777" w:rsidR="000A0ACD" w:rsidRDefault="00362A99">
            <w:pPr>
              <w:snapToGrid w:val="0"/>
              <w:ind w:firstLineChars="200" w:firstLine="42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t>非冲压连线项目</w:t>
            </w:r>
          </w:p>
        </w:tc>
        <w:tc>
          <w:tcPr>
            <w:tcW w:w="583" w:type="pct"/>
            <w:tcBorders>
              <w:top w:val="single" w:sz="4" w:space="0" w:color="auto"/>
              <w:left w:val="single" w:sz="4" w:space="0" w:color="auto"/>
              <w:bottom w:val="single" w:sz="4" w:space="0" w:color="auto"/>
              <w:right w:val="single" w:sz="4" w:space="0" w:color="auto"/>
            </w:tcBorders>
            <w:vAlign w:val="center"/>
          </w:tcPr>
          <w:p w14:paraId="0F9BEFA8"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513.05</w:t>
            </w:r>
          </w:p>
        </w:tc>
        <w:tc>
          <w:tcPr>
            <w:tcW w:w="582" w:type="pct"/>
            <w:tcBorders>
              <w:top w:val="single" w:sz="4" w:space="0" w:color="auto"/>
              <w:left w:val="single" w:sz="4" w:space="0" w:color="auto"/>
              <w:bottom w:val="single" w:sz="4" w:space="0" w:color="auto"/>
              <w:right w:val="single" w:sz="4" w:space="0" w:color="auto"/>
            </w:tcBorders>
            <w:vAlign w:val="center"/>
          </w:tcPr>
          <w:p w14:paraId="6C45A68B"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32.46%</w:t>
            </w:r>
          </w:p>
        </w:tc>
        <w:tc>
          <w:tcPr>
            <w:tcW w:w="496" w:type="pct"/>
            <w:tcBorders>
              <w:top w:val="single" w:sz="4" w:space="0" w:color="auto"/>
              <w:left w:val="single" w:sz="4" w:space="0" w:color="auto"/>
              <w:bottom w:val="single" w:sz="4" w:space="0" w:color="auto"/>
              <w:right w:val="single" w:sz="4" w:space="0" w:color="auto"/>
            </w:tcBorders>
            <w:vAlign w:val="center"/>
          </w:tcPr>
          <w:p w14:paraId="47130A46"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422.93</w:t>
            </w:r>
          </w:p>
        </w:tc>
        <w:tc>
          <w:tcPr>
            <w:tcW w:w="527" w:type="pct"/>
            <w:tcBorders>
              <w:top w:val="single" w:sz="4" w:space="0" w:color="auto"/>
              <w:left w:val="single" w:sz="4" w:space="0" w:color="auto"/>
              <w:bottom w:val="single" w:sz="4" w:space="0" w:color="auto"/>
              <w:right w:val="single" w:sz="4" w:space="0" w:color="auto"/>
            </w:tcBorders>
            <w:vAlign w:val="center"/>
          </w:tcPr>
          <w:p w14:paraId="407DE8EF"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34.40%</w:t>
            </w:r>
          </w:p>
        </w:tc>
        <w:tc>
          <w:tcPr>
            <w:tcW w:w="558" w:type="pct"/>
            <w:tcBorders>
              <w:top w:val="single" w:sz="4" w:space="0" w:color="auto"/>
              <w:left w:val="single" w:sz="4" w:space="0" w:color="auto"/>
              <w:bottom w:val="single" w:sz="4" w:space="0" w:color="auto"/>
              <w:right w:val="single" w:sz="4" w:space="0" w:color="auto"/>
            </w:tcBorders>
            <w:vAlign w:val="center"/>
          </w:tcPr>
          <w:p w14:paraId="395DF9EF"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1,488.17</w:t>
            </w:r>
          </w:p>
        </w:tc>
        <w:tc>
          <w:tcPr>
            <w:tcW w:w="527" w:type="pct"/>
            <w:tcBorders>
              <w:top w:val="single" w:sz="4" w:space="0" w:color="auto"/>
              <w:left w:val="single" w:sz="4" w:space="0" w:color="auto"/>
              <w:bottom w:val="single" w:sz="4" w:space="0" w:color="auto"/>
              <w:right w:val="nil"/>
            </w:tcBorders>
            <w:noWrap/>
            <w:vAlign w:val="center"/>
          </w:tcPr>
          <w:p w14:paraId="654A08E2"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30.00%</w:t>
            </w:r>
          </w:p>
        </w:tc>
      </w:tr>
      <w:tr w:rsidR="000A0ACD" w14:paraId="0D808AA5"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14A02C97" w14:textId="77777777" w:rsidR="000A0ACD" w:rsidRDefault="00362A99">
            <w:pPr>
              <w:snapToGrid w:val="0"/>
              <w:ind w:firstLineChars="200" w:firstLine="420"/>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含冲压机冲压连线项目</w:t>
            </w:r>
          </w:p>
        </w:tc>
        <w:tc>
          <w:tcPr>
            <w:tcW w:w="583" w:type="pct"/>
            <w:tcBorders>
              <w:top w:val="single" w:sz="4" w:space="0" w:color="auto"/>
              <w:left w:val="single" w:sz="4" w:space="0" w:color="auto"/>
              <w:bottom w:val="single" w:sz="4" w:space="0" w:color="auto"/>
              <w:right w:val="single" w:sz="4" w:space="0" w:color="auto"/>
            </w:tcBorders>
            <w:vAlign w:val="center"/>
          </w:tcPr>
          <w:p w14:paraId="5FDB6C47"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1,098.29</w:t>
            </w:r>
          </w:p>
        </w:tc>
        <w:tc>
          <w:tcPr>
            <w:tcW w:w="582" w:type="pct"/>
            <w:tcBorders>
              <w:top w:val="single" w:sz="4" w:space="0" w:color="auto"/>
              <w:left w:val="single" w:sz="4" w:space="0" w:color="auto"/>
              <w:bottom w:val="single" w:sz="4" w:space="0" w:color="auto"/>
              <w:right w:val="single" w:sz="4" w:space="0" w:color="auto"/>
            </w:tcBorders>
            <w:vAlign w:val="center"/>
          </w:tcPr>
          <w:p w14:paraId="7FD5CE4F"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21.77%</w:t>
            </w:r>
          </w:p>
        </w:tc>
        <w:tc>
          <w:tcPr>
            <w:tcW w:w="496" w:type="pct"/>
            <w:tcBorders>
              <w:top w:val="single" w:sz="4" w:space="0" w:color="auto"/>
              <w:left w:val="single" w:sz="4" w:space="0" w:color="auto"/>
              <w:bottom w:val="single" w:sz="4" w:space="0" w:color="auto"/>
              <w:right w:val="single" w:sz="4" w:space="0" w:color="auto"/>
            </w:tcBorders>
            <w:vAlign w:val="center"/>
          </w:tcPr>
          <w:p w14:paraId="4858A9D4"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45.65</w:t>
            </w:r>
          </w:p>
        </w:tc>
        <w:tc>
          <w:tcPr>
            <w:tcW w:w="527" w:type="pct"/>
            <w:tcBorders>
              <w:top w:val="single" w:sz="4" w:space="0" w:color="auto"/>
              <w:left w:val="single" w:sz="4" w:space="0" w:color="auto"/>
              <w:bottom w:val="single" w:sz="4" w:space="0" w:color="auto"/>
              <w:right w:val="single" w:sz="4" w:space="0" w:color="auto"/>
            </w:tcBorders>
            <w:vAlign w:val="center"/>
          </w:tcPr>
          <w:p w14:paraId="0C78110C"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11.28%</w:t>
            </w:r>
          </w:p>
        </w:tc>
        <w:tc>
          <w:tcPr>
            <w:tcW w:w="558" w:type="pct"/>
            <w:tcBorders>
              <w:top w:val="single" w:sz="4" w:space="0" w:color="auto"/>
              <w:left w:val="single" w:sz="4" w:space="0" w:color="auto"/>
              <w:bottom w:val="single" w:sz="4" w:space="0" w:color="auto"/>
              <w:right w:val="single" w:sz="4" w:space="0" w:color="auto"/>
            </w:tcBorders>
            <w:vAlign w:val="center"/>
          </w:tcPr>
          <w:p w14:paraId="7532A377"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51.11</w:t>
            </w:r>
          </w:p>
        </w:tc>
        <w:tc>
          <w:tcPr>
            <w:tcW w:w="527" w:type="pct"/>
            <w:tcBorders>
              <w:top w:val="single" w:sz="4" w:space="0" w:color="auto"/>
              <w:left w:val="single" w:sz="4" w:space="0" w:color="auto"/>
              <w:bottom w:val="single" w:sz="4" w:space="0" w:color="auto"/>
              <w:right w:val="nil"/>
            </w:tcBorders>
            <w:noWrap/>
            <w:vAlign w:val="center"/>
          </w:tcPr>
          <w:p w14:paraId="32B60F95"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20.00%</w:t>
            </w:r>
          </w:p>
        </w:tc>
      </w:tr>
      <w:tr w:rsidR="000A0ACD" w14:paraId="231A4F40"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1753824F"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机器人维保</w:t>
            </w:r>
          </w:p>
        </w:tc>
        <w:tc>
          <w:tcPr>
            <w:tcW w:w="583" w:type="pct"/>
            <w:tcBorders>
              <w:top w:val="single" w:sz="4" w:space="0" w:color="auto"/>
              <w:left w:val="single" w:sz="4" w:space="0" w:color="auto"/>
              <w:bottom w:val="single" w:sz="4" w:space="0" w:color="auto"/>
              <w:right w:val="single" w:sz="4" w:space="0" w:color="auto"/>
            </w:tcBorders>
            <w:vAlign w:val="center"/>
          </w:tcPr>
          <w:p w14:paraId="79BAC42C"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single" w:sz="4" w:space="0" w:color="auto"/>
              <w:left w:val="single" w:sz="4" w:space="0" w:color="auto"/>
              <w:bottom w:val="single" w:sz="4" w:space="0" w:color="auto"/>
              <w:right w:val="single" w:sz="4" w:space="0" w:color="auto"/>
            </w:tcBorders>
            <w:vAlign w:val="center"/>
          </w:tcPr>
          <w:p w14:paraId="0D04C406"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496" w:type="pct"/>
            <w:tcBorders>
              <w:top w:val="single" w:sz="4" w:space="0" w:color="auto"/>
              <w:left w:val="single" w:sz="4" w:space="0" w:color="auto"/>
              <w:bottom w:val="single" w:sz="4" w:space="0" w:color="auto"/>
              <w:right w:val="single" w:sz="4" w:space="0" w:color="auto"/>
            </w:tcBorders>
            <w:vAlign w:val="center"/>
          </w:tcPr>
          <w:p w14:paraId="0AE0CD5C"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14.02</w:t>
            </w:r>
          </w:p>
        </w:tc>
        <w:tc>
          <w:tcPr>
            <w:tcW w:w="527" w:type="pct"/>
            <w:tcBorders>
              <w:top w:val="single" w:sz="4" w:space="0" w:color="auto"/>
              <w:left w:val="single" w:sz="4" w:space="0" w:color="auto"/>
              <w:bottom w:val="single" w:sz="4" w:space="0" w:color="auto"/>
              <w:right w:val="single" w:sz="4" w:space="0" w:color="auto"/>
            </w:tcBorders>
            <w:vAlign w:val="center"/>
          </w:tcPr>
          <w:p w14:paraId="6D32F838"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53.82%</w:t>
            </w:r>
          </w:p>
        </w:tc>
        <w:tc>
          <w:tcPr>
            <w:tcW w:w="558" w:type="pct"/>
            <w:tcBorders>
              <w:top w:val="single" w:sz="4" w:space="0" w:color="auto"/>
              <w:left w:val="single" w:sz="4" w:space="0" w:color="auto"/>
              <w:bottom w:val="single" w:sz="4" w:space="0" w:color="auto"/>
              <w:right w:val="single" w:sz="4" w:space="0" w:color="auto"/>
            </w:tcBorders>
            <w:vAlign w:val="center"/>
          </w:tcPr>
          <w:p w14:paraId="57696637"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27" w:type="pct"/>
            <w:tcBorders>
              <w:top w:val="single" w:sz="4" w:space="0" w:color="auto"/>
              <w:left w:val="single" w:sz="4" w:space="0" w:color="auto"/>
              <w:bottom w:val="single" w:sz="4" w:space="0" w:color="auto"/>
              <w:right w:val="nil"/>
            </w:tcBorders>
            <w:noWrap/>
            <w:vAlign w:val="center"/>
          </w:tcPr>
          <w:p w14:paraId="01833F26"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r>
      <w:tr w:rsidR="000A0ACD" w14:paraId="0A148B2A" w14:textId="77777777">
        <w:trPr>
          <w:trHeight w:val="397"/>
          <w:jc w:val="center"/>
        </w:trPr>
        <w:tc>
          <w:tcPr>
            <w:tcW w:w="1727" w:type="pct"/>
            <w:tcBorders>
              <w:top w:val="single" w:sz="4" w:space="0" w:color="auto"/>
              <w:left w:val="nil"/>
              <w:bottom w:val="single" w:sz="12" w:space="0" w:color="auto"/>
              <w:right w:val="single" w:sz="4" w:space="0" w:color="auto"/>
            </w:tcBorders>
            <w:vAlign w:val="center"/>
          </w:tcPr>
          <w:p w14:paraId="435F17CD"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583" w:type="pct"/>
            <w:tcBorders>
              <w:top w:val="single" w:sz="4" w:space="0" w:color="auto"/>
              <w:left w:val="single" w:sz="4" w:space="0" w:color="auto"/>
              <w:bottom w:val="single" w:sz="12" w:space="0" w:color="auto"/>
              <w:right w:val="single" w:sz="4" w:space="0" w:color="auto"/>
            </w:tcBorders>
            <w:vAlign w:val="center"/>
          </w:tcPr>
          <w:p w14:paraId="3220F8BD" w14:textId="77777777" w:rsidR="000A0ACD" w:rsidRDefault="00362A99">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1,615.80</w:t>
            </w:r>
          </w:p>
        </w:tc>
        <w:tc>
          <w:tcPr>
            <w:tcW w:w="582" w:type="pct"/>
            <w:tcBorders>
              <w:top w:val="single" w:sz="4" w:space="0" w:color="auto"/>
              <w:left w:val="single" w:sz="4" w:space="0" w:color="auto"/>
              <w:bottom w:val="single" w:sz="12" w:space="0" w:color="auto"/>
              <w:right w:val="single" w:sz="4" w:space="0" w:color="auto"/>
            </w:tcBorders>
            <w:vAlign w:val="center"/>
          </w:tcPr>
          <w:p w14:paraId="35F343FA" w14:textId="77777777" w:rsidR="000A0ACD" w:rsidRDefault="00362A99">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24.00%</w:t>
            </w:r>
          </w:p>
        </w:tc>
        <w:tc>
          <w:tcPr>
            <w:tcW w:w="496" w:type="pct"/>
            <w:tcBorders>
              <w:top w:val="single" w:sz="4" w:space="0" w:color="auto"/>
              <w:left w:val="single" w:sz="4" w:space="0" w:color="auto"/>
              <w:bottom w:val="single" w:sz="12" w:space="0" w:color="auto"/>
              <w:right w:val="single" w:sz="4" w:space="0" w:color="auto"/>
            </w:tcBorders>
            <w:vAlign w:val="center"/>
          </w:tcPr>
          <w:p w14:paraId="50839514"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489.97</w:t>
            </w:r>
          </w:p>
        </w:tc>
        <w:tc>
          <w:tcPr>
            <w:tcW w:w="527" w:type="pct"/>
            <w:tcBorders>
              <w:top w:val="single" w:sz="4" w:space="0" w:color="auto"/>
              <w:left w:val="single" w:sz="4" w:space="0" w:color="auto"/>
              <w:bottom w:val="single" w:sz="12" w:space="0" w:color="auto"/>
              <w:right w:val="single" w:sz="4" w:space="0" w:color="auto"/>
            </w:tcBorders>
            <w:vAlign w:val="center"/>
          </w:tcPr>
          <w:p w14:paraId="62FAF023"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27.50%</w:t>
            </w:r>
          </w:p>
        </w:tc>
        <w:tc>
          <w:tcPr>
            <w:tcW w:w="558" w:type="pct"/>
            <w:tcBorders>
              <w:top w:val="single" w:sz="4" w:space="0" w:color="auto"/>
              <w:left w:val="single" w:sz="4" w:space="0" w:color="auto"/>
              <w:bottom w:val="single" w:sz="12" w:space="0" w:color="auto"/>
              <w:right w:val="single" w:sz="4" w:space="0" w:color="auto"/>
            </w:tcBorders>
            <w:vAlign w:val="center"/>
          </w:tcPr>
          <w:p w14:paraId="4FDB60AE"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1,539.28</w:t>
            </w:r>
          </w:p>
        </w:tc>
        <w:tc>
          <w:tcPr>
            <w:tcW w:w="527" w:type="pct"/>
            <w:tcBorders>
              <w:top w:val="single" w:sz="4" w:space="0" w:color="auto"/>
              <w:left w:val="single" w:sz="4" w:space="0" w:color="auto"/>
              <w:bottom w:val="single" w:sz="12" w:space="0" w:color="auto"/>
              <w:right w:val="nil"/>
            </w:tcBorders>
            <w:noWrap/>
            <w:vAlign w:val="center"/>
          </w:tcPr>
          <w:p w14:paraId="2E18D79E"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29.51%</w:t>
            </w:r>
          </w:p>
        </w:tc>
      </w:tr>
    </w:tbl>
    <w:p w14:paraId="512B77AA" w14:textId="77777777" w:rsidR="000A0ACD" w:rsidRDefault="00362A99">
      <w:pPr>
        <w:spacing w:beforeLines="50" w:before="156" w:line="360" w:lineRule="auto"/>
        <w:ind w:firstLineChars="200" w:firstLine="482"/>
        <w:jc w:val="both"/>
        <w:rPr>
          <w:rFonts w:ascii="Times New Roman" w:hAnsi="Times New Roman" w:cs="Times New Roman"/>
          <w:b/>
          <w:lang w:val="en-GB"/>
        </w:rPr>
      </w:pPr>
      <w:r>
        <w:rPr>
          <w:rFonts w:ascii="Times New Roman" w:hAnsi="Times New Roman" w:cs="Times New Roman"/>
          <w:b/>
          <w:lang w:val="en-GB"/>
        </w:rPr>
        <w:t>1</w:t>
      </w:r>
      <w:r>
        <w:rPr>
          <w:rFonts w:ascii="Times New Roman" w:hAnsi="Times New Roman" w:cs="Times New Roman" w:hint="eastAsia"/>
          <w:b/>
          <w:lang w:val="en-GB"/>
        </w:rPr>
        <w:t>、机器人集成应用业务</w:t>
      </w:r>
    </w:p>
    <w:p w14:paraId="0B9A9173" w14:textId="77777777" w:rsidR="000A0ACD" w:rsidRDefault="00362A99">
      <w:pPr>
        <w:spacing w:beforeLines="50" w:before="156" w:line="360" w:lineRule="auto"/>
        <w:ind w:firstLineChars="200" w:firstLine="480"/>
        <w:jc w:val="both"/>
        <w:rPr>
          <w:rFonts w:ascii="Times New Roman" w:hAnsi="Times New Roman" w:cs="Times New Roman"/>
          <w:lang w:val="en-GB"/>
        </w:rPr>
      </w:pPr>
      <w:r>
        <w:rPr>
          <w:rFonts w:ascii="Times New Roman" w:hAnsi="Times New Roman" w:cs="Times New Roman"/>
          <w:lang w:val="en-GB"/>
        </w:rPr>
        <w:t>2018</w:t>
      </w:r>
      <w:r>
        <w:rPr>
          <w:rFonts w:ascii="Times New Roman" w:hAnsi="Times New Roman" w:cs="Times New Roman" w:hint="eastAsia"/>
          <w:lang w:val="en-GB"/>
        </w:rPr>
        <w:t>年、</w:t>
      </w:r>
      <w:r>
        <w:rPr>
          <w:rFonts w:ascii="Times New Roman" w:hAnsi="Times New Roman" w:cs="Times New Roman"/>
          <w:lang w:val="en-GB"/>
        </w:rPr>
        <w:t>2019</w:t>
      </w:r>
      <w:r>
        <w:rPr>
          <w:rFonts w:ascii="Times New Roman" w:hAnsi="Times New Roman" w:cs="Times New Roman" w:hint="eastAsia"/>
          <w:lang w:val="en-GB"/>
        </w:rPr>
        <w:t>年和</w:t>
      </w:r>
      <w:r>
        <w:rPr>
          <w:rFonts w:ascii="Times New Roman" w:hAnsi="Times New Roman" w:cs="Times New Roman"/>
          <w:lang w:val="en-GB"/>
        </w:rPr>
        <w:t>2020</w:t>
      </w:r>
      <w:r>
        <w:rPr>
          <w:rFonts w:ascii="Times New Roman" w:hAnsi="Times New Roman" w:cs="Times New Roman" w:hint="eastAsia"/>
          <w:lang w:val="en-GB"/>
        </w:rPr>
        <w:t>年，标的公司机器人集成应用业务产生的毛利分别为</w:t>
      </w:r>
      <w:r>
        <w:rPr>
          <w:rFonts w:ascii="Times New Roman" w:hAnsi="Times New Roman" w:cs="Times New Roman"/>
          <w:lang w:val="en-GB"/>
        </w:rPr>
        <w:t>1,539.28</w:t>
      </w:r>
      <w:r>
        <w:rPr>
          <w:rFonts w:ascii="Times New Roman" w:hAnsi="Times New Roman" w:cs="Times New Roman" w:hint="eastAsia"/>
          <w:lang w:val="en-GB"/>
        </w:rPr>
        <w:t>万元、</w:t>
      </w:r>
      <w:r>
        <w:rPr>
          <w:rFonts w:ascii="Times New Roman" w:hAnsi="Times New Roman" w:cs="Times New Roman"/>
          <w:lang w:val="en-GB"/>
        </w:rPr>
        <w:t>468.59</w:t>
      </w:r>
      <w:r>
        <w:rPr>
          <w:rFonts w:ascii="Times New Roman" w:hAnsi="Times New Roman" w:cs="Times New Roman" w:hint="eastAsia"/>
          <w:lang w:val="en-GB"/>
        </w:rPr>
        <w:t>万元和</w:t>
      </w:r>
      <w:r>
        <w:rPr>
          <w:rFonts w:ascii="Times New Roman" w:hAnsi="Times New Roman" w:cs="Times New Roman"/>
          <w:lang w:val="en-GB"/>
        </w:rPr>
        <w:t>1,611.34</w:t>
      </w:r>
      <w:r>
        <w:rPr>
          <w:rFonts w:ascii="Times New Roman" w:hAnsi="Times New Roman" w:cs="Times New Roman" w:hint="eastAsia"/>
          <w:lang w:val="en-GB"/>
        </w:rPr>
        <w:t>万元，其毛利率分别为</w:t>
      </w:r>
      <w:r>
        <w:rPr>
          <w:rFonts w:ascii="Times New Roman" w:hAnsi="Times New Roman" w:cs="Times New Roman"/>
          <w:lang w:val="en-GB"/>
        </w:rPr>
        <w:t>29.51%</w:t>
      </w:r>
      <w:r>
        <w:rPr>
          <w:rFonts w:ascii="Times New Roman" w:hAnsi="Times New Roman" w:cs="Times New Roman" w:hint="eastAsia"/>
          <w:lang w:val="en-GB"/>
        </w:rPr>
        <w:t>、</w:t>
      </w:r>
      <w:r>
        <w:rPr>
          <w:rFonts w:ascii="Times New Roman" w:hAnsi="Times New Roman" w:cs="Times New Roman"/>
          <w:lang w:val="en-GB"/>
        </w:rPr>
        <w:t>28.68%</w:t>
      </w:r>
      <w:r>
        <w:rPr>
          <w:rFonts w:ascii="Times New Roman" w:hAnsi="Times New Roman" w:cs="Times New Roman" w:hint="eastAsia"/>
          <w:lang w:val="en-GB"/>
        </w:rPr>
        <w:t>和</w:t>
      </w:r>
      <w:r>
        <w:rPr>
          <w:rFonts w:ascii="Times New Roman" w:hAnsi="Times New Roman" w:cs="Times New Roman"/>
          <w:lang w:val="en-GB"/>
        </w:rPr>
        <w:t>24.32%</w:t>
      </w:r>
      <w:r>
        <w:rPr>
          <w:rFonts w:ascii="Times New Roman" w:hAnsi="Times New Roman" w:cs="Times New Roman" w:hint="eastAsia"/>
          <w:lang w:val="en-GB"/>
        </w:rPr>
        <w:t>，其对机器人及配套业务的毛利贡献率分别为</w:t>
      </w:r>
      <w:r>
        <w:rPr>
          <w:rFonts w:ascii="Times New Roman" w:hAnsi="Times New Roman" w:cs="Times New Roman"/>
          <w:lang w:val="en-GB"/>
        </w:rPr>
        <w:t>100.00%</w:t>
      </w:r>
      <w:r>
        <w:rPr>
          <w:rFonts w:ascii="Times New Roman" w:hAnsi="Times New Roman" w:cs="Times New Roman" w:hint="eastAsia"/>
          <w:lang w:val="en-GB"/>
        </w:rPr>
        <w:t>、</w:t>
      </w:r>
      <w:r>
        <w:rPr>
          <w:rFonts w:ascii="Times New Roman" w:hAnsi="Times New Roman" w:cs="Times New Roman"/>
          <w:lang w:val="en-GB"/>
        </w:rPr>
        <w:t>95.64%</w:t>
      </w:r>
      <w:r>
        <w:rPr>
          <w:rFonts w:ascii="Times New Roman" w:hAnsi="Times New Roman" w:cs="Times New Roman" w:hint="eastAsia"/>
          <w:lang w:val="en-GB"/>
        </w:rPr>
        <w:t>和</w:t>
      </w:r>
      <w:r>
        <w:rPr>
          <w:rFonts w:ascii="Times New Roman" w:hAnsi="Times New Roman" w:cs="Times New Roman"/>
          <w:lang w:val="en-GB"/>
        </w:rPr>
        <w:t>99.72%</w:t>
      </w:r>
      <w:r>
        <w:rPr>
          <w:rFonts w:ascii="Times New Roman" w:hAnsi="Times New Roman" w:cs="Times New Roman" w:hint="eastAsia"/>
          <w:lang w:val="en-GB"/>
        </w:rPr>
        <w:t>。</w:t>
      </w:r>
      <w:r>
        <w:rPr>
          <w:rFonts w:ascii="Times New Roman" w:hAnsi="Times New Roman" w:cs="Times New Roman"/>
          <w:lang w:val="en-GB"/>
        </w:rPr>
        <w:t>2019</w:t>
      </w:r>
      <w:r>
        <w:rPr>
          <w:rFonts w:ascii="Times New Roman" w:hAnsi="Times New Roman" w:cs="Times New Roman" w:hint="eastAsia"/>
          <w:lang w:val="en-GB"/>
        </w:rPr>
        <w:t>年，标的公司机器人集成应用业务产生的毛利较低的原因主要系标的公司将定制化集成业务作为发展重点，机器人集成应用业务规模有所减少所致。</w:t>
      </w:r>
    </w:p>
    <w:p w14:paraId="43CA9057"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06"/>
        <w:gridCol w:w="1121"/>
        <w:gridCol w:w="1432"/>
        <w:gridCol w:w="1231"/>
        <w:gridCol w:w="1323"/>
        <w:gridCol w:w="1309"/>
      </w:tblGrid>
      <w:tr w:rsidR="000A0ACD" w14:paraId="429FF03C" w14:textId="77777777">
        <w:trPr>
          <w:trHeight w:val="397"/>
        </w:trPr>
        <w:tc>
          <w:tcPr>
            <w:tcW w:w="1236" w:type="pct"/>
            <w:shd w:val="clear" w:color="auto" w:fill="auto"/>
            <w:vAlign w:val="center"/>
          </w:tcPr>
          <w:p w14:paraId="4D102FD9"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机器人集成应用</w:t>
            </w:r>
            <w:r>
              <w:rPr>
                <w:rFonts w:ascii="Times New Roman" w:hAnsi="Times New Roman" w:cs="Times New Roman" w:hint="eastAsia"/>
                <w:b/>
                <w:bCs/>
                <w:color w:val="000000"/>
                <w:sz w:val="21"/>
                <w:szCs w:val="21"/>
              </w:rPr>
              <w:t>业务</w:t>
            </w:r>
          </w:p>
        </w:tc>
        <w:tc>
          <w:tcPr>
            <w:tcW w:w="658" w:type="pct"/>
            <w:vAlign w:val="center"/>
          </w:tcPr>
          <w:p w14:paraId="0108744C"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年度</w:t>
            </w:r>
          </w:p>
        </w:tc>
        <w:tc>
          <w:tcPr>
            <w:tcW w:w="840" w:type="pct"/>
            <w:vAlign w:val="center"/>
          </w:tcPr>
          <w:p w14:paraId="3C6240A1"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年较</w:t>
            </w: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年增长</w:t>
            </w:r>
          </w:p>
        </w:tc>
        <w:tc>
          <w:tcPr>
            <w:tcW w:w="722" w:type="pct"/>
            <w:shd w:val="clear" w:color="auto" w:fill="auto"/>
            <w:vAlign w:val="center"/>
          </w:tcPr>
          <w:p w14:paraId="20564319"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年度</w:t>
            </w:r>
          </w:p>
        </w:tc>
        <w:tc>
          <w:tcPr>
            <w:tcW w:w="776" w:type="pct"/>
            <w:shd w:val="clear" w:color="auto" w:fill="auto"/>
            <w:vAlign w:val="center"/>
          </w:tcPr>
          <w:p w14:paraId="2858D686"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018</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768" w:type="pct"/>
            <w:vAlign w:val="center"/>
          </w:tcPr>
          <w:p w14:paraId="732A8E3F"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b/>
                <w:bCs/>
                <w:color w:val="000000"/>
                <w:sz w:val="21"/>
                <w:szCs w:val="21"/>
              </w:rPr>
              <w:t>年度</w:t>
            </w:r>
          </w:p>
        </w:tc>
      </w:tr>
      <w:tr w:rsidR="000A0ACD" w14:paraId="763D560D" w14:textId="77777777">
        <w:trPr>
          <w:trHeight w:val="397"/>
        </w:trPr>
        <w:tc>
          <w:tcPr>
            <w:tcW w:w="1236" w:type="pct"/>
            <w:shd w:val="clear" w:color="auto" w:fill="auto"/>
            <w:vAlign w:val="center"/>
          </w:tcPr>
          <w:p w14:paraId="0CD016A0"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营业收入</w:t>
            </w:r>
          </w:p>
        </w:tc>
        <w:tc>
          <w:tcPr>
            <w:tcW w:w="658" w:type="pct"/>
            <w:vAlign w:val="center"/>
          </w:tcPr>
          <w:p w14:paraId="2600B00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6,624.87</w:t>
            </w:r>
          </w:p>
        </w:tc>
        <w:tc>
          <w:tcPr>
            <w:tcW w:w="840" w:type="pct"/>
            <w:vAlign w:val="center"/>
          </w:tcPr>
          <w:p w14:paraId="036D9CFE"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4,990.85</w:t>
            </w:r>
          </w:p>
        </w:tc>
        <w:tc>
          <w:tcPr>
            <w:tcW w:w="722" w:type="pct"/>
            <w:shd w:val="clear" w:color="auto" w:fill="auto"/>
            <w:vAlign w:val="center"/>
          </w:tcPr>
          <w:p w14:paraId="1F2C625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1,634.01</w:t>
            </w:r>
          </w:p>
        </w:tc>
        <w:tc>
          <w:tcPr>
            <w:tcW w:w="776" w:type="pct"/>
            <w:shd w:val="clear" w:color="auto" w:fill="auto"/>
            <w:vAlign w:val="center"/>
          </w:tcPr>
          <w:p w14:paraId="04C56193"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-3,581.32</w:t>
            </w:r>
          </w:p>
        </w:tc>
        <w:tc>
          <w:tcPr>
            <w:tcW w:w="768" w:type="pct"/>
            <w:vAlign w:val="center"/>
          </w:tcPr>
          <w:p w14:paraId="233D003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5,215.34</w:t>
            </w:r>
          </w:p>
        </w:tc>
      </w:tr>
      <w:tr w:rsidR="000A0ACD" w14:paraId="0BA1C4E5" w14:textId="77777777">
        <w:trPr>
          <w:trHeight w:val="397"/>
        </w:trPr>
        <w:tc>
          <w:tcPr>
            <w:tcW w:w="1236" w:type="pct"/>
            <w:shd w:val="clear" w:color="auto" w:fill="auto"/>
            <w:vAlign w:val="center"/>
          </w:tcPr>
          <w:p w14:paraId="2A1B3366"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658" w:type="pct"/>
            <w:vAlign w:val="center"/>
          </w:tcPr>
          <w:p w14:paraId="708FA18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5,013.53</w:t>
            </w:r>
          </w:p>
        </w:tc>
        <w:tc>
          <w:tcPr>
            <w:tcW w:w="840" w:type="pct"/>
            <w:vAlign w:val="center"/>
          </w:tcPr>
          <w:p w14:paraId="51339659"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3,848.10</w:t>
            </w:r>
          </w:p>
        </w:tc>
        <w:tc>
          <w:tcPr>
            <w:tcW w:w="722" w:type="pct"/>
            <w:shd w:val="clear" w:color="auto" w:fill="auto"/>
            <w:vAlign w:val="center"/>
          </w:tcPr>
          <w:p w14:paraId="431BAF1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1,165.43</w:t>
            </w:r>
          </w:p>
        </w:tc>
        <w:tc>
          <w:tcPr>
            <w:tcW w:w="776" w:type="pct"/>
            <w:shd w:val="clear" w:color="auto" w:fill="auto"/>
            <w:vAlign w:val="center"/>
          </w:tcPr>
          <w:p w14:paraId="18181E1B"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-2,510.63</w:t>
            </w:r>
          </w:p>
        </w:tc>
        <w:tc>
          <w:tcPr>
            <w:tcW w:w="768" w:type="pct"/>
            <w:vAlign w:val="center"/>
          </w:tcPr>
          <w:p w14:paraId="7047C01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3,676.06</w:t>
            </w:r>
          </w:p>
        </w:tc>
      </w:tr>
      <w:tr w:rsidR="000A0ACD" w14:paraId="5DD9AAF5" w14:textId="77777777">
        <w:trPr>
          <w:trHeight w:val="397"/>
        </w:trPr>
        <w:tc>
          <w:tcPr>
            <w:tcW w:w="1236" w:type="pct"/>
            <w:shd w:val="clear" w:color="auto" w:fill="auto"/>
            <w:vAlign w:val="center"/>
          </w:tcPr>
          <w:p w14:paraId="580B4D0C"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658" w:type="pct"/>
            <w:vAlign w:val="center"/>
          </w:tcPr>
          <w:p w14:paraId="4497A69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1,611.34</w:t>
            </w:r>
          </w:p>
        </w:tc>
        <w:tc>
          <w:tcPr>
            <w:tcW w:w="840" w:type="pct"/>
            <w:vAlign w:val="center"/>
          </w:tcPr>
          <w:p w14:paraId="08DFCC66"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1,142.76</w:t>
            </w:r>
          </w:p>
        </w:tc>
        <w:tc>
          <w:tcPr>
            <w:tcW w:w="722" w:type="pct"/>
            <w:shd w:val="clear" w:color="auto" w:fill="auto"/>
            <w:vAlign w:val="center"/>
          </w:tcPr>
          <w:p w14:paraId="0CB1261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468.59</w:t>
            </w:r>
          </w:p>
        </w:tc>
        <w:tc>
          <w:tcPr>
            <w:tcW w:w="776" w:type="pct"/>
            <w:shd w:val="clear" w:color="auto" w:fill="auto"/>
            <w:vAlign w:val="center"/>
          </w:tcPr>
          <w:p w14:paraId="030F33AD"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-1,070.69</w:t>
            </w:r>
          </w:p>
        </w:tc>
        <w:tc>
          <w:tcPr>
            <w:tcW w:w="768" w:type="pct"/>
            <w:vAlign w:val="center"/>
          </w:tcPr>
          <w:p w14:paraId="793E15D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1,539.28</w:t>
            </w:r>
          </w:p>
        </w:tc>
      </w:tr>
      <w:tr w:rsidR="000A0ACD" w14:paraId="3A03FE66" w14:textId="77777777">
        <w:trPr>
          <w:trHeight w:val="397"/>
        </w:trPr>
        <w:tc>
          <w:tcPr>
            <w:tcW w:w="1236" w:type="pct"/>
            <w:shd w:val="clear" w:color="auto" w:fill="auto"/>
            <w:vAlign w:val="center"/>
          </w:tcPr>
          <w:p w14:paraId="02806A86"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658" w:type="pct"/>
            <w:vAlign w:val="center"/>
          </w:tcPr>
          <w:p w14:paraId="1383514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24.32%</w:t>
            </w:r>
          </w:p>
        </w:tc>
        <w:tc>
          <w:tcPr>
            <w:tcW w:w="840" w:type="pct"/>
            <w:vAlign w:val="center"/>
          </w:tcPr>
          <w:p w14:paraId="2FD1C5EC"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-4.35%</w:t>
            </w:r>
          </w:p>
        </w:tc>
        <w:tc>
          <w:tcPr>
            <w:tcW w:w="722" w:type="pct"/>
            <w:shd w:val="clear" w:color="auto" w:fill="auto"/>
            <w:vAlign w:val="center"/>
          </w:tcPr>
          <w:p w14:paraId="1DA2B0E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28.68%</w:t>
            </w:r>
          </w:p>
        </w:tc>
        <w:tc>
          <w:tcPr>
            <w:tcW w:w="776" w:type="pct"/>
            <w:shd w:val="clear" w:color="auto" w:fill="auto"/>
            <w:vAlign w:val="center"/>
          </w:tcPr>
          <w:p w14:paraId="056929F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-0.84%</w:t>
            </w:r>
          </w:p>
        </w:tc>
        <w:tc>
          <w:tcPr>
            <w:tcW w:w="768" w:type="pct"/>
            <w:vAlign w:val="center"/>
          </w:tcPr>
          <w:p w14:paraId="2E7AD9D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29.51%</w:t>
            </w:r>
          </w:p>
        </w:tc>
      </w:tr>
      <w:tr w:rsidR="000A0ACD" w14:paraId="51B13A30" w14:textId="77777777">
        <w:trPr>
          <w:trHeight w:val="397"/>
        </w:trPr>
        <w:tc>
          <w:tcPr>
            <w:tcW w:w="1236" w:type="pct"/>
            <w:shd w:val="clear" w:color="auto" w:fill="auto"/>
            <w:vAlign w:val="center"/>
          </w:tcPr>
          <w:p w14:paraId="46435B1B"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对机器人及配套业务的毛利贡献率</w:t>
            </w:r>
          </w:p>
        </w:tc>
        <w:tc>
          <w:tcPr>
            <w:tcW w:w="658" w:type="pct"/>
            <w:vAlign w:val="center"/>
          </w:tcPr>
          <w:p w14:paraId="210B02A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99.72%</w:t>
            </w:r>
          </w:p>
        </w:tc>
        <w:tc>
          <w:tcPr>
            <w:tcW w:w="840" w:type="pct"/>
            <w:vAlign w:val="center"/>
          </w:tcPr>
          <w:p w14:paraId="3E71DDCB"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4.09%</w:t>
            </w:r>
          </w:p>
        </w:tc>
        <w:tc>
          <w:tcPr>
            <w:tcW w:w="722" w:type="pct"/>
            <w:shd w:val="clear" w:color="auto" w:fill="auto"/>
            <w:vAlign w:val="center"/>
          </w:tcPr>
          <w:p w14:paraId="31568AC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95.64%</w:t>
            </w:r>
          </w:p>
        </w:tc>
        <w:tc>
          <w:tcPr>
            <w:tcW w:w="776" w:type="pct"/>
            <w:shd w:val="clear" w:color="auto" w:fill="auto"/>
            <w:vAlign w:val="center"/>
          </w:tcPr>
          <w:p w14:paraId="601648C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-4.36%</w:t>
            </w:r>
          </w:p>
        </w:tc>
        <w:tc>
          <w:tcPr>
            <w:tcW w:w="768" w:type="pct"/>
            <w:vAlign w:val="center"/>
          </w:tcPr>
          <w:p w14:paraId="51F2263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bl>
    <w:p w14:paraId="17122958"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注：对机器人及配套业务的毛利贡献率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机器人集成应用业务的毛利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机器人及配套业务总毛利。</w:t>
      </w:r>
    </w:p>
    <w:p w14:paraId="2EC8C9A5"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标的公司机器人集成应用业务可以细分为非冲压连线项目和含冲压机冲压连线项目。</w:t>
      </w:r>
    </w:p>
    <w:p w14:paraId="67EC8D04"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）机器人集成应用业务</w:t>
      </w:r>
      <w:r>
        <w:rPr>
          <w:rFonts w:ascii="Times New Roman" w:hAnsi="Times New Roman" w:cs="Times New Roman" w:hint="eastAsia"/>
        </w:rPr>
        <w:t>-</w:t>
      </w:r>
      <w:r>
        <w:rPr>
          <w:rFonts w:ascii="Times New Roman" w:hAnsi="Times New Roman" w:cs="Times New Roman" w:hint="eastAsia"/>
        </w:rPr>
        <w:t>非冲压连线项目</w:t>
      </w:r>
    </w:p>
    <w:p w14:paraId="78EAB6A1"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2019</w:t>
      </w:r>
      <w:r>
        <w:rPr>
          <w:rFonts w:ascii="Times New Roman" w:hAnsi="Times New Roman" w:cs="Times New Roman"/>
        </w:rPr>
        <w:t>年，标的公司</w:t>
      </w:r>
      <w:r>
        <w:rPr>
          <w:rFonts w:ascii="Times New Roman" w:hAnsi="Times New Roman" w:cs="Times New Roman" w:hint="eastAsia"/>
        </w:rPr>
        <w:t>机器人集成应用业务</w:t>
      </w:r>
      <w:r>
        <w:rPr>
          <w:rFonts w:ascii="Times New Roman" w:hAnsi="Times New Roman" w:cs="Times New Roman"/>
        </w:rPr>
        <w:t>-</w:t>
      </w:r>
      <w:r>
        <w:rPr>
          <w:rFonts w:ascii="Times New Roman" w:hAnsi="Times New Roman" w:cs="Times New Roman"/>
        </w:rPr>
        <w:t>非冲压连线项目产生的毛利为</w:t>
      </w:r>
      <w:r>
        <w:rPr>
          <w:rFonts w:ascii="Times New Roman" w:hAnsi="Times New Roman" w:cs="Times New Roman"/>
        </w:rPr>
        <w:t>422.93</w:t>
      </w:r>
      <w:r>
        <w:rPr>
          <w:rFonts w:ascii="Times New Roman" w:hAnsi="Times New Roman" w:cs="Times New Roman"/>
        </w:rPr>
        <w:t>万元，相比于</w:t>
      </w:r>
      <w:r>
        <w:rPr>
          <w:rFonts w:ascii="Times New Roman" w:hAnsi="Times New Roman" w:cs="Times New Roman"/>
        </w:rPr>
        <w:t>2018</w:t>
      </w:r>
      <w:r>
        <w:rPr>
          <w:rFonts w:ascii="Times New Roman" w:hAnsi="Times New Roman" w:cs="Times New Roman"/>
        </w:rPr>
        <w:t>年的</w:t>
      </w:r>
      <w:r>
        <w:rPr>
          <w:rFonts w:ascii="Times New Roman" w:hAnsi="Times New Roman" w:cs="Times New Roman"/>
        </w:rPr>
        <w:t>1,488.17</w:t>
      </w:r>
      <w:r>
        <w:rPr>
          <w:rFonts w:ascii="Times New Roman" w:hAnsi="Times New Roman" w:cs="Times New Roman"/>
        </w:rPr>
        <w:t>万元</w:t>
      </w:r>
      <w:r>
        <w:rPr>
          <w:rFonts w:ascii="Times New Roman" w:hAnsi="Times New Roman" w:cs="Times New Roman" w:hint="eastAsia"/>
        </w:rPr>
        <w:t>减少</w:t>
      </w:r>
      <w:r>
        <w:rPr>
          <w:rFonts w:ascii="Times New Roman" w:hAnsi="Times New Roman" w:cs="Times New Roman"/>
        </w:rPr>
        <w:t>了</w:t>
      </w:r>
      <w:r>
        <w:rPr>
          <w:rFonts w:ascii="Times New Roman" w:hAnsi="Times New Roman" w:cs="Times New Roman"/>
        </w:rPr>
        <w:t>1,065.23</w:t>
      </w:r>
      <w:r>
        <w:rPr>
          <w:rFonts w:ascii="Times New Roman" w:hAnsi="Times New Roman" w:cs="Times New Roman"/>
        </w:rPr>
        <w:t>万元，</w:t>
      </w:r>
      <w:r>
        <w:rPr>
          <w:rFonts w:ascii="Times New Roman" w:hAnsi="Times New Roman" w:cs="Times New Roman" w:hint="eastAsia"/>
        </w:rPr>
        <w:t>其对机器人及配套业务的毛利贡献率为</w:t>
      </w:r>
      <w:r>
        <w:rPr>
          <w:rFonts w:ascii="Times New Roman" w:hAnsi="Times New Roman" w:cs="Times New Roman"/>
        </w:rPr>
        <w:t>86.32%</w:t>
      </w:r>
      <w:r>
        <w:rPr>
          <w:rFonts w:ascii="Times New Roman" w:hAnsi="Times New Roman" w:cs="Times New Roman" w:hint="eastAsia"/>
        </w:rPr>
        <w:t>，相比于</w:t>
      </w:r>
      <w:r>
        <w:rPr>
          <w:rFonts w:ascii="Times New Roman" w:hAnsi="Times New Roman" w:cs="Times New Roman"/>
        </w:rPr>
        <w:t>2018</w:t>
      </w:r>
      <w:r>
        <w:rPr>
          <w:rFonts w:ascii="Times New Roman" w:hAnsi="Times New Roman" w:cs="Times New Roman"/>
        </w:rPr>
        <w:t>年的</w:t>
      </w:r>
      <w:r>
        <w:rPr>
          <w:rFonts w:ascii="Times New Roman" w:hAnsi="Times New Roman" w:cs="Times New Roman"/>
        </w:rPr>
        <w:t>96.68%</w:t>
      </w:r>
      <w:r>
        <w:rPr>
          <w:rFonts w:ascii="Times New Roman" w:hAnsi="Times New Roman" w:cs="Times New Roman" w:hint="eastAsia"/>
        </w:rPr>
        <w:t>减少了</w:t>
      </w:r>
      <w:r>
        <w:rPr>
          <w:rFonts w:ascii="Times New Roman" w:hAnsi="Times New Roman" w:cs="Times New Roman"/>
        </w:rPr>
        <w:t>10.36%</w:t>
      </w:r>
      <w:r>
        <w:rPr>
          <w:rFonts w:ascii="Times New Roman" w:hAnsi="Times New Roman" w:cs="Times New Roman" w:hint="eastAsia"/>
        </w:rPr>
        <w:t>，主要系标的公司</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年战略调整，以定制化集成业务为发展重点所致。</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年，标的公司机器人集成应用业务</w:t>
      </w:r>
      <w:r>
        <w:rPr>
          <w:rFonts w:ascii="Times New Roman" w:hAnsi="Times New Roman" w:cs="Times New Roman"/>
        </w:rPr>
        <w:t>-</w:t>
      </w:r>
      <w:r>
        <w:rPr>
          <w:rFonts w:ascii="Times New Roman" w:hAnsi="Times New Roman" w:cs="Times New Roman"/>
        </w:rPr>
        <w:t>非冲压连线项目产生的毛利为</w:t>
      </w:r>
      <w:r>
        <w:rPr>
          <w:rFonts w:ascii="Times New Roman" w:hAnsi="Times New Roman" w:cs="Times New Roman"/>
        </w:rPr>
        <w:t>513.05</w:t>
      </w:r>
      <w:r>
        <w:rPr>
          <w:rFonts w:ascii="Times New Roman" w:hAnsi="Times New Roman" w:cs="Times New Roman" w:hint="eastAsia"/>
        </w:rPr>
        <w:t>万元，相比于</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年的</w:t>
      </w:r>
      <w:r>
        <w:rPr>
          <w:rFonts w:ascii="Times New Roman" w:hAnsi="Times New Roman" w:cs="Times New Roman"/>
        </w:rPr>
        <w:t>422.93</w:t>
      </w:r>
      <w:r>
        <w:rPr>
          <w:rFonts w:ascii="Times New Roman" w:hAnsi="Times New Roman" w:cs="Times New Roman"/>
        </w:rPr>
        <w:t>万元</w:t>
      </w:r>
      <w:r>
        <w:rPr>
          <w:rFonts w:ascii="Times New Roman" w:hAnsi="Times New Roman" w:cs="Times New Roman" w:hint="eastAsia"/>
        </w:rPr>
        <w:t>增加了</w:t>
      </w:r>
      <w:r>
        <w:rPr>
          <w:rFonts w:ascii="Times New Roman" w:hAnsi="Times New Roman" w:cs="Times New Roman"/>
        </w:rPr>
        <w:t>90.11</w:t>
      </w:r>
      <w:r>
        <w:rPr>
          <w:rFonts w:ascii="Times New Roman" w:hAnsi="Times New Roman" w:cs="Times New Roman" w:hint="eastAsia"/>
        </w:rPr>
        <w:t>万元，保持稳定；其对机器人及配套业务的毛利贡献率为</w:t>
      </w:r>
      <w:r>
        <w:rPr>
          <w:rFonts w:ascii="Times New Roman" w:hAnsi="Times New Roman" w:cs="Times New Roman"/>
        </w:rPr>
        <w:t>31.75%</w:t>
      </w:r>
      <w:r>
        <w:rPr>
          <w:rFonts w:ascii="Times New Roman" w:hAnsi="Times New Roman" w:cs="Times New Roman" w:hint="eastAsia"/>
        </w:rPr>
        <w:t>，相比于</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年的</w:t>
      </w:r>
      <w:r>
        <w:rPr>
          <w:rFonts w:ascii="Times New Roman" w:hAnsi="Times New Roman" w:cs="Times New Roman"/>
        </w:rPr>
        <w:t>86.32%</w:t>
      </w:r>
      <w:r>
        <w:rPr>
          <w:rFonts w:ascii="Times New Roman" w:hAnsi="Times New Roman" w:cs="Times New Roman" w:hint="eastAsia"/>
        </w:rPr>
        <w:t>减少了</w:t>
      </w:r>
      <w:r>
        <w:rPr>
          <w:rFonts w:ascii="Times New Roman" w:hAnsi="Times New Roman" w:cs="Times New Roman"/>
        </w:rPr>
        <w:t>54.57%</w:t>
      </w:r>
      <w:r>
        <w:rPr>
          <w:rFonts w:ascii="Times New Roman" w:hAnsi="Times New Roman" w:cs="Times New Roman" w:hint="eastAsia"/>
        </w:rPr>
        <w:t>，主要系</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年标的公司业务规模增长、总毛利增加所致。</w:t>
      </w:r>
    </w:p>
    <w:p w14:paraId="5F6D3912"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报告期内各期，标的公司机器人集成应用业务</w:t>
      </w:r>
      <w:r>
        <w:rPr>
          <w:rFonts w:ascii="Times New Roman" w:hAnsi="Times New Roman" w:cs="Times New Roman"/>
        </w:rPr>
        <w:t>-</w:t>
      </w:r>
      <w:r>
        <w:rPr>
          <w:rFonts w:ascii="Times New Roman" w:hAnsi="Times New Roman" w:cs="Times New Roman"/>
        </w:rPr>
        <w:t>非冲压连线项目</w:t>
      </w:r>
      <w:r>
        <w:rPr>
          <w:rFonts w:ascii="Times New Roman" w:hAnsi="Times New Roman" w:cs="Times New Roman" w:hint="eastAsia"/>
        </w:rPr>
        <w:t>的毛利率分别为</w:t>
      </w:r>
      <w:r>
        <w:rPr>
          <w:rFonts w:ascii="Times New Roman" w:hAnsi="Times New Roman" w:cs="Times New Roman"/>
        </w:rPr>
        <w:t>30.00%</w:t>
      </w:r>
      <w:r>
        <w:rPr>
          <w:rFonts w:ascii="Times New Roman" w:hAnsi="Times New Roman" w:cs="Times New Roman" w:hint="eastAsia"/>
        </w:rPr>
        <w:t>、</w:t>
      </w:r>
      <w:r>
        <w:rPr>
          <w:rFonts w:ascii="Times New Roman" w:hAnsi="Times New Roman" w:cs="Times New Roman"/>
        </w:rPr>
        <w:t>34.40%</w:t>
      </w:r>
      <w:r>
        <w:rPr>
          <w:rFonts w:ascii="Times New Roman" w:hAnsi="Times New Roman" w:cs="Times New Roman" w:hint="eastAsia"/>
        </w:rPr>
        <w:t>和</w:t>
      </w:r>
      <w:r>
        <w:rPr>
          <w:rFonts w:ascii="Times New Roman" w:hAnsi="Times New Roman" w:cs="Times New Roman"/>
        </w:rPr>
        <w:t>32.46%</w:t>
      </w:r>
      <w:r>
        <w:rPr>
          <w:rFonts w:ascii="Times New Roman" w:hAnsi="Times New Roman" w:cs="Times New Roman" w:hint="eastAsia"/>
        </w:rPr>
        <w:t>，毛利率水平保持稳定。</w:t>
      </w:r>
    </w:p>
    <w:p w14:paraId="7C3347AB"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08"/>
        <w:gridCol w:w="1120"/>
        <w:gridCol w:w="1435"/>
        <w:gridCol w:w="1229"/>
        <w:gridCol w:w="1319"/>
        <w:gridCol w:w="1311"/>
      </w:tblGrid>
      <w:tr w:rsidR="000A0ACD" w14:paraId="46C2BCB7" w14:textId="77777777">
        <w:trPr>
          <w:trHeight w:val="397"/>
          <w:tblHeader/>
        </w:trPr>
        <w:tc>
          <w:tcPr>
            <w:tcW w:w="1237" w:type="pct"/>
            <w:shd w:val="clear" w:color="auto" w:fill="auto"/>
            <w:vAlign w:val="center"/>
          </w:tcPr>
          <w:p w14:paraId="56516D0C"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机器人集成应用</w:t>
            </w:r>
            <w:r>
              <w:rPr>
                <w:rFonts w:ascii="Times New Roman" w:hAnsi="Times New Roman" w:cs="Times New Roman" w:hint="eastAsia"/>
                <w:b/>
                <w:bCs/>
                <w:color w:val="000000"/>
                <w:sz w:val="21"/>
                <w:szCs w:val="21"/>
              </w:rPr>
              <w:t>业务</w:t>
            </w:r>
            <w:r>
              <w:rPr>
                <w:rFonts w:ascii="Times New Roman" w:hAnsi="Times New Roman" w:cs="Times New Roman"/>
                <w:b/>
                <w:bCs/>
                <w:color w:val="000000"/>
                <w:sz w:val="21"/>
                <w:szCs w:val="21"/>
              </w:rPr>
              <w:t>-</w:t>
            </w:r>
            <w:r>
              <w:rPr>
                <w:rFonts w:ascii="Times New Roman" w:hAnsi="Times New Roman" w:cs="Times New Roman"/>
                <w:b/>
                <w:bCs/>
                <w:color w:val="000000"/>
                <w:sz w:val="21"/>
                <w:szCs w:val="21"/>
              </w:rPr>
              <w:t>非冲压连线项目</w:t>
            </w:r>
          </w:p>
        </w:tc>
        <w:tc>
          <w:tcPr>
            <w:tcW w:w="657" w:type="pct"/>
            <w:vAlign w:val="center"/>
          </w:tcPr>
          <w:p w14:paraId="0CD13E01"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年度</w:t>
            </w:r>
          </w:p>
        </w:tc>
        <w:tc>
          <w:tcPr>
            <w:tcW w:w="842" w:type="pct"/>
            <w:vAlign w:val="center"/>
          </w:tcPr>
          <w:p w14:paraId="52445B45"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年较</w:t>
            </w: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年增长</w:t>
            </w:r>
          </w:p>
        </w:tc>
        <w:tc>
          <w:tcPr>
            <w:tcW w:w="721" w:type="pct"/>
            <w:shd w:val="clear" w:color="auto" w:fill="auto"/>
            <w:vAlign w:val="center"/>
          </w:tcPr>
          <w:p w14:paraId="236E34AB"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年度</w:t>
            </w:r>
          </w:p>
        </w:tc>
        <w:tc>
          <w:tcPr>
            <w:tcW w:w="774" w:type="pct"/>
            <w:shd w:val="clear" w:color="auto" w:fill="auto"/>
            <w:vAlign w:val="center"/>
          </w:tcPr>
          <w:p w14:paraId="55E74C5A"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018</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770" w:type="pct"/>
            <w:vAlign w:val="center"/>
          </w:tcPr>
          <w:p w14:paraId="2568F66F"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b/>
                <w:bCs/>
                <w:color w:val="000000"/>
                <w:sz w:val="21"/>
                <w:szCs w:val="21"/>
              </w:rPr>
              <w:t>年度</w:t>
            </w:r>
          </w:p>
        </w:tc>
      </w:tr>
      <w:tr w:rsidR="000A0ACD" w14:paraId="5D2E9212" w14:textId="77777777">
        <w:trPr>
          <w:trHeight w:val="397"/>
        </w:trPr>
        <w:tc>
          <w:tcPr>
            <w:tcW w:w="1237" w:type="pct"/>
            <w:shd w:val="clear" w:color="auto" w:fill="auto"/>
            <w:vAlign w:val="center"/>
          </w:tcPr>
          <w:p w14:paraId="37CEA1C1"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营业收入</w:t>
            </w:r>
          </w:p>
        </w:tc>
        <w:tc>
          <w:tcPr>
            <w:tcW w:w="657" w:type="pct"/>
            <w:vAlign w:val="center"/>
          </w:tcPr>
          <w:p w14:paraId="0D204AD3"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1,580.71</w:t>
            </w:r>
          </w:p>
        </w:tc>
        <w:tc>
          <w:tcPr>
            <w:tcW w:w="842" w:type="pct"/>
            <w:vAlign w:val="center"/>
          </w:tcPr>
          <w:p w14:paraId="2AE32EBC"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351.33</w:t>
            </w:r>
          </w:p>
        </w:tc>
        <w:tc>
          <w:tcPr>
            <w:tcW w:w="721" w:type="pct"/>
            <w:shd w:val="clear" w:color="auto" w:fill="auto"/>
            <w:vAlign w:val="center"/>
          </w:tcPr>
          <w:p w14:paraId="6884B0F8"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1,229.38</w:t>
            </w:r>
          </w:p>
        </w:tc>
        <w:tc>
          <w:tcPr>
            <w:tcW w:w="774" w:type="pct"/>
            <w:shd w:val="clear" w:color="auto" w:fill="auto"/>
            <w:vAlign w:val="center"/>
          </w:tcPr>
          <w:p w14:paraId="45860FA8"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-3,730.41</w:t>
            </w:r>
          </w:p>
        </w:tc>
        <w:tc>
          <w:tcPr>
            <w:tcW w:w="770" w:type="pct"/>
            <w:vAlign w:val="center"/>
          </w:tcPr>
          <w:p w14:paraId="431379A5"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4,959.78</w:t>
            </w:r>
          </w:p>
        </w:tc>
      </w:tr>
      <w:tr w:rsidR="000A0ACD" w14:paraId="228EE047" w14:textId="77777777">
        <w:trPr>
          <w:trHeight w:val="397"/>
        </w:trPr>
        <w:tc>
          <w:tcPr>
            <w:tcW w:w="1237" w:type="pct"/>
            <w:shd w:val="clear" w:color="auto" w:fill="auto"/>
            <w:vAlign w:val="center"/>
          </w:tcPr>
          <w:p w14:paraId="5EA6A24A"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657" w:type="pct"/>
            <w:vAlign w:val="center"/>
          </w:tcPr>
          <w:p w14:paraId="39ACE459"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1,067.66</w:t>
            </w:r>
          </w:p>
        </w:tc>
        <w:tc>
          <w:tcPr>
            <w:tcW w:w="842" w:type="pct"/>
            <w:vAlign w:val="center"/>
          </w:tcPr>
          <w:p w14:paraId="38C100A6"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261.22</w:t>
            </w:r>
          </w:p>
        </w:tc>
        <w:tc>
          <w:tcPr>
            <w:tcW w:w="721" w:type="pct"/>
            <w:shd w:val="clear" w:color="auto" w:fill="auto"/>
            <w:vAlign w:val="center"/>
          </w:tcPr>
          <w:p w14:paraId="5F42C3BC"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806.44</w:t>
            </w:r>
          </w:p>
        </w:tc>
        <w:tc>
          <w:tcPr>
            <w:tcW w:w="774" w:type="pct"/>
            <w:shd w:val="clear" w:color="auto" w:fill="auto"/>
            <w:vAlign w:val="center"/>
          </w:tcPr>
          <w:p w14:paraId="1F5BDE90"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-2,665.17</w:t>
            </w:r>
          </w:p>
        </w:tc>
        <w:tc>
          <w:tcPr>
            <w:tcW w:w="770" w:type="pct"/>
            <w:vAlign w:val="center"/>
          </w:tcPr>
          <w:p w14:paraId="2275F6EE"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3,471.62</w:t>
            </w:r>
          </w:p>
        </w:tc>
      </w:tr>
      <w:tr w:rsidR="000A0ACD" w14:paraId="585743CC" w14:textId="77777777">
        <w:trPr>
          <w:trHeight w:val="397"/>
        </w:trPr>
        <w:tc>
          <w:tcPr>
            <w:tcW w:w="1237" w:type="pct"/>
            <w:shd w:val="clear" w:color="auto" w:fill="auto"/>
            <w:vAlign w:val="center"/>
          </w:tcPr>
          <w:p w14:paraId="5E3ED923"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657" w:type="pct"/>
            <w:vAlign w:val="center"/>
          </w:tcPr>
          <w:p w14:paraId="2C1CE949"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513.05</w:t>
            </w:r>
          </w:p>
        </w:tc>
        <w:tc>
          <w:tcPr>
            <w:tcW w:w="842" w:type="pct"/>
            <w:vAlign w:val="center"/>
          </w:tcPr>
          <w:p w14:paraId="6C2E59A1"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90.11</w:t>
            </w:r>
          </w:p>
        </w:tc>
        <w:tc>
          <w:tcPr>
            <w:tcW w:w="721" w:type="pct"/>
            <w:shd w:val="clear" w:color="auto" w:fill="auto"/>
            <w:vAlign w:val="center"/>
          </w:tcPr>
          <w:p w14:paraId="49315399"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422.93</w:t>
            </w:r>
          </w:p>
        </w:tc>
        <w:tc>
          <w:tcPr>
            <w:tcW w:w="774" w:type="pct"/>
            <w:shd w:val="clear" w:color="auto" w:fill="auto"/>
            <w:vAlign w:val="center"/>
          </w:tcPr>
          <w:p w14:paraId="0460F3D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-1,065.23</w:t>
            </w:r>
          </w:p>
        </w:tc>
        <w:tc>
          <w:tcPr>
            <w:tcW w:w="770" w:type="pct"/>
            <w:vAlign w:val="center"/>
          </w:tcPr>
          <w:p w14:paraId="16766D99"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1,488.17</w:t>
            </w:r>
          </w:p>
        </w:tc>
      </w:tr>
      <w:tr w:rsidR="000A0ACD" w14:paraId="7EBECB87" w14:textId="77777777">
        <w:trPr>
          <w:trHeight w:val="397"/>
        </w:trPr>
        <w:tc>
          <w:tcPr>
            <w:tcW w:w="1237" w:type="pct"/>
            <w:shd w:val="clear" w:color="auto" w:fill="auto"/>
            <w:vAlign w:val="center"/>
          </w:tcPr>
          <w:p w14:paraId="26D0D250"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657" w:type="pct"/>
            <w:vAlign w:val="center"/>
          </w:tcPr>
          <w:p w14:paraId="3420FB70"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32.46%</w:t>
            </w:r>
          </w:p>
        </w:tc>
        <w:tc>
          <w:tcPr>
            <w:tcW w:w="842" w:type="pct"/>
            <w:vAlign w:val="center"/>
          </w:tcPr>
          <w:p w14:paraId="705AD040"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-1.95%</w:t>
            </w:r>
          </w:p>
        </w:tc>
        <w:tc>
          <w:tcPr>
            <w:tcW w:w="721" w:type="pct"/>
            <w:shd w:val="clear" w:color="auto" w:fill="auto"/>
            <w:vAlign w:val="center"/>
          </w:tcPr>
          <w:p w14:paraId="66F41BE9"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34.40%</w:t>
            </w:r>
          </w:p>
        </w:tc>
        <w:tc>
          <w:tcPr>
            <w:tcW w:w="774" w:type="pct"/>
            <w:shd w:val="clear" w:color="auto" w:fill="auto"/>
            <w:vAlign w:val="center"/>
          </w:tcPr>
          <w:p w14:paraId="3DDFB2CE"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4.40%</w:t>
            </w:r>
          </w:p>
        </w:tc>
        <w:tc>
          <w:tcPr>
            <w:tcW w:w="770" w:type="pct"/>
            <w:vAlign w:val="center"/>
          </w:tcPr>
          <w:p w14:paraId="49DB57A9"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30.00%</w:t>
            </w:r>
          </w:p>
        </w:tc>
      </w:tr>
      <w:tr w:rsidR="000A0ACD" w14:paraId="57803420" w14:textId="77777777">
        <w:trPr>
          <w:trHeight w:val="397"/>
        </w:trPr>
        <w:tc>
          <w:tcPr>
            <w:tcW w:w="1237" w:type="pct"/>
            <w:shd w:val="clear" w:color="auto" w:fill="auto"/>
            <w:vAlign w:val="center"/>
          </w:tcPr>
          <w:p w14:paraId="7892F1C6"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对机器人及配套业务的毛利贡献率</w:t>
            </w:r>
          </w:p>
        </w:tc>
        <w:tc>
          <w:tcPr>
            <w:tcW w:w="657" w:type="pct"/>
            <w:vAlign w:val="center"/>
          </w:tcPr>
          <w:p w14:paraId="38524353"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31.75%</w:t>
            </w:r>
          </w:p>
        </w:tc>
        <w:tc>
          <w:tcPr>
            <w:tcW w:w="842" w:type="pct"/>
            <w:vAlign w:val="center"/>
          </w:tcPr>
          <w:p w14:paraId="46ED8D83"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-54.57%</w:t>
            </w:r>
          </w:p>
        </w:tc>
        <w:tc>
          <w:tcPr>
            <w:tcW w:w="721" w:type="pct"/>
            <w:shd w:val="clear" w:color="auto" w:fill="auto"/>
            <w:vAlign w:val="center"/>
          </w:tcPr>
          <w:p w14:paraId="225AA39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86.32%</w:t>
            </w:r>
          </w:p>
        </w:tc>
        <w:tc>
          <w:tcPr>
            <w:tcW w:w="774" w:type="pct"/>
            <w:shd w:val="clear" w:color="auto" w:fill="auto"/>
            <w:vAlign w:val="center"/>
          </w:tcPr>
          <w:p w14:paraId="0A41EEBC"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-10.36%</w:t>
            </w:r>
          </w:p>
        </w:tc>
        <w:tc>
          <w:tcPr>
            <w:tcW w:w="770" w:type="pct"/>
            <w:vAlign w:val="center"/>
          </w:tcPr>
          <w:p w14:paraId="1E705BD8"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96.68%</w:t>
            </w:r>
          </w:p>
        </w:tc>
      </w:tr>
    </w:tbl>
    <w:p w14:paraId="6C5C947A"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注：对机器人及配套业务的毛利贡献率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机器人集成应用业务</w:t>
      </w:r>
      <w:r>
        <w:rPr>
          <w:rFonts w:ascii="Times New Roman" w:hAnsi="Times New Roman" w:cs="Times New Roman"/>
          <w:bCs/>
          <w:color w:val="000000"/>
          <w:sz w:val="21"/>
          <w:szCs w:val="21"/>
          <w:lang w:val="en-GB"/>
        </w:rPr>
        <w:t>-</w:t>
      </w:r>
      <w:r>
        <w:rPr>
          <w:rFonts w:ascii="Times New Roman" w:hAnsi="Times New Roman" w:cs="Times New Roman"/>
          <w:bCs/>
          <w:color w:val="000000"/>
          <w:sz w:val="21"/>
          <w:szCs w:val="21"/>
          <w:lang w:val="en-GB"/>
        </w:rPr>
        <w:t>非冲压连线项目</w:t>
      </w:r>
      <w:r>
        <w:rPr>
          <w:rFonts w:ascii="Times New Roman" w:hAnsi="Times New Roman" w:cs="Times New Roman" w:hint="eastAsia"/>
          <w:bCs/>
          <w:color w:val="000000"/>
          <w:sz w:val="21"/>
          <w:szCs w:val="21"/>
          <w:lang w:val="en-GB"/>
        </w:rPr>
        <w:t>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机器人及配套业务总毛利。</w:t>
      </w:r>
    </w:p>
    <w:p w14:paraId="36B8F8E4"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）机器人集成应用业务</w:t>
      </w:r>
      <w:r>
        <w:rPr>
          <w:rFonts w:ascii="Times New Roman" w:hAnsi="Times New Roman" w:cs="Times New Roman"/>
        </w:rPr>
        <w:t>-</w:t>
      </w:r>
      <w:r>
        <w:rPr>
          <w:rFonts w:ascii="Times New Roman" w:hAnsi="Times New Roman" w:cs="Times New Roman" w:hint="eastAsia"/>
        </w:rPr>
        <w:t>含冲压机冲压连线项目</w:t>
      </w:r>
    </w:p>
    <w:p w14:paraId="7131244F"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w:t>
      </w:r>
      <w:r>
        <w:rPr>
          <w:rFonts w:ascii="Times New Roman" w:hAnsi="Times New Roman" w:cs="Times New Roman" w:hint="eastAsia"/>
        </w:rPr>
        <w:t>年、</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年，标的公司机器人集成应用业务</w:t>
      </w:r>
      <w:r>
        <w:rPr>
          <w:rFonts w:ascii="Times New Roman" w:hAnsi="Times New Roman" w:cs="Times New Roman"/>
        </w:rPr>
        <w:t>-</w:t>
      </w:r>
      <w:r>
        <w:rPr>
          <w:rFonts w:ascii="Times New Roman" w:hAnsi="Times New Roman" w:cs="Times New Roman"/>
        </w:rPr>
        <w:t>含冲压机冲压连线项目</w:t>
      </w:r>
      <w:r>
        <w:rPr>
          <w:rFonts w:ascii="Times New Roman" w:hAnsi="Times New Roman" w:cs="Times New Roman" w:hint="eastAsia"/>
        </w:rPr>
        <w:t>营业收入、产生的毛利、对机器人及配套业务的毛利贡献率均较小。</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年，标的公司机器人集成应用业务</w:t>
      </w:r>
      <w:r>
        <w:rPr>
          <w:rFonts w:ascii="Times New Roman" w:hAnsi="Times New Roman" w:cs="Times New Roman"/>
        </w:rPr>
        <w:t>-</w:t>
      </w:r>
      <w:r>
        <w:rPr>
          <w:rFonts w:ascii="Times New Roman" w:hAnsi="Times New Roman" w:cs="Times New Roman"/>
        </w:rPr>
        <w:t>含冲压机冲压连线项目</w:t>
      </w:r>
      <w:r>
        <w:rPr>
          <w:rFonts w:ascii="Times New Roman" w:hAnsi="Times New Roman" w:cs="Times New Roman" w:hint="eastAsia"/>
        </w:rPr>
        <w:t>产生的毛利为</w:t>
      </w:r>
      <w:r>
        <w:rPr>
          <w:rFonts w:ascii="Times New Roman" w:hAnsi="Times New Roman" w:cs="Times New Roman"/>
        </w:rPr>
        <w:t>1,098.29</w:t>
      </w:r>
      <w:r>
        <w:rPr>
          <w:rFonts w:ascii="Times New Roman" w:hAnsi="Times New Roman" w:cs="Times New Roman" w:hint="eastAsia"/>
        </w:rPr>
        <w:t>万元，其对机器人及配套业务的毛利贡献率为</w:t>
      </w:r>
      <w:r>
        <w:rPr>
          <w:rFonts w:ascii="Times New Roman" w:hAnsi="Times New Roman" w:cs="Times New Roman"/>
        </w:rPr>
        <w:t>67.97%</w:t>
      </w:r>
      <w:r>
        <w:rPr>
          <w:rFonts w:ascii="Times New Roman" w:hAnsi="Times New Roman" w:cs="Times New Roman" w:hint="eastAsia"/>
        </w:rPr>
        <w:t>，相较于</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年均大幅增加，主要系该类业务工期较短，能够帮助标的公司减小疫情对于公司经营造成的影响所致。</w:t>
      </w:r>
    </w:p>
    <w:p w14:paraId="054AD09B"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报告期内各期，标的公司机器人集成应用业务</w:t>
      </w:r>
      <w:r>
        <w:rPr>
          <w:rFonts w:ascii="Times New Roman" w:hAnsi="Times New Roman" w:cs="Times New Roman"/>
        </w:rPr>
        <w:t>-</w:t>
      </w:r>
      <w:r>
        <w:rPr>
          <w:rFonts w:ascii="Times New Roman" w:hAnsi="Times New Roman" w:cs="Times New Roman" w:hint="eastAsia"/>
        </w:rPr>
        <w:t>含冲压机冲压连线项目</w:t>
      </w:r>
      <w:r>
        <w:rPr>
          <w:rFonts w:ascii="Times New Roman" w:hAnsi="Times New Roman" w:cs="Times New Roman"/>
        </w:rPr>
        <w:t>的毛利率分别为</w:t>
      </w:r>
      <w:r>
        <w:rPr>
          <w:rFonts w:ascii="Times New Roman" w:hAnsi="Times New Roman" w:cs="Times New Roman"/>
        </w:rPr>
        <w:t>20.00%</w:t>
      </w:r>
      <w:r>
        <w:rPr>
          <w:rFonts w:ascii="Times New Roman" w:hAnsi="Times New Roman" w:cs="Times New Roman"/>
        </w:rPr>
        <w:t>、</w:t>
      </w:r>
      <w:r>
        <w:rPr>
          <w:rFonts w:ascii="Times New Roman" w:hAnsi="Times New Roman" w:cs="Times New Roman"/>
        </w:rPr>
        <w:t>11.28%</w:t>
      </w:r>
      <w:r>
        <w:rPr>
          <w:rFonts w:ascii="Times New Roman" w:hAnsi="Times New Roman" w:cs="Times New Roman"/>
        </w:rPr>
        <w:t>和</w:t>
      </w:r>
      <w:r>
        <w:rPr>
          <w:rFonts w:ascii="Times New Roman" w:hAnsi="Times New Roman" w:cs="Times New Roman"/>
        </w:rPr>
        <w:t>21.77%</w:t>
      </w:r>
      <w:r>
        <w:rPr>
          <w:rFonts w:ascii="Times New Roman" w:hAnsi="Times New Roman" w:cs="Times New Roman"/>
        </w:rPr>
        <w:t>，毛利率水平</w:t>
      </w:r>
      <w:r>
        <w:rPr>
          <w:rFonts w:ascii="Times New Roman" w:hAnsi="Times New Roman" w:cs="Times New Roman" w:hint="eastAsia"/>
        </w:rPr>
        <w:t>较低，主要系标的公司的冲压机均为外购，降低了该类项目的整体毛利率所致</w:t>
      </w:r>
      <w:r>
        <w:rPr>
          <w:rFonts w:ascii="Times New Roman" w:hAnsi="Times New Roman" w:cs="Times New Roman"/>
        </w:rPr>
        <w:t>。</w:t>
      </w:r>
    </w:p>
    <w:p w14:paraId="22317EFC"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90"/>
        <w:gridCol w:w="1348"/>
        <w:gridCol w:w="1348"/>
        <w:gridCol w:w="1174"/>
        <w:gridCol w:w="1081"/>
        <w:gridCol w:w="1381"/>
      </w:tblGrid>
      <w:tr w:rsidR="000A0ACD" w14:paraId="2291BEB5" w14:textId="77777777">
        <w:trPr>
          <w:trHeight w:val="397"/>
        </w:trPr>
        <w:tc>
          <w:tcPr>
            <w:tcW w:w="1285" w:type="pct"/>
            <w:shd w:val="clear" w:color="auto" w:fill="auto"/>
            <w:vAlign w:val="center"/>
          </w:tcPr>
          <w:p w14:paraId="5FE1579F"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机器人集成应用业务</w:t>
            </w:r>
            <w:r>
              <w:rPr>
                <w:rFonts w:ascii="Times New Roman" w:hAnsi="Times New Roman" w:cs="Times New Roman"/>
                <w:b/>
                <w:bCs/>
                <w:color w:val="000000"/>
                <w:sz w:val="21"/>
                <w:szCs w:val="21"/>
              </w:rPr>
              <w:t>-</w:t>
            </w:r>
            <w:r>
              <w:rPr>
                <w:rFonts w:ascii="Times New Roman" w:hAnsi="Times New Roman" w:cs="Times New Roman" w:hint="eastAsia"/>
                <w:b/>
                <w:bCs/>
                <w:color w:val="000000"/>
                <w:sz w:val="21"/>
                <w:szCs w:val="21"/>
              </w:rPr>
              <w:t>含冲压机</w:t>
            </w:r>
            <w:r>
              <w:rPr>
                <w:rFonts w:ascii="Times New Roman" w:hAnsi="Times New Roman" w:cs="Times New Roman"/>
                <w:b/>
                <w:bCs/>
                <w:color w:val="000000"/>
                <w:sz w:val="21"/>
                <w:szCs w:val="21"/>
              </w:rPr>
              <w:t>冲压连线项目</w:t>
            </w:r>
          </w:p>
        </w:tc>
        <w:tc>
          <w:tcPr>
            <w:tcW w:w="791" w:type="pct"/>
            <w:vAlign w:val="center"/>
          </w:tcPr>
          <w:p w14:paraId="62EB52F0"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年度</w:t>
            </w:r>
          </w:p>
        </w:tc>
        <w:tc>
          <w:tcPr>
            <w:tcW w:w="791" w:type="pct"/>
            <w:vAlign w:val="center"/>
          </w:tcPr>
          <w:p w14:paraId="78D9BBC4"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年较</w:t>
            </w: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年增长</w:t>
            </w:r>
          </w:p>
        </w:tc>
        <w:tc>
          <w:tcPr>
            <w:tcW w:w="689" w:type="pct"/>
            <w:shd w:val="clear" w:color="auto" w:fill="auto"/>
            <w:vAlign w:val="center"/>
          </w:tcPr>
          <w:p w14:paraId="540554B3"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年度</w:t>
            </w:r>
          </w:p>
        </w:tc>
        <w:tc>
          <w:tcPr>
            <w:tcW w:w="634" w:type="pct"/>
            <w:shd w:val="clear" w:color="auto" w:fill="auto"/>
            <w:vAlign w:val="center"/>
          </w:tcPr>
          <w:p w14:paraId="6B8F32AA"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018</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811" w:type="pct"/>
            <w:vAlign w:val="center"/>
          </w:tcPr>
          <w:p w14:paraId="6F978337"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b/>
                <w:bCs/>
                <w:color w:val="000000"/>
                <w:sz w:val="21"/>
                <w:szCs w:val="21"/>
              </w:rPr>
              <w:t>年度</w:t>
            </w:r>
          </w:p>
        </w:tc>
      </w:tr>
      <w:tr w:rsidR="000A0ACD" w14:paraId="53E646A2" w14:textId="77777777">
        <w:trPr>
          <w:trHeight w:val="397"/>
        </w:trPr>
        <w:tc>
          <w:tcPr>
            <w:tcW w:w="1285" w:type="pct"/>
            <w:shd w:val="clear" w:color="auto" w:fill="auto"/>
            <w:vAlign w:val="center"/>
          </w:tcPr>
          <w:p w14:paraId="4C4DE49E"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营业收入</w:t>
            </w:r>
          </w:p>
        </w:tc>
        <w:tc>
          <w:tcPr>
            <w:tcW w:w="791" w:type="pct"/>
            <w:vAlign w:val="center"/>
          </w:tcPr>
          <w:p w14:paraId="63486A72"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5,044.16</w:t>
            </w:r>
          </w:p>
        </w:tc>
        <w:tc>
          <w:tcPr>
            <w:tcW w:w="791" w:type="pct"/>
            <w:vAlign w:val="center"/>
          </w:tcPr>
          <w:p w14:paraId="6C288A94"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4,639.52</w:t>
            </w:r>
          </w:p>
        </w:tc>
        <w:tc>
          <w:tcPr>
            <w:tcW w:w="689" w:type="pct"/>
            <w:shd w:val="clear" w:color="auto" w:fill="auto"/>
            <w:vAlign w:val="center"/>
          </w:tcPr>
          <w:p w14:paraId="6A59309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404.64</w:t>
            </w:r>
          </w:p>
        </w:tc>
        <w:tc>
          <w:tcPr>
            <w:tcW w:w="634" w:type="pct"/>
            <w:shd w:val="clear" w:color="auto" w:fill="auto"/>
            <w:vAlign w:val="center"/>
          </w:tcPr>
          <w:p w14:paraId="7AA944F3"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149.08</w:t>
            </w:r>
          </w:p>
        </w:tc>
        <w:tc>
          <w:tcPr>
            <w:tcW w:w="811" w:type="pct"/>
            <w:vAlign w:val="center"/>
          </w:tcPr>
          <w:p w14:paraId="4AC71E68"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255.56</w:t>
            </w:r>
          </w:p>
        </w:tc>
      </w:tr>
      <w:tr w:rsidR="000A0ACD" w14:paraId="72822BD3" w14:textId="77777777">
        <w:trPr>
          <w:trHeight w:val="397"/>
        </w:trPr>
        <w:tc>
          <w:tcPr>
            <w:tcW w:w="1285" w:type="pct"/>
            <w:shd w:val="clear" w:color="auto" w:fill="auto"/>
            <w:vAlign w:val="center"/>
          </w:tcPr>
          <w:p w14:paraId="4430A04C"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791" w:type="pct"/>
            <w:vAlign w:val="center"/>
          </w:tcPr>
          <w:p w14:paraId="18826F95"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3,945.87</w:t>
            </w:r>
          </w:p>
        </w:tc>
        <w:tc>
          <w:tcPr>
            <w:tcW w:w="791" w:type="pct"/>
            <w:vAlign w:val="center"/>
          </w:tcPr>
          <w:p w14:paraId="5EFF7727"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3,586.88</w:t>
            </w:r>
          </w:p>
        </w:tc>
        <w:tc>
          <w:tcPr>
            <w:tcW w:w="689" w:type="pct"/>
            <w:shd w:val="clear" w:color="auto" w:fill="auto"/>
            <w:vAlign w:val="center"/>
          </w:tcPr>
          <w:p w14:paraId="098AECB6"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358.99</w:t>
            </w:r>
          </w:p>
        </w:tc>
        <w:tc>
          <w:tcPr>
            <w:tcW w:w="634" w:type="pct"/>
            <w:shd w:val="clear" w:color="auto" w:fill="auto"/>
            <w:vAlign w:val="center"/>
          </w:tcPr>
          <w:p w14:paraId="31A7B7EB"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154.54</w:t>
            </w:r>
          </w:p>
        </w:tc>
        <w:tc>
          <w:tcPr>
            <w:tcW w:w="811" w:type="pct"/>
            <w:vAlign w:val="center"/>
          </w:tcPr>
          <w:p w14:paraId="0A4775E3"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204.44</w:t>
            </w:r>
          </w:p>
        </w:tc>
      </w:tr>
      <w:tr w:rsidR="000A0ACD" w14:paraId="7860459C" w14:textId="77777777">
        <w:trPr>
          <w:trHeight w:val="397"/>
        </w:trPr>
        <w:tc>
          <w:tcPr>
            <w:tcW w:w="1285" w:type="pct"/>
            <w:shd w:val="clear" w:color="auto" w:fill="auto"/>
            <w:vAlign w:val="center"/>
          </w:tcPr>
          <w:p w14:paraId="06D83DDC"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791" w:type="pct"/>
            <w:vAlign w:val="center"/>
          </w:tcPr>
          <w:p w14:paraId="30C9CC4E"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1,098.29</w:t>
            </w:r>
          </w:p>
        </w:tc>
        <w:tc>
          <w:tcPr>
            <w:tcW w:w="791" w:type="pct"/>
            <w:vAlign w:val="center"/>
          </w:tcPr>
          <w:p w14:paraId="48AFACB2"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1,052.64</w:t>
            </w:r>
          </w:p>
        </w:tc>
        <w:tc>
          <w:tcPr>
            <w:tcW w:w="689" w:type="pct"/>
            <w:shd w:val="clear" w:color="auto" w:fill="auto"/>
            <w:vAlign w:val="center"/>
          </w:tcPr>
          <w:p w14:paraId="1680F2C5"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45.65</w:t>
            </w:r>
          </w:p>
        </w:tc>
        <w:tc>
          <w:tcPr>
            <w:tcW w:w="634" w:type="pct"/>
            <w:shd w:val="clear" w:color="auto" w:fill="auto"/>
            <w:vAlign w:val="center"/>
          </w:tcPr>
          <w:p w14:paraId="6BEE3BB1"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-5.46</w:t>
            </w:r>
          </w:p>
        </w:tc>
        <w:tc>
          <w:tcPr>
            <w:tcW w:w="811" w:type="pct"/>
            <w:vAlign w:val="center"/>
          </w:tcPr>
          <w:p w14:paraId="2D74E41F"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51.11</w:t>
            </w:r>
          </w:p>
        </w:tc>
      </w:tr>
      <w:tr w:rsidR="000A0ACD" w14:paraId="7ADB9498" w14:textId="77777777">
        <w:trPr>
          <w:trHeight w:val="397"/>
        </w:trPr>
        <w:tc>
          <w:tcPr>
            <w:tcW w:w="1285" w:type="pct"/>
            <w:shd w:val="clear" w:color="auto" w:fill="auto"/>
            <w:vAlign w:val="center"/>
          </w:tcPr>
          <w:p w14:paraId="205B7566"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791" w:type="pct"/>
            <w:vAlign w:val="center"/>
          </w:tcPr>
          <w:p w14:paraId="6FB38A1E"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21.77%</w:t>
            </w:r>
          </w:p>
        </w:tc>
        <w:tc>
          <w:tcPr>
            <w:tcW w:w="791" w:type="pct"/>
            <w:vAlign w:val="center"/>
          </w:tcPr>
          <w:p w14:paraId="55C6865A"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10.49%</w:t>
            </w:r>
          </w:p>
        </w:tc>
        <w:tc>
          <w:tcPr>
            <w:tcW w:w="689" w:type="pct"/>
            <w:shd w:val="clear" w:color="auto" w:fill="auto"/>
            <w:vAlign w:val="center"/>
          </w:tcPr>
          <w:p w14:paraId="3C1D0270"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11.28%</w:t>
            </w:r>
          </w:p>
        </w:tc>
        <w:tc>
          <w:tcPr>
            <w:tcW w:w="634" w:type="pct"/>
            <w:shd w:val="clear" w:color="auto" w:fill="auto"/>
            <w:vAlign w:val="center"/>
          </w:tcPr>
          <w:p w14:paraId="3FF35110"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-8.72%</w:t>
            </w:r>
          </w:p>
        </w:tc>
        <w:tc>
          <w:tcPr>
            <w:tcW w:w="811" w:type="pct"/>
            <w:vAlign w:val="center"/>
          </w:tcPr>
          <w:p w14:paraId="7479AC80"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20.00%</w:t>
            </w:r>
          </w:p>
        </w:tc>
      </w:tr>
      <w:tr w:rsidR="000A0ACD" w14:paraId="2EF8B8C4" w14:textId="77777777">
        <w:trPr>
          <w:trHeight w:val="397"/>
        </w:trPr>
        <w:tc>
          <w:tcPr>
            <w:tcW w:w="1285" w:type="pct"/>
            <w:shd w:val="clear" w:color="auto" w:fill="auto"/>
            <w:vAlign w:val="center"/>
          </w:tcPr>
          <w:p w14:paraId="54E09336"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color w:val="000000"/>
                <w:sz w:val="21"/>
                <w:szCs w:val="21"/>
              </w:rPr>
              <w:t>对机器人及配套业务的毛利贡献率</w:t>
            </w:r>
          </w:p>
        </w:tc>
        <w:tc>
          <w:tcPr>
            <w:tcW w:w="791" w:type="pct"/>
            <w:vAlign w:val="center"/>
          </w:tcPr>
          <w:p w14:paraId="467C7288"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67.97%</w:t>
            </w:r>
          </w:p>
        </w:tc>
        <w:tc>
          <w:tcPr>
            <w:tcW w:w="791" w:type="pct"/>
            <w:vAlign w:val="center"/>
          </w:tcPr>
          <w:p w14:paraId="2F42A52C"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58.65%</w:t>
            </w:r>
          </w:p>
        </w:tc>
        <w:tc>
          <w:tcPr>
            <w:tcW w:w="689" w:type="pct"/>
            <w:shd w:val="clear" w:color="auto" w:fill="auto"/>
            <w:vAlign w:val="center"/>
          </w:tcPr>
          <w:p w14:paraId="2AC753B1"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9.32%</w:t>
            </w:r>
          </w:p>
        </w:tc>
        <w:tc>
          <w:tcPr>
            <w:tcW w:w="634" w:type="pct"/>
            <w:shd w:val="clear" w:color="auto" w:fill="auto"/>
            <w:vAlign w:val="center"/>
          </w:tcPr>
          <w:p w14:paraId="3BE26473"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6.00%</w:t>
            </w:r>
          </w:p>
        </w:tc>
        <w:tc>
          <w:tcPr>
            <w:tcW w:w="811" w:type="pct"/>
            <w:vAlign w:val="center"/>
          </w:tcPr>
          <w:p w14:paraId="77345DA0" w14:textId="77777777" w:rsidR="000A0ACD" w:rsidRDefault="00362A99">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3.32%</w:t>
            </w:r>
          </w:p>
        </w:tc>
      </w:tr>
    </w:tbl>
    <w:p w14:paraId="16D4F193"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注：对机器人及配套业务的毛利贡献率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机器人集成应用业务</w:t>
      </w:r>
      <w:r>
        <w:rPr>
          <w:rFonts w:ascii="Times New Roman" w:hAnsi="Times New Roman" w:cs="Times New Roman"/>
          <w:bCs/>
          <w:color w:val="000000"/>
          <w:sz w:val="21"/>
          <w:szCs w:val="21"/>
          <w:lang w:val="en-GB"/>
        </w:rPr>
        <w:t>-</w:t>
      </w:r>
      <w:r>
        <w:rPr>
          <w:rFonts w:ascii="Times New Roman" w:hAnsi="Times New Roman" w:cs="Times New Roman" w:hint="eastAsia"/>
          <w:bCs/>
          <w:color w:val="000000"/>
          <w:sz w:val="21"/>
          <w:szCs w:val="21"/>
          <w:lang w:val="en-GB"/>
        </w:rPr>
        <w:t>含冲压机冲压连线项目的毛利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机器人及配套业务总毛利。</w:t>
      </w:r>
    </w:p>
    <w:p w14:paraId="02445AFD"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rPr>
        <w:t>随着标的公司的发展，未来会逐渐</w:t>
      </w:r>
      <w:bookmarkStart w:id="67" w:name="_Hlk69654568"/>
      <w:r>
        <w:rPr>
          <w:rFonts w:ascii="Times New Roman" w:hAnsi="Times New Roman" w:cs="Times New Roman" w:hint="eastAsia"/>
        </w:rPr>
        <w:t>减少</w:t>
      </w:r>
      <w:bookmarkEnd w:id="67"/>
      <w:r>
        <w:rPr>
          <w:rFonts w:ascii="Times New Roman" w:hAnsi="Times New Roman" w:cs="Times New Roman" w:hint="eastAsia"/>
        </w:rPr>
        <w:t>承接毛利率较低的业务，如机器人集成应用业务</w:t>
      </w:r>
      <w:r>
        <w:rPr>
          <w:rFonts w:ascii="Times New Roman" w:hAnsi="Times New Roman" w:cs="Times New Roman"/>
        </w:rPr>
        <w:t>-</w:t>
      </w:r>
      <w:r>
        <w:rPr>
          <w:rFonts w:ascii="Times New Roman" w:hAnsi="Times New Roman" w:cs="Times New Roman" w:hint="eastAsia"/>
        </w:rPr>
        <w:t>含冲压机冲压连线项目。</w:t>
      </w:r>
    </w:p>
    <w:p w14:paraId="1363536F"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三、行业竞争情况</w:t>
      </w:r>
    </w:p>
    <w:p w14:paraId="648493A7"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同行业可比公司选取标准的主要依据是其相关产品及应用领域与标的公司是否类似。因此，在进行毛利率同行业对比分析时，选取埃斯顿、机器人、快克股份、拓斯达、永创智能五家上市公司作为标的公司的可比公司。</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0"/>
        <w:gridCol w:w="1420"/>
        <w:gridCol w:w="1421"/>
        <w:gridCol w:w="1420"/>
        <w:gridCol w:w="1421"/>
        <w:gridCol w:w="1420"/>
      </w:tblGrid>
      <w:tr w:rsidR="000A0ACD" w14:paraId="4CB8079C" w14:textId="77777777">
        <w:trPr>
          <w:trHeight w:val="397"/>
          <w:tblHeader/>
        </w:trPr>
        <w:tc>
          <w:tcPr>
            <w:tcW w:w="833" w:type="pct"/>
            <w:vMerge w:val="restart"/>
            <w:shd w:val="clear" w:color="auto" w:fill="auto"/>
            <w:vAlign w:val="center"/>
          </w:tcPr>
          <w:p w14:paraId="4D2165B4"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公司简称</w:t>
            </w:r>
          </w:p>
        </w:tc>
        <w:tc>
          <w:tcPr>
            <w:tcW w:w="1667" w:type="pct"/>
            <w:gridSpan w:val="2"/>
            <w:shd w:val="clear" w:color="auto" w:fill="auto"/>
            <w:vAlign w:val="center"/>
          </w:tcPr>
          <w:p w14:paraId="154783C8"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1-9</w:t>
            </w:r>
            <w:r>
              <w:rPr>
                <w:rFonts w:ascii="Times New Roman" w:hAnsi="Times New Roman" w:cs="Times New Roman" w:hint="eastAsia"/>
                <w:b/>
                <w:bCs/>
                <w:color w:val="000000"/>
                <w:sz w:val="21"/>
                <w:szCs w:val="21"/>
              </w:rPr>
              <w:t>月</w:t>
            </w:r>
          </w:p>
        </w:tc>
        <w:tc>
          <w:tcPr>
            <w:tcW w:w="1667" w:type="pct"/>
            <w:gridSpan w:val="2"/>
            <w:shd w:val="clear" w:color="auto" w:fill="auto"/>
            <w:vAlign w:val="center"/>
          </w:tcPr>
          <w:p w14:paraId="73975DE1"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年度</w:t>
            </w:r>
          </w:p>
        </w:tc>
        <w:tc>
          <w:tcPr>
            <w:tcW w:w="833" w:type="pct"/>
            <w:shd w:val="clear" w:color="auto" w:fill="auto"/>
            <w:vAlign w:val="center"/>
          </w:tcPr>
          <w:p w14:paraId="10F972DB"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hint="eastAsia"/>
                <w:b/>
                <w:bCs/>
                <w:color w:val="000000"/>
                <w:sz w:val="21"/>
                <w:szCs w:val="21"/>
              </w:rPr>
              <w:t>年度</w:t>
            </w:r>
          </w:p>
        </w:tc>
      </w:tr>
      <w:tr w:rsidR="000A0ACD" w14:paraId="0965DEBE" w14:textId="77777777">
        <w:trPr>
          <w:trHeight w:val="397"/>
          <w:tblHeader/>
        </w:trPr>
        <w:tc>
          <w:tcPr>
            <w:tcW w:w="833" w:type="pct"/>
            <w:vMerge/>
            <w:vAlign w:val="center"/>
          </w:tcPr>
          <w:p w14:paraId="4B08D386" w14:textId="77777777" w:rsidR="000A0ACD" w:rsidRDefault="000A0ACD">
            <w:pPr>
              <w:rPr>
                <w:rFonts w:ascii="Times New Roman" w:hAnsi="Times New Roman" w:cs="Times New Roman"/>
                <w:b/>
                <w:bCs/>
                <w:color w:val="000000"/>
                <w:sz w:val="21"/>
                <w:szCs w:val="21"/>
              </w:rPr>
            </w:pPr>
          </w:p>
        </w:tc>
        <w:tc>
          <w:tcPr>
            <w:tcW w:w="833" w:type="pct"/>
            <w:shd w:val="clear" w:color="auto" w:fill="auto"/>
            <w:vAlign w:val="center"/>
          </w:tcPr>
          <w:p w14:paraId="2CA78C14"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833" w:type="pct"/>
            <w:shd w:val="clear" w:color="auto" w:fill="auto"/>
            <w:vAlign w:val="center"/>
          </w:tcPr>
          <w:p w14:paraId="32B5B149"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增减</w:t>
            </w:r>
          </w:p>
        </w:tc>
        <w:tc>
          <w:tcPr>
            <w:tcW w:w="833" w:type="pct"/>
            <w:shd w:val="clear" w:color="auto" w:fill="auto"/>
            <w:vAlign w:val="center"/>
          </w:tcPr>
          <w:p w14:paraId="7F5F0513"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833" w:type="pct"/>
            <w:shd w:val="clear" w:color="auto" w:fill="auto"/>
            <w:vAlign w:val="center"/>
          </w:tcPr>
          <w:p w14:paraId="7B5295A5"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增减</w:t>
            </w:r>
          </w:p>
        </w:tc>
        <w:tc>
          <w:tcPr>
            <w:tcW w:w="833" w:type="pct"/>
            <w:shd w:val="clear" w:color="auto" w:fill="auto"/>
            <w:vAlign w:val="center"/>
          </w:tcPr>
          <w:p w14:paraId="2A43E2F0"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0A0ACD" w14:paraId="1F48D698" w14:textId="77777777">
        <w:trPr>
          <w:trHeight w:val="397"/>
        </w:trPr>
        <w:tc>
          <w:tcPr>
            <w:tcW w:w="833" w:type="pct"/>
            <w:shd w:val="clear" w:color="auto" w:fill="auto"/>
            <w:vAlign w:val="center"/>
          </w:tcPr>
          <w:p w14:paraId="241ED26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埃斯顿</w:t>
            </w:r>
          </w:p>
        </w:tc>
        <w:tc>
          <w:tcPr>
            <w:tcW w:w="833" w:type="pct"/>
            <w:shd w:val="clear" w:color="auto" w:fill="auto"/>
            <w:vAlign w:val="center"/>
          </w:tcPr>
          <w:p w14:paraId="4D7B6A4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36.90%</w:t>
            </w:r>
          </w:p>
        </w:tc>
        <w:tc>
          <w:tcPr>
            <w:tcW w:w="833" w:type="pct"/>
            <w:shd w:val="clear" w:color="auto" w:fill="auto"/>
            <w:vAlign w:val="center"/>
          </w:tcPr>
          <w:p w14:paraId="12A9E97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0.90%</w:t>
            </w:r>
          </w:p>
        </w:tc>
        <w:tc>
          <w:tcPr>
            <w:tcW w:w="833" w:type="pct"/>
            <w:shd w:val="clear" w:color="auto" w:fill="auto"/>
            <w:vAlign w:val="center"/>
          </w:tcPr>
          <w:p w14:paraId="1B6F07E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36.01%</w:t>
            </w:r>
          </w:p>
        </w:tc>
        <w:tc>
          <w:tcPr>
            <w:tcW w:w="833" w:type="pct"/>
            <w:shd w:val="clear" w:color="auto" w:fill="auto"/>
            <w:vAlign w:val="center"/>
          </w:tcPr>
          <w:p w14:paraId="0D8ED1D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0.02%</w:t>
            </w:r>
          </w:p>
        </w:tc>
        <w:tc>
          <w:tcPr>
            <w:tcW w:w="833" w:type="pct"/>
            <w:shd w:val="clear" w:color="auto" w:fill="auto"/>
            <w:vAlign w:val="center"/>
          </w:tcPr>
          <w:p w14:paraId="3B14929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35.99%</w:t>
            </w:r>
          </w:p>
        </w:tc>
      </w:tr>
      <w:tr w:rsidR="000A0ACD" w14:paraId="20C34AF6" w14:textId="77777777">
        <w:trPr>
          <w:trHeight w:val="397"/>
        </w:trPr>
        <w:tc>
          <w:tcPr>
            <w:tcW w:w="833" w:type="pct"/>
            <w:shd w:val="clear" w:color="auto" w:fill="auto"/>
            <w:vAlign w:val="center"/>
          </w:tcPr>
          <w:p w14:paraId="485D44F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w:t>
            </w:r>
          </w:p>
        </w:tc>
        <w:tc>
          <w:tcPr>
            <w:tcW w:w="833" w:type="pct"/>
            <w:shd w:val="clear" w:color="auto" w:fill="auto"/>
            <w:vAlign w:val="center"/>
          </w:tcPr>
          <w:p w14:paraId="3D2C412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27.13%</w:t>
            </w:r>
          </w:p>
        </w:tc>
        <w:tc>
          <w:tcPr>
            <w:tcW w:w="833" w:type="pct"/>
            <w:shd w:val="clear" w:color="auto" w:fill="auto"/>
            <w:vAlign w:val="center"/>
          </w:tcPr>
          <w:p w14:paraId="65CB50B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-0.79%</w:t>
            </w:r>
          </w:p>
        </w:tc>
        <w:tc>
          <w:tcPr>
            <w:tcW w:w="833" w:type="pct"/>
            <w:shd w:val="clear" w:color="auto" w:fill="auto"/>
            <w:vAlign w:val="center"/>
          </w:tcPr>
          <w:p w14:paraId="43E3C85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27.92%</w:t>
            </w:r>
          </w:p>
        </w:tc>
        <w:tc>
          <w:tcPr>
            <w:tcW w:w="833" w:type="pct"/>
            <w:shd w:val="clear" w:color="auto" w:fill="auto"/>
            <w:vAlign w:val="center"/>
          </w:tcPr>
          <w:p w14:paraId="14892E8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-3.55%</w:t>
            </w:r>
          </w:p>
        </w:tc>
        <w:tc>
          <w:tcPr>
            <w:tcW w:w="833" w:type="pct"/>
            <w:shd w:val="clear" w:color="auto" w:fill="auto"/>
            <w:vAlign w:val="center"/>
          </w:tcPr>
          <w:p w14:paraId="6DCB067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31.47%</w:t>
            </w:r>
          </w:p>
        </w:tc>
      </w:tr>
      <w:tr w:rsidR="000A0ACD" w14:paraId="2333BE31" w14:textId="77777777">
        <w:trPr>
          <w:trHeight w:val="397"/>
        </w:trPr>
        <w:tc>
          <w:tcPr>
            <w:tcW w:w="833" w:type="pct"/>
            <w:shd w:val="clear" w:color="auto" w:fill="auto"/>
            <w:vAlign w:val="center"/>
          </w:tcPr>
          <w:p w14:paraId="7F1F897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快克股份</w:t>
            </w:r>
          </w:p>
        </w:tc>
        <w:tc>
          <w:tcPr>
            <w:tcW w:w="833" w:type="pct"/>
            <w:shd w:val="clear" w:color="auto" w:fill="auto"/>
            <w:vAlign w:val="center"/>
          </w:tcPr>
          <w:p w14:paraId="77E9B31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53.41%</w:t>
            </w:r>
          </w:p>
        </w:tc>
        <w:tc>
          <w:tcPr>
            <w:tcW w:w="833" w:type="pct"/>
            <w:shd w:val="clear" w:color="auto" w:fill="auto"/>
            <w:vAlign w:val="center"/>
          </w:tcPr>
          <w:p w14:paraId="5B881B7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-1.57%</w:t>
            </w:r>
          </w:p>
        </w:tc>
        <w:tc>
          <w:tcPr>
            <w:tcW w:w="833" w:type="pct"/>
            <w:shd w:val="clear" w:color="auto" w:fill="auto"/>
            <w:vAlign w:val="center"/>
          </w:tcPr>
          <w:p w14:paraId="0F91D72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54.98%</w:t>
            </w:r>
          </w:p>
        </w:tc>
        <w:tc>
          <w:tcPr>
            <w:tcW w:w="833" w:type="pct"/>
            <w:shd w:val="clear" w:color="auto" w:fill="auto"/>
            <w:vAlign w:val="center"/>
          </w:tcPr>
          <w:p w14:paraId="68F6EA5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-0.04%</w:t>
            </w:r>
          </w:p>
        </w:tc>
        <w:tc>
          <w:tcPr>
            <w:tcW w:w="833" w:type="pct"/>
            <w:shd w:val="clear" w:color="auto" w:fill="auto"/>
            <w:vAlign w:val="center"/>
          </w:tcPr>
          <w:p w14:paraId="63893E9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55.03%</w:t>
            </w:r>
          </w:p>
        </w:tc>
      </w:tr>
      <w:tr w:rsidR="000A0ACD" w14:paraId="5B345468" w14:textId="77777777">
        <w:trPr>
          <w:trHeight w:val="397"/>
        </w:trPr>
        <w:tc>
          <w:tcPr>
            <w:tcW w:w="833" w:type="pct"/>
            <w:shd w:val="clear" w:color="auto" w:fill="auto"/>
            <w:vAlign w:val="center"/>
          </w:tcPr>
          <w:p w14:paraId="1314174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拓斯达</w:t>
            </w:r>
          </w:p>
        </w:tc>
        <w:tc>
          <w:tcPr>
            <w:tcW w:w="833" w:type="pct"/>
            <w:shd w:val="clear" w:color="auto" w:fill="auto"/>
            <w:vAlign w:val="center"/>
          </w:tcPr>
          <w:p w14:paraId="04CD981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53.54%</w:t>
            </w:r>
          </w:p>
        </w:tc>
        <w:tc>
          <w:tcPr>
            <w:tcW w:w="833" w:type="pct"/>
            <w:shd w:val="clear" w:color="auto" w:fill="auto"/>
            <w:vAlign w:val="center"/>
          </w:tcPr>
          <w:p w14:paraId="5E519FD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19.50%</w:t>
            </w:r>
          </w:p>
        </w:tc>
        <w:tc>
          <w:tcPr>
            <w:tcW w:w="833" w:type="pct"/>
            <w:shd w:val="clear" w:color="auto" w:fill="auto"/>
            <w:vAlign w:val="center"/>
          </w:tcPr>
          <w:p w14:paraId="7C6F1A3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34.04%</w:t>
            </w:r>
          </w:p>
        </w:tc>
        <w:tc>
          <w:tcPr>
            <w:tcW w:w="833" w:type="pct"/>
            <w:shd w:val="clear" w:color="auto" w:fill="auto"/>
            <w:vAlign w:val="center"/>
          </w:tcPr>
          <w:p w14:paraId="4D4D482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-2.07%</w:t>
            </w:r>
          </w:p>
        </w:tc>
        <w:tc>
          <w:tcPr>
            <w:tcW w:w="833" w:type="pct"/>
            <w:shd w:val="clear" w:color="auto" w:fill="auto"/>
            <w:vAlign w:val="center"/>
          </w:tcPr>
          <w:p w14:paraId="28D7005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36.11%</w:t>
            </w:r>
          </w:p>
        </w:tc>
      </w:tr>
      <w:tr w:rsidR="000A0ACD" w14:paraId="20D60C9E" w14:textId="77777777">
        <w:trPr>
          <w:trHeight w:val="397"/>
        </w:trPr>
        <w:tc>
          <w:tcPr>
            <w:tcW w:w="833" w:type="pct"/>
            <w:shd w:val="clear" w:color="auto" w:fill="auto"/>
            <w:vAlign w:val="center"/>
          </w:tcPr>
          <w:p w14:paraId="0196F4F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永创智能</w:t>
            </w:r>
          </w:p>
        </w:tc>
        <w:tc>
          <w:tcPr>
            <w:tcW w:w="833" w:type="pct"/>
            <w:shd w:val="clear" w:color="auto" w:fill="auto"/>
            <w:vAlign w:val="center"/>
          </w:tcPr>
          <w:p w14:paraId="1740AA1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33.23%</w:t>
            </w:r>
          </w:p>
        </w:tc>
        <w:tc>
          <w:tcPr>
            <w:tcW w:w="833" w:type="pct"/>
            <w:shd w:val="clear" w:color="auto" w:fill="auto"/>
            <w:vAlign w:val="center"/>
          </w:tcPr>
          <w:p w14:paraId="26CAA9C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4.00%</w:t>
            </w:r>
          </w:p>
        </w:tc>
        <w:tc>
          <w:tcPr>
            <w:tcW w:w="833" w:type="pct"/>
            <w:shd w:val="clear" w:color="auto" w:fill="auto"/>
            <w:vAlign w:val="center"/>
          </w:tcPr>
          <w:p w14:paraId="47DEE4D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29.23%</w:t>
            </w:r>
          </w:p>
        </w:tc>
        <w:tc>
          <w:tcPr>
            <w:tcW w:w="833" w:type="pct"/>
            <w:shd w:val="clear" w:color="auto" w:fill="auto"/>
            <w:vAlign w:val="center"/>
          </w:tcPr>
          <w:p w14:paraId="4CFE8D4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-0.54%</w:t>
            </w:r>
          </w:p>
        </w:tc>
        <w:tc>
          <w:tcPr>
            <w:tcW w:w="833" w:type="pct"/>
            <w:shd w:val="clear" w:color="auto" w:fill="auto"/>
            <w:vAlign w:val="center"/>
          </w:tcPr>
          <w:p w14:paraId="5C7F75C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29.77%</w:t>
            </w:r>
          </w:p>
        </w:tc>
      </w:tr>
      <w:tr w:rsidR="000A0ACD" w14:paraId="679402C7" w14:textId="77777777">
        <w:trPr>
          <w:trHeight w:val="397"/>
        </w:trPr>
        <w:tc>
          <w:tcPr>
            <w:tcW w:w="833" w:type="pct"/>
            <w:shd w:val="clear" w:color="auto" w:fill="auto"/>
            <w:vAlign w:val="center"/>
          </w:tcPr>
          <w:p w14:paraId="4EAEBB26"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可比上市公司平均值</w:t>
            </w:r>
          </w:p>
        </w:tc>
        <w:tc>
          <w:tcPr>
            <w:tcW w:w="833" w:type="pct"/>
            <w:shd w:val="clear" w:color="auto" w:fill="auto"/>
            <w:vAlign w:val="center"/>
          </w:tcPr>
          <w:p w14:paraId="204E9206"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40.84%</w:t>
            </w:r>
          </w:p>
        </w:tc>
        <w:tc>
          <w:tcPr>
            <w:tcW w:w="833" w:type="pct"/>
            <w:shd w:val="clear" w:color="auto" w:fill="auto"/>
            <w:vAlign w:val="center"/>
          </w:tcPr>
          <w:p w14:paraId="0144B545"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4.41%</w:t>
            </w:r>
          </w:p>
        </w:tc>
        <w:tc>
          <w:tcPr>
            <w:tcW w:w="833" w:type="pct"/>
            <w:shd w:val="clear" w:color="auto" w:fill="auto"/>
            <w:vAlign w:val="center"/>
          </w:tcPr>
          <w:p w14:paraId="43EAB750"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36.44%</w:t>
            </w:r>
          </w:p>
        </w:tc>
        <w:tc>
          <w:tcPr>
            <w:tcW w:w="833" w:type="pct"/>
            <w:shd w:val="clear" w:color="auto" w:fill="auto"/>
            <w:vAlign w:val="center"/>
          </w:tcPr>
          <w:p w14:paraId="1E874817"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-1.24%</w:t>
            </w:r>
          </w:p>
        </w:tc>
        <w:tc>
          <w:tcPr>
            <w:tcW w:w="833" w:type="pct"/>
            <w:shd w:val="clear" w:color="auto" w:fill="auto"/>
            <w:vAlign w:val="center"/>
          </w:tcPr>
          <w:p w14:paraId="46E558FF"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37.67%</w:t>
            </w:r>
          </w:p>
        </w:tc>
      </w:tr>
      <w:tr w:rsidR="000A0ACD" w14:paraId="36318910" w14:textId="77777777">
        <w:trPr>
          <w:trHeight w:val="397"/>
        </w:trPr>
        <w:tc>
          <w:tcPr>
            <w:tcW w:w="833" w:type="pct"/>
            <w:vMerge w:val="restart"/>
            <w:shd w:val="clear" w:color="auto" w:fill="auto"/>
            <w:vAlign w:val="center"/>
          </w:tcPr>
          <w:p w14:paraId="343B8BD2"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公司简称</w:t>
            </w:r>
          </w:p>
        </w:tc>
        <w:tc>
          <w:tcPr>
            <w:tcW w:w="1667" w:type="pct"/>
            <w:gridSpan w:val="2"/>
            <w:shd w:val="clear" w:color="auto" w:fill="auto"/>
            <w:vAlign w:val="center"/>
          </w:tcPr>
          <w:p w14:paraId="6B6FD6F8"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年度</w:t>
            </w:r>
          </w:p>
        </w:tc>
        <w:tc>
          <w:tcPr>
            <w:tcW w:w="1667" w:type="pct"/>
            <w:gridSpan w:val="2"/>
            <w:shd w:val="clear" w:color="auto" w:fill="auto"/>
            <w:vAlign w:val="center"/>
          </w:tcPr>
          <w:p w14:paraId="3C96E693"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年度</w:t>
            </w:r>
          </w:p>
        </w:tc>
        <w:tc>
          <w:tcPr>
            <w:tcW w:w="833" w:type="pct"/>
            <w:shd w:val="clear" w:color="auto" w:fill="auto"/>
            <w:vAlign w:val="center"/>
          </w:tcPr>
          <w:p w14:paraId="04186042"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hint="eastAsia"/>
                <w:b/>
                <w:bCs/>
                <w:color w:val="000000"/>
                <w:sz w:val="21"/>
                <w:szCs w:val="21"/>
              </w:rPr>
              <w:t>年度</w:t>
            </w:r>
          </w:p>
        </w:tc>
      </w:tr>
      <w:tr w:rsidR="000A0ACD" w14:paraId="21CC56C9" w14:textId="77777777">
        <w:trPr>
          <w:trHeight w:val="397"/>
        </w:trPr>
        <w:tc>
          <w:tcPr>
            <w:tcW w:w="833" w:type="pct"/>
            <w:vMerge/>
            <w:vAlign w:val="center"/>
          </w:tcPr>
          <w:p w14:paraId="2563F06C" w14:textId="77777777" w:rsidR="000A0ACD" w:rsidRDefault="000A0ACD">
            <w:pPr>
              <w:jc w:val="center"/>
              <w:rPr>
                <w:rFonts w:ascii="Times New Roman" w:hAnsi="Times New Roman" w:cs="Times New Roman"/>
                <w:b/>
                <w:bCs/>
                <w:color w:val="000000"/>
                <w:sz w:val="21"/>
                <w:szCs w:val="21"/>
              </w:rPr>
            </w:pPr>
          </w:p>
        </w:tc>
        <w:tc>
          <w:tcPr>
            <w:tcW w:w="833" w:type="pct"/>
            <w:shd w:val="clear" w:color="auto" w:fill="auto"/>
            <w:vAlign w:val="center"/>
          </w:tcPr>
          <w:p w14:paraId="060B2F43"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833" w:type="pct"/>
            <w:shd w:val="clear" w:color="auto" w:fill="auto"/>
            <w:vAlign w:val="center"/>
          </w:tcPr>
          <w:p w14:paraId="7620D083"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增减</w:t>
            </w:r>
          </w:p>
        </w:tc>
        <w:tc>
          <w:tcPr>
            <w:tcW w:w="833" w:type="pct"/>
            <w:shd w:val="clear" w:color="auto" w:fill="auto"/>
            <w:vAlign w:val="center"/>
          </w:tcPr>
          <w:p w14:paraId="63EC341D"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833" w:type="pct"/>
            <w:shd w:val="clear" w:color="auto" w:fill="auto"/>
            <w:vAlign w:val="center"/>
          </w:tcPr>
          <w:p w14:paraId="7798268E"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增减</w:t>
            </w:r>
          </w:p>
        </w:tc>
        <w:tc>
          <w:tcPr>
            <w:tcW w:w="833" w:type="pct"/>
            <w:shd w:val="clear" w:color="auto" w:fill="auto"/>
            <w:vAlign w:val="center"/>
          </w:tcPr>
          <w:p w14:paraId="230C169D"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0A0ACD" w14:paraId="44A76BD9" w14:textId="77777777">
        <w:trPr>
          <w:trHeight w:val="397"/>
        </w:trPr>
        <w:tc>
          <w:tcPr>
            <w:tcW w:w="833" w:type="pct"/>
            <w:shd w:val="clear" w:color="auto" w:fill="auto"/>
            <w:vAlign w:val="center"/>
          </w:tcPr>
          <w:p w14:paraId="372A1704"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标的公司</w:t>
            </w:r>
          </w:p>
        </w:tc>
        <w:tc>
          <w:tcPr>
            <w:tcW w:w="833" w:type="pct"/>
            <w:shd w:val="clear" w:color="auto" w:fill="auto"/>
            <w:vAlign w:val="center"/>
          </w:tcPr>
          <w:p w14:paraId="64C1BE8E"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38.23%</w:t>
            </w:r>
          </w:p>
        </w:tc>
        <w:tc>
          <w:tcPr>
            <w:tcW w:w="833" w:type="pct"/>
            <w:shd w:val="clear" w:color="auto" w:fill="auto"/>
            <w:vAlign w:val="center"/>
          </w:tcPr>
          <w:p w14:paraId="77B84013"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5.17%</w:t>
            </w:r>
          </w:p>
        </w:tc>
        <w:tc>
          <w:tcPr>
            <w:tcW w:w="833" w:type="pct"/>
            <w:shd w:val="clear" w:color="auto" w:fill="auto"/>
            <w:vAlign w:val="center"/>
          </w:tcPr>
          <w:p w14:paraId="727F07B8"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33.06%</w:t>
            </w:r>
          </w:p>
        </w:tc>
        <w:tc>
          <w:tcPr>
            <w:tcW w:w="833" w:type="pct"/>
            <w:shd w:val="clear" w:color="auto" w:fill="auto"/>
            <w:vAlign w:val="center"/>
          </w:tcPr>
          <w:p w14:paraId="0E581090"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0.43%</w:t>
            </w:r>
          </w:p>
        </w:tc>
        <w:tc>
          <w:tcPr>
            <w:tcW w:w="833" w:type="pct"/>
            <w:shd w:val="clear" w:color="auto" w:fill="auto"/>
            <w:vAlign w:val="center"/>
          </w:tcPr>
          <w:p w14:paraId="63801B62"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32.63%</w:t>
            </w:r>
          </w:p>
        </w:tc>
      </w:tr>
    </w:tbl>
    <w:p w14:paraId="65E1373A"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w:t>
      </w:r>
      <w:r>
        <w:rPr>
          <w:rFonts w:ascii="Times New Roman" w:hAnsi="Times New Roman" w:cs="Times New Roman" w:hint="eastAsia"/>
          <w:bCs/>
          <w:color w:val="000000"/>
          <w:sz w:val="21"/>
          <w:szCs w:val="21"/>
        </w:rPr>
        <w:t>1</w:t>
      </w:r>
      <w:r>
        <w:rPr>
          <w:rFonts w:ascii="Times New Roman" w:hAnsi="Times New Roman" w:cs="Times New Roman" w:hint="eastAsia"/>
          <w:bCs/>
          <w:color w:val="000000"/>
          <w:sz w:val="21"/>
          <w:szCs w:val="21"/>
        </w:rPr>
        <w:t>、</w:t>
      </w: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0C108C48" w14:textId="77777777" w:rsidR="000A0ACD" w:rsidRDefault="00362A99">
      <w:pPr>
        <w:ind w:firstLineChars="200" w:firstLine="420"/>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rPr>
        <w:t>2</w:t>
      </w:r>
      <w:r>
        <w:rPr>
          <w:rFonts w:ascii="Times New Roman" w:hAnsi="Times New Roman" w:cs="Times New Roman" w:hint="eastAsia"/>
          <w:bCs/>
          <w:color w:val="000000"/>
          <w:sz w:val="21"/>
          <w:szCs w:val="21"/>
        </w:rPr>
        <w:t>、</w:t>
      </w:r>
      <w:r>
        <w:rPr>
          <w:rFonts w:ascii="Times New Roman" w:hAnsi="Times New Roman" w:cs="Times New Roman" w:hint="eastAsia"/>
          <w:bCs/>
          <w:color w:val="000000"/>
          <w:sz w:val="21"/>
          <w:szCs w:val="21"/>
          <w:lang w:val="en-GB"/>
        </w:rPr>
        <w:t>可比上市公司未公布</w:t>
      </w:r>
      <w:r>
        <w:rPr>
          <w:rFonts w:ascii="Times New Roman" w:hAnsi="Times New Roman" w:cs="Times New Roman" w:hint="eastAsia"/>
          <w:bCs/>
          <w:color w:val="000000"/>
          <w:sz w:val="21"/>
          <w:szCs w:val="21"/>
          <w:lang w:val="en-GB"/>
        </w:rPr>
        <w:t>2020</w:t>
      </w:r>
      <w:r>
        <w:rPr>
          <w:rFonts w:ascii="Times New Roman" w:hAnsi="Times New Roman" w:cs="Times New Roman" w:hint="eastAsia"/>
          <w:bCs/>
          <w:color w:val="000000"/>
          <w:sz w:val="21"/>
          <w:szCs w:val="21"/>
          <w:lang w:val="en-GB"/>
        </w:rPr>
        <w:t>年度数据，</w:t>
      </w:r>
      <w:r>
        <w:rPr>
          <w:rFonts w:ascii="Times New Roman" w:hAnsi="Times New Roman" w:cs="Times New Roman" w:hint="eastAsia"/>
          <w:bCs/>
          <w:color w:val="000000"/>
          <w:sz w:val="21"/>
          <w:szCs w:val="21"/>
          <w:lang w:val="en-GB"/>
        </w:rPr>
        <w:t>2020</w:t>
      </w:r>
      <w:r>
        <w:rPr>
          <w:rFonts w:ascii="Times New Roman" w:hAnsi="Times New Roman" w:cs="Times New Roman" w:hint="eastAsia"/>
          <w:bCs/>
          <w:color w:val="000000"/>
          <w:sz w:val="21"/>
          <w:szCs w:val="21"/>
          <w:lang w:val="en-GB"/>
        </w:rPr>
        <w:t>年第三季度报告未披露毛利率，此处采取毛利率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（营业收入</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营业成本）</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营业收入。</w:t>
      </w:r>
    </w:p>
    <w:p w14:paraId="71E26252"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由上表可以看出，报告期内同行业可比上市公司的毛利率基本保持稳定，不存在行业竞争逐步加剧的情况。标的公司毛利率变动趋势略高于同行业可比上市公司，主要系标的公司规模与同行业上市公司相比仍旧较小，标的公司尚处于发展阶段，影响毛利率水平的因素较多所致。随着标的公司的不断发展，其毛利率水平将逐渐趋于稳定，</w:t>
      </w:r>
      <w:r>
        <w:rPr>
          <w:rFonts w:ascii="Times New Roman" w:hAnsi="Times New Roman" w:cs="Times New Roman" w:hint="eastAsia"/>
        </w:rPr>
        <w:t>2020</w:t>
      </w:r>
      <w:r>
        <w:rPr>
          <w:rFonts w:ascii="Times New Roman" w:hAnsi="Times New Roman" w:cs="Times New Roman" w:hint="eastAsia"/>
        </w:rPr>
        <w:t>年度，标的公司毛利率为</w:t>
      </w:r>
      <w:r>
        <w:rPr>
          <w:rFonts w:ascii="Times New Roman" w:hAnsi="Times New Roman" w:cs="Times New Roman" w:hint="eastAsia"/>
        </w:rPr>
        <w:t>38.23%</w:t>
      </w:r>
      <w:r>
        <w:rPr>
          <w:rFonts w:ascii="Times New Roman" w:hAnsi="Times New Roman" w:cs="Times New Roman" w:hint="eastAsia"/>
        </w:rPr>
        <w:t>，与</w:t>
      </w:r>
      <w:r>
        <w:rPr>
          <w:rFonts w:ascii="Times New Roman" w:hAnsi="Times New Roman" w:cs="Times New Roman" w:hint="eastAsia"/>
        </w:rPr>
        <w:t>2020</w:t>
      </w:r>
      <w:r>
        <w:rPr>
          <w:rFonts w:ascii="Times New Roman" w:hAnsi="Times New Roman" w:cs="Times New Roman" w:hint="eastAsia"/>
        </w:rPr>
        <w:t>年</w:t>
      </w:r>
      <w:r>
        <w:rPr>
          <w:rFonts w:ascii="Times New Roman" w:hAnsi="Times New Roman" w:cs="Times New Roman" w:hint="eastAsia"/>
        </w:rPr>
        <w:t>1-9</w:t>
      </w:r>
      <w:r>
        <w:rPr>
          <w:rFonts w:ascii="Times New Roman" w:hAnsi="Times New Roman" w:cs="Times New Roman" w:hint="eastAsia"/>
        </w:rPr>
        <w:t>月可比上市公司毛利率平均水平基本保持一致。</w:t>
      </w:r>
    </w:p>
    <w:p w14:paraId="14E2DE86"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四、补充披露情况</w:t>
      </w:r>
    </w:p>
    <w:p w14:paraId="5E7F8289"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管理层讨论与分析”之“三、标的公司报告期财务状况和经营成果的讨论分析”之“（二）盈利能力分析”进行了补充披露。</w:t>
      </w:r>
    </w:p>
    <w:p w14:paraId="5CBFA306"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五、中介机构核查意见</w:t>
      </w:r>
    </w:p>
    <w:p w14:paraId="3EDE148A"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经核查，独立财务顾问和会计师认为：</w:t>
      </w:r>
      <w:r>
        <w:rPr>
          <w:rFonts w:ascii="Times New Roman" w:hAnsi="Times New Roman" w:cs="Times New Roman"/>
        </w:rPr>
        <w:t>2019</w:t>
      </w:r>
      <w:r>
        <w:rPr>
          <w:rFonts w:ascii="Times New Roman" w:hAnsi="Times New Roman" w:cs="Times New Roman" w:hint="eastAsia"/>
        </w:rPr>
        <w:t>年，标的公司定制化集成业务毛利率下降的主要原因系定制化集成业务中高毛利率的企业信息化业务收入占比较</w:t>
      </w:r>
      <w:r>
        <w:rPr>
          <w:rFonts w:ascii="Times New Roman" w:hAnsi="Times New Roman" w:cs="Times New Roman"/>
        </w:rPr>
        <w:t>2018</w:t>
      </w:r>
      <w:r>
        <w:rPr>
          <w:rFonts w:ascii="Times New Roman" w:hAnsi="Times New Roman" w:cs="Times New Roman" w:hint="eastAsia"/>
        </w:rPr>
        <w:t>年大幅下降所致；</w:t>
      </w:r>
      <w:r>
        <w:rPr>
          <w:rFonts w:ascii="Times New Roman" w:hAnsi="Times New Roman" w:cs="Times New Roman"/>
        </w:rPr>
        <w:t>2020</w:t>
      </w:r>
      <w:r>
        <w:rPr>
          <w:rFonts w:ascii="Times New Roman" w:hAnsi="Times New Roman" w:cs="Times New Roman" w:hint="eastAsia"/>
        </w:rPr>
        <w:t>年，标的公司定制化集成业务毛利率上升的主要原因系高毛利率的企业信息化业务规模大幅增长所致。报告期内，北洋天青机器人及配套业务的毛利率逐年下降的主要原因系机器人集成应用业务中毛利率较低的含冲压机冲压连线项目占比逐年上升所致。报告期内同行业可比上市公司的毛利率基本保持稳定，不存在行业竞争逐步加剧的情况。</w:t>
      </w:r>
    </w:p>
    <w:p w14:paraId="68C6D988"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）成本结转的准确性，是否与营业收入确认相匹配。</w:t>
      </w:r>
    </w:p>
    <w:p w14:paraId="2F9429B9"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一、北洋天青成本结转准确，与营业收入确认相匹配</w:t>
      </w:r>
    </w:p>
    <w:p w14:paraId="62116696"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北洋天青按照项目维度归集业务成本，项目验收合格后，达到收入确认条件，同时结转项目的营业收入与营业成本。</w:t>
      </w:r>
      <w:r>
        <w:rPr>
          <w:rFonts w:ascii="Times New Roman" w:hAnsi="Times New Roman" w:cs="Times New Roman" w:hint="eastAsia"/>
        </w:rPr>
        <w:t>标的公司设置有项目编号，财务系统按项目编号对生产成本科目设置辅助核算，包括直接材料、直接人工及制造费用，直接材料按项目领用情况直接计入该项目生产成本；直接人工，标的公司采用工时统计制度，依据生产人员在项目上填报的工时数占比，分摊项目人工成本；制造费用依据人工分摊比例进行分摊。材料、人工及制造费用均按项目进行归集核算，待项目完成验收后确认收入同时结转该项目成本。</w:t>
      </w:r>
    </w:p>
    <w:p w14:paraId="5099742A"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报告期内，标的公司各类型</w:t>
      </w:r>
      <w:r>
        <w:rPr>
          <w:rFonts w:ascii="Times New Roman" w:hAnsi="Times New Roman" w:cs="Times New Roman" w:hint="eastAsia"/>
        </w:rPr>
        <w:t>业务</w:t>
      </w:r>
      <w:r>
        <w:rPr>
          <w:rFonts w:ascii="Times New Roman" w:hAnsi="Times New Roman" w:cs="Times New Roman"/>
        </w:rPr>
        <w:t>营业收入</w:t>
      </w:r>
      <w:r>
        <w:rPr>
          <w:rFonts w:ascii="Times New Roman" w:hAnsi="Times New Roman" w:cs="Times New Roman" w:hint="eastAsia"/>
        </w:rPr>
        <w:t>、营业成本</w:t>
      </w:r>
      <w:r>
        <w:rPr>
          <w:rFonts w:ascii="Times New Roman" w:hAnsi="Times New Roman" w:cs="Times New Roman"/>
        </w:rPr>
        <w:t>及同比变动情况如下：</w:t>
      </w:r>
    </w:p>
    <w:p w14:paraId="2A0A49C6"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4"/>
        <w:gridCol w:w="994"/>
        <w:gridCol w:w="1135"/>
        <w:gridCol w:w="1133"/>
        <w:gridCol w:w="1135"/>
        <w:gridCol w:w="1133"/>
        <w:gridCol w:w="992"/>
        <w:gridCol w:w="1326"/>
      </w:tblGrid>
      <w:tr w:rsidR="000A0ACD" w14:paraId="1B180E2A" w14:textId="77777777">
        <w:trPr>
          <w:trHeight w:val="397"/>
          <w:tblHeader/>
        </w:trPr>
        <w:tc>
          <w:tcPr>
            <w:tcW w:w="395" w:type="pct"/>
            <w:shd w:val="clear" w:color="000000" w:fill="FFFFFF"/>
            <w:noWrap/>
            <w:vAlign w:val="center"/>
          </w:tcPr>
          <w:p w14:paraId="67BCF496"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序号</w:t>
            </w:r>
          </w:p>
        </w:tc>
        <w:tc>
          <w:tcPr>
            <w:tcW w:w="583" w:type="pct"/>
            <w:shd w:val="clear" w:color="000000" w:fill="FFFFFF"/>
            <w:noWrap/>
            <w:vAlign w:val="center"/>
          </w:tcPr>
          <w:p w14:paraId="57001F85"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业务类型</w:t>
            </w:r>
          </w:p>
        </w:tc>
        <w:tc>
          <w:tcPr>
            <w:tcW w:w="666" w:type="pct"/>
            <w:shd w:val="clear" w:color="000000" w:fill="FFFFFF"/>
            <w:noWrap/>
            <w:vAlign w:val="center"/>
          </w:tcPr>
          <w:p w14:paraId="3AC602EA"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营业收入</w:t>
            </w:r>
          </w:p>
        </w:tc>
        <w:tc>
          <w:tcPr>
            <w:tcW w:w="665" w:type="pct"/>
            <w:shd w:val="clear" w:color="000000" w:fill="FFFFFF"/>
            <w:noWrap/>
            <w:vAlign w:val="center"/>
          </w:tcPr>
          <w:p w14:paraId="596A9D6D"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同比增长</w:t>
            </w:r>
          </w:p>
        </w:tc>
        <w:tc>
          <w:tcPr>
            <w:tcW w:w="666" w:type="pct"/>
            <w:shd w:val="clear" w:color="000000" w:fill="FFFFFF"/>
            <w:noWrap/>
            <w:vAlign w:val="center"/>
          </w:tcPr>
          <w:p w14:paraId="6A26574E"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营业成本</w:t>
            </w:r>
          </w:p>
        </w:tc>
        <w:tc>
          <w:tcPr>
            <w:tcW w:w="665" w:type="pct"/>
            <w:shd w:val="clear" w:color="000000" w:fill="FFFFFF"/>
            <w:noWrap/>
            <w:vAlign w:val="center"/>
          </w:tcPr>
          <w:p w14:paraId="5BF03D13"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同比增长</w:t>
            </w:r>
          </w:p>
        </w:tc>
        <w:tc>
          <w:tcPr>
            <w:tcW w:w="582" w:type="pct"/>
            <w:shd w:val="clear" w:color="000000" w:fill="FFFFFF"/>
            <w:noWrap/>
            <w:vAlign w:val="center"/>
          </w:tcPr>
          <w:p w14:paraId="2A63F7C4"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778" w:type="pct"/>
            <w:shd w:val="clear" w:color="000000" w:fill="FFFFFF"/>
            <w:noWrap/>
            <w:vAlign w:val="center"/>
          </w:tcPr>
          <w:p w14:paraId="5824E954"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较上期增长</w:t>
            </w:r>
          </w:p>
        </w:tc>
      </w:tr>
      <w:tr w:rsidR="000A0ACD" w14:paraId="754B1C78" w14:textId="77777777">
        <w:trPr>
          <w:trHeight w:val="397"/>
        </w:trPr>
        <w:tc>
          <w:tcPr>
            <w:tcW w:w="395" w:type="pct"/>
            <w:vMerge w:val="restart"/>
            <w:shd w:val="clear" w:color="000000" w:fill="FFFFFF"/>
            <w:noWrap/>
            <w:vAlign w:val="center"/>
          </w:tcPr>
          <w:p w14:paraId="04E42226"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年度</w:t>
            </w:r>
          </w:p>
        </w:tc>
        <w:tc>
          <w:tcPr>
            <w:tcW w:w="583" w:type="pct"/>
            <w:shd w:val="clear" w:color="000000" w:fill="FFFFFF"/>
            <w:vAlign w:val="center"/>
          </w:tcPr>
          <w:p w14:paraId="3EFECAD2" w14:textId="77777777" w:rsidR="000A0ACD" w:rsidRDefault="00362A99">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定制化集成</w:t>
            </w:r>
          </w:p>
        </w:tc>
        <w:tc>
          <w:tcPr>
            <w:tcW w:w="666" w:type="pct"/>
            <w:shd w:val="clear" w:color="000000" w:fill="FFFFFF"/>
            <w:noWrap/>
            <w:vAlign w:val="center"/>
          </w:tcPr>
          <w:p w14:paraId="4FB7AAE9"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8,324.40</w:t>
            </w:r>
          </w:p>
        </w:tc>
        <w:tc>
          <w:tcPr>
            <w:tcW w:w="665" w:type="pct"/>
            <w:shd w:val="clear" w:color="000000" w:fill="FFFFFF"/>
            <w:noWrap/>
            <w:vAlign w:val="center"/>
          </w:tcPr>
          <w:p w14:paraId="5424979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-2.58%</w:t>
            </w:r>
          </w:p>
        </w:tc>
        <w:tc>
          <w:tcPr>
            <w:tcW w:w="666" w:type="pct"/>
            <w:shd w:val="clear" w:color="000000" w:fill="FFFFFF"/>
            <w:noWrap/>
            <w:vAlign w:val="center"/>
          </w:tcPr>
          <w:p w14:paraId="1AD7773C"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4,184.73</w:t>
            </w:r>
          </w:p>
        </w:tc>
        <w:tc>
          <w:tcPr>
            <w:tcW w:w="665" w:type="pct"/>
            <w:shd w:val="clear" w:color="000000" w:fill="FFFFFF"/>
            <w:noWrap/>
            <w:vAlign w:val="center"/>
          </w:tcPr>
          <w:p w14:paraId="5705FF4E"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-25.54%</w:t>
            </w:r>
          </w:p>
        </w:tc>
        <w:tc>
          <w:tcPr>
            <w:tcW w:w="582" w:type="pct"/>
            <w:shd w:val="clear" w:color="000000" w:fill="FFFFFF"/>
            <w:noWrap/>
            <w:vAlign w:val="center"/>
          </w:tcPr>
          <w:p w14:paraId="1C202A4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49.73%</w:t>
            </w:r>
          </w:p>
        </w:tc>
        <w:tc>
          <w:tcPr>
            <w:tcW w:w="778" w:type="pct"/>
            <w:shd w:val="clear" w:color="auto" w:fill="auto"/>
            <w:noWrap/>
            <w:vAlign w:val="center"/>
          </w:tcPr>
          <w:p w14:paraId="1901CE1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15.51%</w:t>
            </w:r>
          </w:p>
        </w:tc>
      </w:tr>
      <w:tr w:rsidR="000A0ACD" w14:paraId="5B87D54B" w14:textId="77777777">
        <w:trPr>
          <w:trHeight w:val="397"/>
        </w:trPr>
        <w:tc>
          <w:tcPr>
            <w:tcW w:w="395" w:type="pct"/>
            <w:vMerge/>
            <w:vAlign w:val="center"/>
          </w:tcPr>
          <w:p w14:paraId="5D900D92" w14:textId="77777777" w:rsidR="000A0ACD" w:rsidRDefault="000A0ACD">
            <w:pPr>
              <w:adjustRightInd w:val="0"/>
              <w:snapToGrid w:val="0"/>
              <w:rPr>
                <w:rFonts w:ascii="Times New Roman" w:hAnsi="Times New Roman" w:cs="Times New Roman"/>
                <w:color w:val="000000"/>
                <w:sz w:val="21"/>
                <w:szCs w:val="21"/>
              </w:rPr>
            </w:pPr>
          </w:p>
        </w:tc>
        <w:tc>
          <w:tcPr>
            <w:tcW w:w="583" w:type="pct"/>
            <w:shd w:val="clear" w:color="000000" w:fill="FFFFFF"/>
            <w:vAlign w:val="center"/>
          </w:tcPr>
          <w:p w14:paraId="7A657C1E" w14:textId="77777777" w:rsidR="000A0ACD" w:rsidRDefault="00362A99">
            <w:pPr>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机器人及配套</w:t>
            </w:r>
          </w:p>
        </w:tc>
        <w:tc>
          <w:tcPr>
            <w:tcW w:w="666" w:type="pct"/>
            <w:shd w:val="clear" w:color="000000" w:fill="FFFFFF"/>
            <w:noWrap/>
            <w:vAlign w:val="center"/>
          </w:tcPr>
          <w:p w14:paraId="22578230"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6,731.77</w:t>
            </w:r>
          </w:p>
        </w:tc>
        <w:tc>
          <w:tcPr>
            <w:tcW w:w="665" w:type="pct"/>
            <w:shd w:val="clear" w:color="000000" w:fill="FFFFFF"/>
            <w:noWrap/>
            <w:vAlign w:val="center"/>
          </w:tcPr>
          <w:p w14:paraId="122A2583"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277.85%</w:t>
            </w:r>
          </w:p>
        </w:tc>
        <w:tc>
          <w:tcPr>
            <w:tcW w:w="666" w:type="pct"/>
            <w:shd w:val="clear" w:color="000000" w:fill="FFFFFF"/>
            <w:noWrap/>
            <w:vAlign w:val="center"/>
          </w:tcPr>
          <w:p w14:paraId="75EDBD4C"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5,115.97</w:t>
            </w:r>
          </w:p>
        </w:tc>
        <w:tc>
          <w:tcPr>
            <w:tcW w:w="665" w:type="pct"/>
            <w:shd w:val="clear" w:color="000000" w:fill="FFFFFF"/>
            <w:noWrap/>
            <w:vAlign w:val="center"/>
          </w:tcPr>
          <w:p w14:paraId="3C83FAFB"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296.08%</w:t>
            </w:r>
          </w:p>
        </w:tc>
        <w:tc>
          <w:tcPr>
            <w:tcW w:w="582" w:type="pct"/>
            <w:shd w:val="clear" w:color="000000" w:fill="FFFFFF"/>
            <w:noWrap/>
            <w:vAlign w:val="center"/>
          </w:tcPr>
          <w:p w14:paraId="2E403817"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24.00%</w:t>
            </w:r>
          </w:p>
        </w:tc>
        <w:tc>
          <w:tcPr>
            <w:tcW w:w="778" w:type="pct"/>
            <w:shd w:val="clear" w:color="auto" w:fill="auto"/>
            <w:noWrap/>
            <w:vAlign w:val="center"/>
          </w:tcPr>
          <w:p w14:paraId="70B49A14"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-3.50%</w:t>
            </w:r>
          </w:p>
        </w:tc>
      </w:tr>
      <w:tr w:rsidR="000A0ACD" w14:paraId="39DB5F97" w14:textId="77777777">
        <w:trPr>
          <w:trHeight w:val="397"/>
        </w:trPr>
        <w:tc>
          <w:tcPr>
            <w:tcW w:w="395" w:type="pct"/>
            <w:vMerge/>
            <w:vAlign w:val="center"/>
          </w:tcPr>
          <w:p w14:paraId="050E8AF9" w14:textId="77777777" w:rsidR="000A0ACD" w:rsidRDefault="000A0ACD">
            <w:pPr>
              <w:adjustRightInd w:val="0"/>
              <w:snapToGrid w:val="0"/>
              <w:rPr>
                <w:rFonts w:ascii="Times New Roman" w:hAnsi="Times New Roman" w:cs="Times New Roman"/>
                <w:color w:val="000000"/>
                <w:sz w:val="21"/>
                <w:szCs w:val="21"/>
              </w:rPr>
            </w:pPr>
          </w:p>
        </w:tc>
        <w:tc>
          <w:tcPr>
            <w:tcW w:w="583" w:type="pct"/>
            <w:shd w:val="clear" w:color="000000" w:fill="FFFFFF"/>
            <w:noWrap/>
            <w:vAlign w:val="center"/>
          </w:tcPr>
          <w:p w14:paraId="19F61514"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666" w:type="pct"/>
            <w:shd w:val="clear" w:color="000000" w:fill="FFFFFF"/>
            <w:noWrap/>
            <w:vAlign w:val="center"/>
          </w:tcPr>
          <w:p w14:paraId="10935099"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15,056.17</w:t>
            </w:r>
          </w:p>
        </w:tc>
        <w:tc>
          <w:tcPr>
            <w:tcW w:w="665" w:type="pct"/>
            <w:shd w:val="clear" w:color="000000" w:fill="FFFFFF"/>
            <w:noWrap/>
            <w:vAlign w:val="center"/>
          </w:tcPr>
          <w:p w14:paraId="7E87B720"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45.81%</w:t>
            </w:r>
          </w:p>
        </w:tc>
        <w:tc>
          <w:tcPr>
            <w:tcW w:w="666" w:type="pct"/>
            <w:shd w:val="clear" w:color="000000" w:fill="FFFFFF"/>
            <w:noWrap/>
            <w:vAlign w:val="center"/>
          </w:tcPr>
          <w:p w14:paraId="378933A6"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9,300.70</w:t>
            </w:r>
          </w:p>
        </w:tc>
        <w:tc>
          <w:tcPr>
            <w:tcW w:w="665" w:type="pct"/>
            <w:shd w:val="clear" w:color="000000" w:fill="FFFFFF"/>
            <w:noWrap/>
            <w:vAlign w:val="center"/>
          </w:tcPr>
          <w:p w14:paraId="258F25DF"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34.56%</w:t>
            </w:r>
          </w:p>
        </w:tc>
        <w:tc>
          <w:tcPr>
            <w:tcW w:w="582" w:type="pct"/>
            <w:shd w:val="clear" w:color="000000" w:fill="FFFFFF"/>
            <w:noWrap/>
            <w:vAlign w:val="center"/>
          </w:tcPr>
          <w:p w14:paraId="7FACA92F"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38.23%</w:t>
            </w:r>
          </w:p>
        </w:tc>
        <w:tc>
          <w:tcPr>
            <w:tcW w:w="778" w:type="pct"/>
            <w:shd w:val="clear" w:color="auto" w:fill="auto"/>
            <w:noWrap/>
            <w:vAlign w:val="center"/>
          </w:tcPr>
          <w:p w14:paraId="1DE373BA"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5.16%</w:t>
            </w:r>
          </w:p>
        </w:tc>
      </w:tr>
      <w:tr w:rsidR="000A0ACD" w14:paraId="3422AE03" w14:textId="77777777">
        <w:trPr>
          <w:trHeight w:val="397"/>
        </w:trPr>
        <w:tc>
          <w:tcPr>
            <w:tcW w:w="395" w:type="pct"/>
            <w:vMerge w:val="restart"/>
            <w:shd w:val="clear" w:color="000000" w:fill="FFFFFF"/>
            <w:noWrap/>
            <w:vAlign w:val="center"/>
          </w:tcPr>
          <w:p w14:paraId="2FEF0676"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2019</w:t>
            </w:r>
            <w:r>
              <w:rPr>
                <w:rFonts w:ascii="Times New Roman" w:hAnsi="Times New Roman" w:cs="Times New Roman" w:hint="eastAsia"/>
                <w:color w:val="000000"/>
                <w:sz w:val="21"/>
                <w:szCs w:val="21"/>
              </w:rPr>
              <w:t>年度</w:t>
            </w:r>
          </w:p>
        </w:tc>
        <w:tc>
          <w:tcPr>
            <w:tcW w:w="583" w:type="pct"/>
            <w:shd w:val="clear" w:color="000000" w:fill="FFFFFF"/>
            <w:vAlign w:val="center"/>
          </w:tcPr>
          <w:p w14:paraId="7FD7B834" w14:textId="77777777" w:rsidR="000A0ACD" w:rsidRDefault="00362A99">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定制化集成</w:t>
            </w:r>
          </w:p>
        </w:tc>
        <w:tc>
          <w:tcPr>
            <w:tcW w:w="666" w:type="pct"/>
            <w:shd w:val="clear" w:color="000000" w:fill="FFFFFF"/>
            <w:noWrap/>
            <w:vAlign w:val="center"/>
          </w:tcPr>
          <w:p w14:paraId="11C28CD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8,544.53</w:t>
            </w:r>
          </w:p>
        </w:tc>
        <w:tc>
          <w:tcPr>
            <w:tcW w:w="665" w:type="pct"/>
            <w:shd w:val="clear" w:color="000000" w:fill="FFFFFF"/>
            <w:noWrap/>
            <w:vAlign w:val="center"/>
          </w:tcPr>
          <w:p w14:paraId="6FA1E7F3"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859.25%</w:t>
            </w:r>
          </w:p>
        </w:tc>
        <w:tc>
          <w:tcPr>
            <w:tcW w:w="666" w:type="pct"/>
            <w:shd w:val="clear" w:color="000000" w:fill="FFFFFF"/>
            <w:noWrap/>
            <w:vAlign w:val="center"/>
          </w:tcPr>
          <w:p w14:paraId="314C38E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5,620.31</w:t>
            </w:r>
          </w:p>
        </w:tc>
        <w:tc>
          <w:tcPr>
            <w:tcW w:w="665" w:type="pct"/>
            <w:shd w:val="clear" w:color="000000" w:fill="FFFFFF"/>
            <w:noWrap/>
            <w:vAlign w:val="center"/>
          </w:tcPr>
          <w:p w14:paraId="5430F2C7"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1185.00%</w:t>
            </w:r>
          </w:p>
        </w:tc>
        <w:tc>
          <w:tcPr>
            <w:tcW w:w="582" w:type="pct"/>
            <w:shd w:val="clear" w:color="000000" w:fill="FFFFFF"/>
            <w:noWrap/>
            <w:vAlign w:val="center"/>
          </w:tcPr>
          <w:p w14:paraId="74DEA0D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34.22%</w:t>
            </w:r>
          </w:p>
        </w:tc>
        <w:tc>
          <w:tcPr>
            <w:tcW w:w="778" w:type="pct"/>
            <w:shd w:val="clear" w:color="auto" w:fill="auto"/>
            <w:noWrap/>
            <w:vAlign w:val="center"/>
          </w:tcPr>
          <w:p w14:paraId="1BCD758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-16.67%</w:t>
            </w:r>
          </w:p>
        </w:tc>
      </w:tr>
      <w:tr w:rsidR="000A0ACD" w14:paraId="72ACE51B" w14:textId="77777777">
        <w:trPr>
          <w:trHeight w:val="397"/>
        </w:trPr>
        <w:tc>
          <w:tcPr>
            <w:tcW w:w="395" w:type="pct"/>
            <w:vMerge/>
            <w:vAlign w:val="center"/>
          </w:tcPr>
          <w:p w14:paraId="317A6722" w14:textId="77777777" w:rsidR="000A0ACD" w:rsidRDefault="000A0ACD">
            <w:pPr>
              <w:adjustRightInd w:val="0"/>
              <w:snapToGrid w:val="0"/>
              <w:rPr>
                <w:rFonts w:ascii="Times New Roman" w:hAnsi="Times New Roman" w:cs="Times New Roman"/>
                <w:color w:val="000000"/>
                <w:sz w:val="21"/>
                <w:szCs w:val="21"/>
              </w:rPr>
            </w:pPr>
          </w:p>
        </w:tc>
        <w:tc>
          <w:tcPr>
            <w:tcW w:w="583" w:type="pct"/>
            <w:shd w:val="clear" w:color="000000" w:fill="FFFFFF"/>
            <w:vAlign w:val="center"/>
          </w:tcPr>
          <w:p w14:paraId="3FD3461D" w14:textId="77777777" w:rsidR="000A0ACD" w:rsidRDefault="00362A99">
            <w:pPr>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机器人及配套</w:t>
            </w:r>
          </w:p>
        </w:tc>
        <w:tc>
          <w:tcPr>
            <w:tcW w:w="666" w:type="pct"/>
            <w:shd w:val="clear" w:color="000000" w:fill="FFFFFF"/>
            <w:noWrap/>
            <w:vAlign w:val="center"/>
          </w:tcPr>
          <w:p w14:paraId="27359A4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1,781.61</w:t>
            </w:r>
          </w:p>
        </w:tc>
        <w:tc>
          <w:tcPr>
            <w:tcW w:w="665" w:type="pct"/>
            <w:shd w:val="clear" w:color="000000" w:fill="FFFFFF"/>
            <w:noWrap/>
            <w:vAlign w:val="center"/>
          </w:tcPr>
          <w:p w14:paraId="4E6D7F06"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-65.84%</w:t>
            </w:r>
          </w:p>
        </w:tc>
        <w:tc>
          <w:tcPr>
            <w:tcW w:w="666" w:type="pct"/>
            <w:shd w:val="clear" w:color="000000" w:fill="FFFFFF"/>
            <w:noWrap/>
            <w:vAlign w:val="center"/>
          </w:tcPr>
          <w:p w14:paraId="59AED71B"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1,291.64</w:t>
            </w:r>
          </w:p>
        </w:tc>
        <w:tc>
          <w:tcPr>
            <w:tcW w:w="665" w:type="pct"/>
            <w:shd w:val="clear" w:color="000000" w:fill="FFFFFF"/>
            <w:noWrap/>
            <w:vAlign w:val="center"/>
          </w:tcPr>
          <w:p w14:paraId="237EFD0E"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-64.86%</w:t>
            </w:r>
          </w:p>
        </w:tc>
        <w:tc>
          <w:tcPr>
            <w:tcW w:w="582" w:type="pct"/>
            <w:shd w:val="clear" w:color="000000" w:fill="FFFFFF"/>
            <w:noWrap/>
            <w:vAlign w:val="center"/>
          </w:tcPr>
          <w:p w14:paraId="59BEB82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27.50%</w:t>
            </w:r>
          </w:p>
        </w:tc>
        <w:tc>
          <w:tcPr>
            <w:tcW w:w="778" w:type="pct"/>
            <w:shd w:val="clear" w:color="auto" w:fill="auto"/>
            <w:noWrap/>
            <w:vAlign w:val="center"/>
          </w:tcPr>
          <w:p w14:paraId="04ACC276"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-2.01%</w:t>
            </w:r>
          </w:p>
        </w:tc>
      </w:tr>
      <w:tr w:rsidR="000A0ACD" w14:paraId="3D9D52A1" w14:textId="77777777">
        <w:trPr>
          <w:trHeight w:val="397"/>
        </w:trPr>
        <w:tc>
          <w:tcPr>
            <w:tcW w:w="395" w:type="pct"/>
            <w:vMerge/>
            <w:vAlign w:val="center"/>
          </w:tcPr>
          <w:p w14:paraId="6DDE3E82" w14:textId="77777777" w:rsidR="000A0ACD" w:rsidRDefault="000A0ACD">
            <w:pPr>
              <w:adjustRightInd w:val="0"/>
              <w:snapToGrid w:val="0"/>
              <w:rPr>
                <w:rFonts w:ascii="Times New Roman" w:hAnsi="Times New Roman" w:cs="Times New Roman"/>
                <w:color w:val="000000"/>
                <w:sz w:val="21"/>
                <w:szCs w:val="21"/>
              </w:rPr>
            </w:pPr>
          </w:p>
        </w:tc>
        <w:tc>
          <w:tcPr>
            <w:tcW w:w="583" w:type="pct"/>
            <w:shd w:val="clear" w:color="000000" w:fill="FFFFFF"/>
            <w:noWrap/>
            <w:vAlign w:val="center"/>
          </w:tcPr>
          <w:p w14:paraId="0210EB41"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666" w:type="pct"/>
            <w:shd w:val="clear" w:color="000000" w:fill="FFFFFF"/>
            <w:noWrap/>
            <w:vAlign w:val="center"/>
          </w:tcPr>
          <w:p w14:paraId="5E1DD0FD"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10,326.14</w:t>
            </w:r>
          </w:p>
        </w:tc>
        <w:tc>
          <w:tcPr>
            <w:tcW w:w="665" w:type="pct"/>
            <w:shd w:val="clear" w:color="000000" w:fill="FFFFFF"/>
            <w:noWrap/>
            <w:vAlign w:val="center"/>
          </w:tcPr>
          <w:p w14:paraId="38E7527A"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69.11%</w:t>
            </w:r>
          </w:p>
        </w:tc>
        <w:tc>
          <w:tcPr>
            <w:tcW w:w="666" w:type="pct"/>
            <w:shd w:val="clear" w:color="000000" w:fill="FFFFFF"/>
            <w:noWrap/>
            <w:vAlign w:val="center"/>
          </w:tcPr>
          <w:p w14:paraId="1D53F7A0"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6,911.95</w:t>
            </w:r>
          </w:p>
        </w:tc>
        <w:tc>
          <w:tcPr>
            <w:tcW w:w="665" w:type="pct"/>
            <w:shd w:val="clear" w:color="000000" w:fill="FFFFFF"/>
            <w:noWrap/>
            <w:vAlign w:val="center"/>
          </w:tcPr>
          <w:p w14:paraId="394F7EC8"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68.03%</w:t>
            </w:r>
          </w:p>
        </w:tc>
        <w:tc>
          <w:tcPr>
            <w:tcW w:w="582" w:type="pct"/>
            <w:shd w:val="clear" w:color="000000" w:fill="FFFFFF"/>
            <w:noWrap/>
            <w:vAlign w:val="center"/>
          </w:tcPr>
          <w:p w14:paraId="39BF8756"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33.06%</w:t>
            </w:r>
          </w:p>
        </w:tc>
        <w:tc>
          <w:tcPr>
            <w:tcW w:w="778" w:type="pct"/>
            <w:shd w:val="clear" w:color="auto" w:fill="auto"/>
            <w:noWrap/>
            <w:vAlign w:val="center"/>
          </w:tcPr>
          <w:p w14:paraId="03B7CF6E"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0.43%</w:t>
            </w:r>
          </w:p>
        </w:tc>
      </w:tr>
      <w:tr w:rsidR="000A0ACD" w14:paraId="2710740E" w14:textId="77777777">
        <w:trPr>
          <w:trHeight w:val="397"/>
        </w:trPr>
        <w:tc>
          <w:tcPr>
            <w:tcW w:w="395" w:type="pct"/>
            <w:vMerge w:val="restart"/>
            <w:shd w:val="clear" w:color="000000" w:fill="FFFFFF"/>
            <w:noWrap/>
            <w:vAlign w:val="center"/>
          </w:tcPr>
          <w:p w14:paraId="5777AFA5"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2018</w:t>
            </w:r>
            <w:r>
              <w:rPr>
                <w:rFonts w:ascii="Times New Roman" w:hAnsi="Times New Roman" w:cs="Times New Roman" w:hint="eastAsia"/>
                <w:color w:val="000000"/>
                <w:sz w:val="21"/>
                <w:szCs w:val="21"/>
              </w:rPr>
              <w:t>年度</w:t>
            </w:r>
          </w:p>
        </w:tc>
        <w:tc>
          <w:tcPr>
            <w:tcW w:w="583" w:type="pct"/>
            <w:shd w:val="clear" w:color="000000" w:fill="FFFFFF"/>
            <w:vAlign w:val="center"/>
          </w:tcPr>
          <w:p w14:paraId="259A3FE2" w14:textId="77777777" w:rsidR="000A0ACD" w:rsidRDefault="00362A99">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定制化集成</w:t>
            </w:r>
          </w:p>
        </w:tc>
        <w:tc>
          <w:tcPr>
            <w:tcW w:w="666" w:type="pct"/>
            <w:shd w:val="clear" w:color="000000" w:fill="FFFFFF"/>
            <w:noWrap/>
            <w:vAlign w:val="center"/>
          </w:tcPr>
          <w:p w14:paraId="29918D0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890.75</w:t>
            </w:r>
          </w:p>
        </w:tc>
        <w:tc>
          <w:tcPr>
            <w:tcW w:w="665" w:type="pct"/>
            <w:shd w:val="clear" w:color="000000" w:fill="FFFFFF"/>
            <w:noWrap/>
            <w:vAlign w:val="center"/>
          </w:tcPr>
          <w:p w14:paraId="4FDB3947"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666" w:type="pct"/>
            <w:shd w:val="clear" w:color="000000" w:fill="FFFFFF"/>
            <w:noWrap/>
            <w:vAlign w:val="center"/>
          </w:tcPr>
          <w:p w14:paraId="2831316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437.38</w:t>
            </w:r>
          </w:p>
        </w:tc>
        <w:tc>
          <w:tcPr>
            <w:tcW w:w="665" w:type="pct"/>
            <w:shd w:val="clear" w:color="000000" w:fill="FFFFFF"/>
            <w:noWrap/>
            <w:vAlign w:val="center"/>
          </w:tcPr>
          <w:p w14:paraId="02424499"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582" w:type="pct"/>
            <w:shd w:val="clear" w:color="000000" w:fill="FFFFFF"/>
            <w:noWrap/>
            <w:vAlign w:val="center"/>
          </w:tcPr>
          <w:p w14:paraId="434E49D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50.90%</w:t>
            </w:r>
          </w:p>
        </w:tc>
        <w:tc>
          <w:tcPr>
            <w:tcW w:w="778" w:type="pct"/>
            <w:shd w:val="clear" w:color="000000" w:fill="FFFFFF"/>
            <w:noWrap/>
            <w:vAlign w:val="center"/>
          </w:tcPr>
          <w:p w14:paraId="2D72C586"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0A0ACD" w14:paraId="59FD5BE1" w14:textId="77777777">
        <w:trPr>
          <w:trHeight w:val="397"/>
        </w:trPr>
        <w:tc>
          <w:tcPr>
            <w:tcW w:w="395" w:type="pct"/>
            <w:vMerge/>
            <w:vAlign w:val="center"/>
          </w:tcPr>
          <w:p w14:paraId="3D4116C7" w14:textId="77777777" w:rsidR="000A0ACD" w:rsidRDefault="000A0ACD">
            <w:pPr>
              <w:adjustRightInd w:val="0"/>
              <w:snapToGrid w:val="0"/>
              <w:rPr>
                <w:rFonts w:ascii="Times New Roman" w:hAnsi="Times New Roman" w:cs="Times New Roman"/>
                <w:color w:val="000000"/>
                <w:sz w:val="21"/>
                <w:szCs w:val="21"/>
              </w:rPr>
            </w:pPr>
          </w:p>
        </w:tc>
        <w:tc>
          <w:tcPr>
            <w:tcW w:w="583" w:type="pct"/>
            <w:shd w:val="clear" w:color="000000" w:fill="FFFFFF"/>
            <w:vAlign w:val="center"/>
          </w:tcPr>
          <w:p w14:paraId="05139408" w14:textId="77777777" w:rsidR="000A0ACD" w:rsidRDefault="00362A99">
            <w:pPr>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机器人及配套</w:t>
            </w:r>
          </w:p>
        </w:tc>
        <w:tc>
          <w:tcPr>
            <w:tcW w:w="666" w:type="pct"/>
            <w:shd w:val="clear" w:color="000000" w:fill="FFFFFF"/>
            <w:noWrap/>
            <w:vAlign w:val="center"/>
          </w:tcPr>
          <w:p w14:paraId="5B22B22C"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5,215.34</w:t>
            </w:r>
          </w:p>
        </w:tc>
        <w:tc>
          <w:tcPr>
            <w:tcW w:w="665" w:type="pct"/>
            <w:shd w:val="clear" w:color="000000" w:fill="FFFFFF"/>
            <w:noWrap/>
            <w:vAlign w:val="center"/>
          </w:tcPr>
          <w:p w14:paraId="5D1A35D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666" w:type="pct"/>
            <w:shd w:val="clear" w:color="000000" w:fill="FFFFFF"/>
            <w:noWrap/>
            <w:vAlign w:val="center"/>
          </w:tcPr>
          <w:p w14:paraId="518FB273"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3,676.06</w:t>
            </w:r>
          </w:p>
        </w:tc>
        <w:tc>
          <w:tcPr>
            <w:tcW w:w="665" w:type="pct"/>
            <w:shd w:val="clear" w:color="000000" w:fill="FFFFFF"/>
            <w:noWrap/>
            <w:vAlign w:val="center"/>
          </w:tcPr>
          <w:p w14:paraId="10BDB49B"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582" w:type="pct"/>
            <w:shd w:val="clear" w:color="000000" w:fill="FFFFFF"/>
            <w:noWrap/>
            <w:vAlign w:val="center"/>
          </w:tcPr>
          <w:p w14:paraId="58C65514"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29.51%</w:t>
            </w:r>
          </w:p>
        </w:tc>
        <w:tc>
          <w:tcPr>
            <w:tcW w:w="778" w:type="pct"/>
            <w:shd w:val="clear" w:color="000000" w:fill="FFFFFF"/>
            <w:noWrap/>
            <w:vAlign w:val="center"/>
          </w:tcPr>
          <w:p w14:paraId="4BBAD800"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0A0ACD" w14:paraId="21BD802D" w14:textId="77777777">
        <w:trPr>
          <w:trHeight w:val="397"/>
        </w:trPr>
        <w:tc>
          <w:tcPr>
            <w:tcW w:w="395" w:type="pct"/>
            <w:vMerge/>
            <w:vAlign w:val="center"/>
          </w:tcPr>
          <w:p w14:paraId="67BAA572" w14:textId="77777777" w:rsidR="000A0ACD" w:rsidRDefault="000A0ACD">
            <w:pPr>
              <w:adjustRightInd w:val="0"/>
              <w:snapToGrid w:val="0"/>
              <w:rPr>
                <w:rFonts w:ascii="Times New Roman" w:hAnsi="Times New Roman" w:cs="Times New Roman"/>
                <w:color w:val="000000"/>
                <w:sz w:val="21"/>
                <w:szCs w:val="21"/>
              </w:rPr>
            </w:pPr>
          </w:p>
        </w:tc>
        <w:tc>
          <w:tcPr>
            <w:tcW w:w="583" w:type="pct"/>
            <w:shd w:val="clear" w:color="000000" w:fill="FFFFFF"/>
            <w:noWrap/>
            <w:vAlign w:val="center"/>
          </w:tcPr>
          <w:p w14:paraId="7E69F707"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666" w:type="pct"/>
            <w:shd w:val="clear" w:color="000000" w:fill="FFFFFF"/>
            <w:noWrap/>
            <w:vAlign w:val="center"/>
          </w:tcPr>
          <w:p w14:paraId="4236C7F8"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6,106.09</w:t>
            </w:r>
          </w:p>
        </w:tc>
        <w:tc>
          <w:tcPr>
            <w:tcW w:w="665" w:type="pct"/>
            <w:shd w:val="clear" w:color="000000" w:fill="FFFFFF"/>
            <w:noWrap/>
            <w:vAlign w:val="center"/>
          </w:tcPr>
          <w:p w14:paraId="4AA25BD2"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w:t>
            </w:r>
          </w:p>
        </w:tc>
        <w:tc>
          <w:tcPr>
            <w:tcW w:w="666" w:type="pct"/>
            <w:shd w:val="clear" w:color="000000" w:fill="FFFFFF"/>
            <w:noWrap/>
            <w:vAlign w:val="center"/>
          </w:tcPr>
          <w:p w14:paraId="51A96240"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4,113.44</w:t>
            </w:r>
          </w:p>
        </w:tc>
        <w:tc>
          <w:tcPr>
            <w:tcW w:w="665" w:type="pct"/>
            <w:shd w:val="clear" w:color="000000" w:fill="FFFFFF"/>
            <w:noWrap/>
            <w:vAlign w:val="center"/>
          </w:tcPr>
          <w:p w14:paraId="6A2B1EB8"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w:t>
            </w:r>
          </w:p>
        </w:tc>
        <w:tc>
          <w:tcPr>
            <w:tcW w:w="582" w:type="pct"/>
            <w:shd w:val="clear" w:color="000000" w:fill="FFFFFF"/>
            <w:noWrap/>
            <w:vAlign w:val="center"/>
          </w:tcPr>
          <w:p w14:paraId="13466126"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32.63%</w:t>
            </w:r>
          </w:p>
        </w:tc>
        <w:tc>
          <w:tcPr>
            <w:tcW w:w="778" w:type="pct"/>
            <w:shd w:val="clear" w:color="000000" w:fill="FFFFFF"/>
            <w:noWrap/>
            <w:vAlign w:val="center"/>
          </w:tcPr>
          <w:p w14:paraId="0E099C4A" w14:textId="77777777" w:rsidR="000A0ACD" w:rsidRDefault="00362A99">
            <w:pPr>
              <w:adjustRightInd w:val="0"/>
              <w:snapToGrid w:val="0"/>
              <w:jc w:val="right"/>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w:t>
            </w:r>
          </w:p>
        </w:tc>
      </w:tr>
    </w:tbl>
    <w:p w14:paraId="7DEB0826"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2020</w:t>
      </w:r>
      <w:r>
        <w:rPr>
          <w:rFonts w:ascii="Times New Roman" w:hAnsi="Times New Roman" w:cs="Times New Roman"/>
        </w:rPr>
        <w:t>年</w:t>
      </w:r>
      <w:r>
        <w:rPr>
          <w:rFonts w:ascii="Times New Roman" w:hAnsi="Times New Roman" w:cs="Times New Roman" w:hint="eastAsia"/>
        </w:rPr>
        <w:t>，标的公司</w:t>
      </w:r>
      <w:r>
        <w:rPr>
          <w:rFonts w:ascii="Times New Roman" w:hAnsi="Times New Roman" w:cs="Times New Roman"/>
        </w:rPr>
        <w:t>定制化集成业务</w:t>
      </w:r>
      <w:r>
        <w:rPr>
          <w:rFonts w:ascii="Times New Roman" w:hAnsi="Times New Roman" w:cs="Times New Roman" w:hint="eastAsia"/>
        </w:rPr>
        <w:t>产生的营业</w:t>
      </w:r>
      <w:r>
        <w:rPr>
          <w:rFonts w:ascii="Times New Roman" w:hAnsi="Times New Roman" w:cs="Times New Roman"/>
        </w:rPr>
        <w:t>收入</w:t>
      </w:r>
      <w:r>
        <w:rPr>
          <w:rFonts w:ascii="Times New Roman" w:hAnsi="Times New Roman" w:cs="Times New Roman" w:hint="eastAsia"/>
        </w:rPr>
        <w:t>、营业成本</w:t>
      </w:r>
      <w:r>
        <w:rPr>
          <w:rFonts w:ascii="Times New Roman" w:hAnsi="Times New Roman" w:cs="Times New Roman"/>
        </w:rPr>
        <w:t>较</w:t>
      </w:r>
      <w:r>
        <w:rPr>
          <w:rFonts w:ascii="Times New Roman" w:hAnsi="Times New Roman" w:cs="Times New Roman"/>
        </w:rPr>
        <w:t>2019</w:t>
      </w:r>
      <w:r>
        <w:rPr>
          <w:rFonts w:ascii="Times New Roman" w:hAnsi="Times New Roman" w:cs="Times New Roman"/>
        </w:rPr>
        <w:t>年</w:t>
      </w:r>
      <w:r>
        <w:rPr>
          <w:rFonts w:ascii="Times New Roman" w:hAnsi="Times New Roman" w:cs="Times New Roman" w:hint="eastAsia"/>
        </w:rPr>
        <w:t>分别</w:t>
      </w:r>
      <w:r>
        <w:rPr>
          <w:rFonts w:ascii="Times New Roman" w:hAnsi="Times New Roman" w:cs="Times New Roman"/>
        </w:rPr>
        <w:t>减少</w:t>
      </w:r>
      <w:r>
        <w:rPr>
          <w:rFonts w:ascii="Times New Roman" w:hAnsi="Times New Roman" w:cs="Times New Roman"/>
        </w:rPr>
        <w:t>2.58%</w:t>
      </w:r>
      <w:r>
        <w:rPr>
          <w:rFonts w:ascii="Times New Roman" w:hAnsi="Times New Roman" w:cs="Times New Roman" w:hint="eastAsia"/>
        </w:rPr>
        <w:t>、</w:t>
      </w:r>
      <w:r>
        <w:rPr>
          <w:rFonts w:ascii="Times New Roman" w:hAnsi="Times New Roman" w:cs="Times New Roman"/>
        </w:rPr>
        <w:t>25.54%</w:t>
      </w:r>
      <w:r>
        <w:rPr>
          <w:rFonts w:ascii="Times New Roman" w:hAnsi="Times New Roman" w:cs="Times New Roman"/>
        </w:rPr>
        <w:t>，主要系</w:t>
      </w:r>
      <w:r>
        <w:rPr>
          <w:rFonts w:ascii="Times New Roman" w:hAnsi="Times New Roman" w:cs="Times New Roman" w:hint="eastAsia"/>
        </w:rPr>
        <w:t>高毛利率的企业信息化业务规模大幅增长所致</w:t>
      </w:r>
      <w:r>
        <w:rPr>
          <w:rFonts w:ascii="Times New Roman" w:hAnsi="Times New Roman" w:cs="Times New Roman"/>
        </w:rPr>
        <w:t>。</w:t>
      </w:r>
      <w:r>
        <w:rPr>
          <w:rFonts w:ascii="Times New Roman" w:hAnsi="Times New Roman" w:cs="Times New Roman" w:hint="eastAsia"/>
        </w:rPr>
        <w:t>报告期内，</w:t>
      </w:r>
      <w:r>
        <w:rPr>
          <w:rFonts w:ascii="Times New Roman" w:hAnsi="Times New Roman" w:cs="Times New Roman"/>
        </w:rPr>
        <w:t>标的公司各类</w:t>
      </w:r>
      <w:r>
        <w:rPr>
          <w:rFonts w:ascii="Times New Roman" w:hAnsi="Times New Roman" w:cs="Times New Roman" w:hint="eastAsia"/>
        </w:rPr>
        <w:t>业务</w:t>
      </w:r>
      <w:r>
        <w:rPr>
          <w:rFonts w:ascii="Times New Roman" w:hAnsi="Times New Roman" w:cs="Times New Roman"/>
        </w:rPr>
        <w:t>营业收入与营业成本同比变动情况</w:t>
      </w:r>
      <w:r>
        <w:rPr>
          <w:rFonts w:ascii="Times New Roman" w:hAnsi="Times New Roman" w:cs="Times New Roman" w:hint="eastAsia"/>
        </w:rPr>
        <w:t>基本</w:t>
      </w:r>
      <w:r>
        <w:rPr>
          <w:rFonts w:ascii="Times New Roman" w:hAnsi="Times New Roman" w:cs="Times New Roman"/>
        </w:rPr>
        <w:t>相匹配</w:t>
      </w:r>
      <w:r>
        <w:rPr>
          <w:rFonts w:ascii="Times New Roman" w:hAnsi="Times New Roman" w:cs="Times New Roman" w:hint="eastAsia"/>
        </w:rPr>
        <w:t>。北洋天青成本结转准确，与营业收入确认相匹配</w:t>
      </w:r>
      <w:r>
        <w:rPr>
          <w:rFonts w:ascii="Times New Roman" w:hAnsi="Times New Roman" w:cs="Times New Roman"/>
        </w:rPr>
        <w:t>。</w:t>
      </w:r>
    </w:p>
    <w:p w14:paraId="3CA496C9"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二、补充披露情况</w:t>
      </w:r>
    </w:p>
    <w:p w14:paraId="113975F6"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管理层讨论与分析”之“三、标的公司报告期财务状况和经营成果的讨论分析”之“（二）盈利能力分析”进行了补充披露。</w:t>
      </w:r>
    </w:p>
    <w:p w14:paraId="646F2925"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三、中介机构核查意见</w:t>
      </w:r>
    </w:p>
    <w:p w14:paraId="178A54EC"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通过比对项目实际归集成本与预算采购清单、合同内容的一致性，检查期后大额付款凭证，对主要供应商进行函证等实质性程序，并对营业收入、营业成本变动趋势进行合理性分析，独立财务顾问及会计师认为：北洋天青成本结转准确，与营业收入确认相匹配，符合企业会计准则的相关规定。</w:t>
      </w:r>
    </w:p>
    <w:p w14:paraId="30E8AB77" w14:textId="77777777" w:rsidR="000A0ACD" w:rsidRDefault="000A0ACD">
      <w:pPr>
        <w:spacing w:beforeLines="50" w:before="156" w:line="360" w:lineRule="auto"/>
        <w:ind w:firstLineChars="200" w:firstLine="562"/>
        <w:jc w:val="both"/>
        <w:outlineLvl w:val="0"/>
        <w:rPr>
          <w:rFonts w:ascii="Times New Roman" w:eastAsia="黑体" w:hAnsi="Times New Roman" w:cs="Times New Roman"/>
          <w:b/>
          <w:color w:val="000000"/>
          <w:sz w:val="28"/>
          <w:szCs w:val="28"/>
        </w:rPr>
        <w:sectPr w:rsidR="000A0ACD">
          <w:pgSz w:w="11906" w:h="16838"/>
          <w:pgMar w:top="1440" w:right="1800" w:bottom="1440" w:left="1800" w:header="851" w:footer="992" w:gutter="0"/>
          <w:cols w:space="425"/>
          <w:docGrid w:type="lines" w:linePitch="312"/>
        </w:sectPr>
      </w:pPr>
      <w:bookmarkStart w:id="68" w:name="_Toc69256875"/>
      <w:bookmarkStart w:id="69" w:name="_Toc69256857"/>
    </w:p>
    <w:p w14:paraId="6906C3E1" w14:textId="77777777" w:rsidR="000A0ACD" w:rsidRDefault="00362A99">
      <w:pPr>
        <w:spacing w:beforeLines="50" w:before="156" w:line="360" w:lineRule="auto"/>
        <w:ind w:firstLineChars="200" w:firstLine="562"/>
        <w:jc w:val="both"/>
        <w:outlineLvl w:val="0"/>
        <w:rPr>
          <w:rFonts w:ascii="Times New Roman" w:eastAsia="黑体" w:hAnsi="Times New Roman" w:cs="Times New Roman"/>
          <w:b/>
          <w:color w:val="000000"/>
          <w:sz w:val="28"/>
          <w:szCs w:val="28"/>
        </w:rPr>
      </w:pPr>
      <w:r>
        <w:rPr>
          <w:rFonts w:ascii="Times New Roman" w:eastAsia="黑体" w:hAnsi="Times New Roman" w:cs="Times New Roman" w:hint="eastAsia"/>
          <w:b/>
          <w:color w:val="000000"/>
          <w:sz w:val="28"/>
          <w:szCs w:val="28"/>
        </w:rPr>
        <w:t>第十题</w:t>
      </w:r>
      <w:bookmarkEnd w:id="68"/>
      <w:bookmarkEnd w:id="69"/>
    </w:p>
    <w:p w14:paraId="43956BCD"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申请文件显示，报告期各期末，标的资产流动比率分别为</w:t>
      </w:r>
      <w:r>
        <w:rPr>
          <w:rFonts w:ascii="Times New Roman" w:eastAsia="黑体" w:hAnsi="Times New Roman" w:cs="Times New Roman" w:hint="eastAsia"/>
          <w:b/>
          <w:color w:val="000000"/>
          <w:szCs w:val="21"/>
        </w:rPr>
        <w:t>2.26</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2.51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1.39</w:t>
      </w:r>
      <w:r>
        <w:rPr>
          <w:rFonts w:ascii="Times New Roman" w:eastAsia="黑体" w:hAnsi="Times New Roman" w:cs="Times New Roman" w:hint="eastAsia"/>
          <w:b/>
          <w:color w:val="000000"/>
          <w:szCs w:val="21"/>
        </w:rPr>
        <w:t>，速动比率分别为</w:t>
      </w:r>
      <w:r>
        <w:rPr>
          <w:rFonts w:ascii="Times New Roman" w:eastAsia="黑体" w:hAnsi="Times New Roman" w:cs="Times New Roman" w:hint="eastAsia"/>
          <w:b/>
          <w:color w:val="000000"/>
          <w:szCs w:val="21"/>
        </w:rPr>
        <w:t>1.60</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2.03</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1.14</w:t>
      </w:r>
      <w:r>
        <w:rPr>
          <w:rFonts w:ascii="Times New Roman" w:eastAsia="黑体" w:hAnsi="Times New Roman" w:cs="Times New Roman" w:hint="eastAsia"/>
          <w:b/>
          <w:color w:val="000000"/>
          <w:szCs w:val="21"/>
        </w:rPr>
        <w:t>，资产负债率分别为</w:t>
      </w:r>
      <w:r>
        <w:rPr>
          <w:rFonts w:ascii="Times New Roman" w:eastAsia="黑体" w:hAnsi="Times New Roman" w:cs="Times New Roman" w:hint="eastAsia"/>
          <w:b/>
          <w:color w:val="000000"/>
          <w:szCs w:val="21"/>
        </w:rPr>
        <w:t>43.41%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39.31%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70.50%</w:t>
      </w:r>
      <w:r>
        <w:rPr>
          <w:rFonts w:ascii="Times New Roman" w:eastAsia="黑体" w:hAnsi="Times New Roman" w:cs="Times New Roman" w:hint="eastAsia"/>
          <w:b/>
          <w:color w:val="000000"/>
          <w:szCs w:val="21"/>
        </w:rPr>
        <w:t>。报告期流动负债分别为</w:t>
      </w:r>
      <w:r>
        <w:rPr>
          <w:rFonts w:ascii="Times New Roman" w:eastAsia="黑体" w:hAnsi="Times New Roman" w:cs="Times New Roman" w:hint="eastAsia"/>
          <w:b/>
          <w:color w:val="000000"/>
          <w:szCs w:val="21"/>
        </w:rPr>
        <w:t>3,405.11</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3,638.10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14,034.05</w:t>
      </w:r>
      <w:r>
        <w:rPr>
          <w:rFonts w:ascii="Times New Roman" w:eastAsia="黑体" w:hAnsi="Times New Roman" w:cs="Times New Roman" w:hint="eastAsia"/>
          <w:b/>
          <w:color w:val="000000"/>
          <w:szCs w:val="21"/>
        </w:rPr>
        <w:t>万元，增长较快，报告期流动负债占比均达</w:t>
      </w:r>
      <w:r>
        <w:rPr>
          <w:rFonts w:ascii="Times New Roman" w:eastAsia="黑体" w:hAnsi="Times New Roman" w:cs="Times New Roman" w:hint="eastAsia"/>
          <w:b/>
          <w:color w:val="000000"/>
          <w:szCs w:val="21"/>
        </w:rPr>
        <w:t>97%</w:t>
      </w:r>
      <w:r>
        <w:rPr>
          <w:rFonts w:ascii="Times New Roman" w:eastAsia="黑体" w:hAnsi="Times New Roman" w:cs="Times New Roman" w:hint="eastAsia"/>
          <w:b/>
          <w:color w:val="000000"/>
          <w:szCs w:val="21"/>
        </w:rPr>
        <w:t>以上。请你公司补充披露：标的资产流动负债增长较快、偿债能力减弱的原因，与同行业可比公司和行业平均水平是否存在重大差异，是否存在较高的财务风险及应对措施。请独立财务顾问和会计师核查并发表明确意见。</w:t>
      </w:r>
    </w:p>
    <w:p w14:paraId="565561E0" w14:textId="77777777" w:rsidR="000A0ACD" w:rsidRDefault="00362A99">
      <w:pPr>
        <w:pStyle w:val="affffd"/>
        <w:spacing w:before="156"/>
        <w:ind w:firstLine="482"/>
        <w:rPr>
          <w:b/>
        </w:rPr>
      </w:pPr>
      <w:r>
        <w:rPr>
          <w:rFonts w:hint="eastAsia"/>
          <w:b/>
        </w:rPr>
        <w:t>【回复说明】</w:t>
      </w:r>
    </w:p>
    <w:p w14:paraId="2498B661"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一、标的资产流动负债增长较快、偿债能力减弱的原因</w:t>
      </w:r>
    </w:p>
    <w:p w14:paraId="11995F36"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（一）标的资产流动负债增长较快的原因</w:t>
      </w:r>
    </w:p>
    <w:p w14:paraId="43E66865"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报告期各期末，标的公司的流动负债主要由应付票据、应付账款及合同负债构成。</w:t>
      </w:r>
    </w:p>
    <w:p w14:paraId="793FB2FE" w14:textId="77777777" w:rsidR="000A0ACD" w:rsidRDefault="00362A99">
      <w:pPr>
        <w:spacing w:beforeLines="50" w:before="156" w:line="360" w:lineRule="auto"/>
        <w:ind w:firstLineChars="200" w:firstLine="482"/>
        <w:jc w:val="both"/>
        <w:rPr>
          <w:rFonts w:ascii="Times New Roman" w:hAnsi="Times New Roman" w:cs="Times New Roman"/>
          <w:b/>
          <w:bCs/>
          <w:color w:val="000000"/>
          <w:lang w:val="en-GB"/>
        </w:rPr>
      </w:pPr>
      <w:r>
        <w:rPr>
          <w:rFonts w:ascii="Times New Roman" w:hAnsi="Times New Roman" w:cs="Times New Roman"/>
          <w:b/>
          <w:bCs/>
          <w:color w:val="000000"/>
          <w:lang w:val="en-GB"/>
        </w:rPr>
        <w:t>1</w:t>
      </w:r>
      <w:r>
        <w:rPr>
          <w:rFonts w:ascii="Times New Roman" w:hAnsi="Times New Roman" w:cs="Times New Roman" w:hint="eastAsia"/>
          <w:b/>
          <w:bCs/>
          <w:color w:val="000000"/>
          <w:lang w:val="en-GB"/>
        </w:rPr>
        <w:t>、应付票据</w:t>
      </w:r>
    </w:p>
    <w:p w14:paraId="1BC2C558"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09"/>
        <w:gridCol w:w="2237"/>
        <w:gridCol w:w="2238"/>
        <w:gridCol w:w="2238"/>
      </w:tblGrid>
      <w:tr w:rsidR="000A0ACD" w14:paraId="4C6C1562" w14:textId="77777777">
        <w:trPr>
          <w:trHeight w:val="397"/>
          <w:tblHeader/>
        </w:trPr>
        <w:tc>
          <w:tcPr>
            <w:tcW w:w="1061" w:type="pct"/>
            <w:shd w:val="clear" w:color="auto" w:fill="auto"/>
            <w:vAlign w:val="center"/>
          </w:tcPr>
          <w:p w14:paraId="1A19793E"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票据种类</w:t>
            </w:r>
          </w:p>
        </w:tc>
        <w:tc>
          <w:tcPr>
            <w:tcW w:w="1312" w:type="pct"/>
            <w:shd w:val="clear" w:color="auto" w:fill="auto"/>
            <w:vAlign w:val="center"/>
          </w:tcPr>
          <w:p w14:paraId="5E4D02CF"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c>
          <w:tcPr>
            <w:tcW w:w="1313" w:type="pct"/>
            <w:shd w:val="clear" w:color="auto" w:fill="auto"/>
            <w:vAlign w:val="center"/>
          </w:tcPr>
          <w:p w14:paraId="4B719D62"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c>
          <w:tcPr>
            <w:tcW w:w="1313" w:type="pct"/>
            <w:shd w:val="clear" w:color="auto" w:fill="auto"/>
            <w:vAlign w:val="center"/>
          </w:tcPr>
          <w:p w14:paraId="60AF9ECD"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r>
      <w:tr w:rsidR="000A0ACD" w14:paraId="3908FEC4" w14:textId="77777777">
        <w:trPr>
          <w:trHeight w:val="397"/>
        </w:trPr>
        <w:tc>
          <w:tcPr>
            <w:tcW w:w="1061" w:type="pct"/>
            <w:shd w:val="clear" w:color="auto" w:fill="auto"/>
            <w:vAlign w:val="center"/>
          </w:tcPr>
          <w:p w14:paraId="697D348E"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银行承兑汇票</w:t>
            </w:r>
          </w:p>
        </w:tc>
        <w:tc>
          <w:tcPr>
            <w:tcW w:w="1312" w:type="pct"/>
            <w:shd w:val="clear" w:color="auto" w:fill="auto"/>
            <w:vAlign w:val="center"/>
          </w:tcPr>
          <w:p w14:paraId="0356114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4,562.31</w:t>
            </w:r>
          </w:p>
        </w:tc>
        <w:tc>
          <w:tcPr>
            <w:tcW w:w="1313" w:type="pct"/>
            <w:shd w:val="clear" w:color="auto" w:fill="auto"/>
            <w:vAlign w:val="center"/>
          </w:tcPr>
          <w:p w14:paraId="17E123D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786.14</w:t>
            </w:r>
          </w:p>
        </w:tc>
        <w:tc>
          <w:tcPr>
            <w:tcW w:w="1313" w:type="pct"/>
            <w:shd w:val="clear" w:color="auto" w:fill="auto"/>
            <w:vAlign w:val="center"/>
          </w:tcPr>
          <w:p w14:paraId="3328A32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976.42</w:t>
            </w:r>
          </w:p>
        </w:tc>
      </w:tr>
    </w:tbl>
    <w:p w14:paraId="292283FD"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报告期各期末，标的公司应付票据分别为</w:t>
      </w:r>
      <w:r>
        <w:rPr>
          <w:rFonts w:ascii="Times New Roman" w:hAnsi="Times New Roman" w:cs="Times New Roman" w:hint="eastAsia"/>
          <w:bCs/>
          <w:color w:val="000000"/>
          <w:lang w:val="en-GB"/>
        </w:rPr>
        <w:t>976.42</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786.14</w:t>
      </w:r>
      <w:r>
        <w:rPr>
          <w:rFonts w:ascii="Times New Roman" w:hAnsi="Times New Roman" w:cs="Times New Roman" w:hint="eastAsia"/>
          <w:bCs/>
          <w:color w:val="000000"/>
          <w:lang w:val="en-GB"/>
        </w:rPr>
        <w:t>万元和</w:t>
      </w:r>
      <w:r>
        <w:rPr>
          <w:rFonts w:ascii="Times New Roman" w:hAnsi="Times New Roman" w:cs="Times New Roman" w:hint="eastAsia"/>
          <w:bCs/>
          <w:color w:val="000000"/>
          <w:lang w:val="en-GB"/>
        </w:rPr>
        <w:t>4,562.31</w:t>
      </w:r>
      <w:r>
        <w:rPr>
          <w:rFonts w:ascii="Times New Roman" w:hAnsi="Times New Roman" w:cs="Times New Roman" w:hint="eastAsia"/>
          <w:bCs/>
          <w:color w:val="000000"/>
          <w:lang w:val="en-GB"/>
        </w:rPr>
        <w:t>万元，占总负债的比例分别为</w:t>
      </w:r>
      <w:r>
        <w:rPr>
          <w:rFonts w:ascii="Times New Roman" w:hAnsi="Times New Roman" w:cs="Times New Roman" w:hint="eastAsia"/>
          <w:bCs/>
          <w:color w:val="000000"/>
          <w:lang w:val="en-GB"/>
        </w:rPr>
        <w:t>28.68%</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20.98</w:t>
      </w:r>
      <w:r>
        <w:rPr>
          <w:rFonts w:ascii="Times New Roman" w:hAnsi="Times New Roman" w:cs="Times New Roman" w:hint="eastAsia"/>
          <w:bCs/>
          <w:lang w:val="en-GB"/>
        </w:rPr>
        <w:t>%</w:t>
      </w:r>
      <w:r>
        <w:rPr>
          <w:rFonts w:ascii="Times New Roman" w:hAnsi="Times New Roman" w:cs="Times New Roman" w:hint="eastAsia"/>
          <w:bCs/>
          <w:lang w:val="en-GB"/>
        </w:rPr>
        <w:t>和</w:t>
      </w:r>
      <w:r>
        <w:rPr>
          <w:rFonts w:ascii="Times New Roman" w:hAnsi="Times New Roman" w:cs="Times New Roman"/>
          <w:bCs/>
        </w:rPr>
        <w:t>24.80</w:t>
      </w:r>
      <w:r>
        <w:rPr>
          <w:rFonts w:ascii="Times New Roman" w:hAnsi="Times New Roman" w:cs="Times New Roman" w:hint="eastAsia"/>
          <w:bCs/>
          <w:lang w:val="en-GB"/>
        </w:rPr>
        <w:t>%</w:t>
      </w:r>
      <w:r>
        <w:rPr>
          <w:rFonts w:ascii="Times New Roman" w:hAnsi="Times New Roman" w:cs="Times New Roman" w:hint="eastAsia"/>
          <w:bCs/>
          <w:lang w:val="en-GB"/>
        </w:rPr>
        <w:t>，全部为银行承兑汇票。</w:t>
      </w:r>
      <w:r>
        <w:rPr>
          <w:rFonts w:ascii="Times New Roman" w:hAnsi="Times New Roman" w:cs="Times New Roman" w:hint="eastAsia"/>
          <w:bCs/>
          <w:lang w:val="en-GB"/>
        </w:rPr>
        <w:t>2020</w:t>
      </w:r>
      <w:r>
        <w:rPr>
          <w:rFonts w:ascii="Times New Roman" w:hAnsi="Times New Roman" w:cs="Times New Roman" w:hint="eastAsia"/>
          <w:bCs/>
          <w:lang w:val="en-GB"/>
        </w:rPr>
        <w:t>年末，标的公司应付票据较</w:t>
      </w:r>
      <w:r>
        <w:rPr>
          <w:rFonts w:ascii="Times New Roman" w:hAnsi="Times New Roman" w:cs="Times New Roman" w:hint="eastAsia"/>
          <w:bCs/>
          <w:lang w:val="en-GB"/>
        </w:rPr>
        <w:t>2019</w:t>
      </w:r>
      <w:r>
        <w:rPr>
          <w:rFonts w:ascii="Times New Roman" w:hAnsi="Times New Roman" w:cs="Times New Roman" w:hint="eastAsia"/>
          <w:bCs/>
          <w:lang w:val="en-GB"/>
        </w:rPr>
        <w:t>年末增加</w:t>
      </w:r>
      <w:r>
        <w:rPr>
          <w:rFonts w:ascii="Times New Roman" w:hAnsi="Times New Roman" w:cs="Times New Roman"/>
          <w:bCs/>
        </w:rPr>
        <w:t>3</w:t>
      </w:r>
      <w:r>
        <w:rPr>
          <w:rFonts w:ascii="Times New Roman" w:hAnsi="Times New Roman" w:cs="Times New Roman" w:hint="eastAsia"/>
          <w:bCs/>
        </w:rPr>
        <w:t>,</w:t>
      </w:r>
      <w:r>
        <w:rPr>
          <w:rFonts w:ascii="Times New Roman" w:hAnsi="Times New Roman" w:cs="Times New Roman"/>
          <w:bCs/>
        </w:rPr>
        <w:t>776.17</w:t>
      </w:r>
      <w:r>
        <w:rPr>
          <w:rFonts w:ascii="Times New Roman" w:hAnsi="Times New Roman" w:cs="Times New Roman" w:hint="eastAsia"/>
          <w:bCs/>
          <w:lang w:val="en-GB"/>
        </w:rPr>
        <w:t>万元，增幅</w:t>
      </w:r>
      <w:r>
        <w:rPr>
          <w:rFonts w:ascii="Times New Roman" w:hAnsi="Times New Roman" w:cs="Times New Roman"/>
          <w:bCs/>
        </w:rPr>
        <w:t>480.34</w:t>
      </w:r>
      <w:r>
        <w:rPr>
          <w:rFonts w:ascii="Times New Roman" w:hAnsi="Times New Roman" w:cs="Times New Roman" w:hint="eastAsia"/>
          <w:bCs/>
          <w:lang w:val="en-GB"/>
        </w:rPr>
        <w:t>%</w:t>
      </w:r>
      <w:r>
        <w:rPr>
          <w:rFonts w:ascii="Times New Roman" w:hAnsi="Times New Roman" w:cs="Times New Roman" w:hint="eastAsia"/>
          <w:bCs/>
          <w:lang w:val="en-GB"/>
        </w:rPr>
        <w:t>，</w:t>
      </w:r>
      <w:r>
        <w:rPr>
          <w:rFonts w:ascii="Times New Roman" w:hAnsi="Times New Roman" w:cs="Times New Roman" w:hint="eastAsia"/>
          <w:bCs/>
          <w:color w:val="000000"/>
          <w:lang w:val="en-GB"/>
        </w:rPr>
        <w:t>主要系标的公司业务规模扩张及采用开具承兑汇票结算方式支付的货款增加所致。截至</w:t>
      </w:r>
      <w:r>
        <w:rPr>
          <w:rFonts w:ascii="Times New Roman" w:hAnsi="Times New Roman" w:cs="Times New Roman"/>
          <w:bCs/>
          <w:color w:val="000000"/>
          <w:lang w:val="en-GB"/>
        </w:rPr>
        <w:t>2020</w:t>
      </w:r>
      <w:r>
        <w:rPr>
          <w:rFonts w:ascii="Times New Roman" w:hAnsi="Times New Roman" w:cs="Times New Roman"/>
          <w:bCs/>
          <w:color w:val="000000"/>
          <w:lang w:val="en-GB"/>
        </w:rPr>
        <w:t>年</w:t>
      </w:r>
      <w:r>
        <w:rPr>
          <w:rFonts w:ascii="Times New Roman" w:hAnsi="Times New Roman" w:cs="Times New Roman"/>
          <w:bCs/>
          <w:color w:val="000000"/>
          <w:lang w:val="en-GB"/>
        </w:rPr>
        <w:t>12</w:t>
      </w:r>
      <w:r>
        <w:rPr>
          <w:rFonts w:ascii="Times New Roman" w:hAnsi="Times New Roman" w:cs="Times New Roman"/>
          <w:bCs/>
          <w:color w:val="000000"/>
          <w:lang w:val="en-GB"/>
        </w:rPr>
        <w:t>月</w:t>
      </w:r>
      <w:r>
        <w:rPr>
          <w:rFonts w:ascii="Times New Roman" w:hAnsi="Times New Roman" w:cs="Times New Roman"/>
          <w:bCs/>
          <w:color w:val="000000"/>
          <w:lang w:val="en-GB"/>
        </w:rPr>
        <w:t>31</w:t>
      </w:r>
      <w:r>
        <w:rPr>
          <w:rFonts w:ascii="Times New Roman" w:hAnsi="Times New Roman" w:cs="Times New Roman"/>
          <w:bCs/>
          <w:color w:val="000000"/>
          <w:lang w:val="en-GB"/>
        </w:rPr>
        <w:t>日，北洋天青</w:t>
      </w:r>
      <w:r>
        <w:rPr>
          <w:rFonts w:ascii="Times New Roman" w:hAnsi="Times New Roman" w:cs="Times New Roman" w:hint="eastAsia"/>
          <w:bCs/>
          <w:color w:val="000000"/>
          <w:lang w:val="en-GB"/>
        </w:rPr>
        <w:t>应付票据按供应商归集主要</w:t>
      </w:r>
      <w:r>
        <w:rPr>
          <w:rFonts w:ascii="Times New Roman" w:hAnsi="Times New Roman" w:cs="Times New Roman"/>
          <w:bCs/>
          <w:color w:val="000000"/>
          <w:lang w:val="en-GB"/>
        </w:rPr>
        <w:t>情况具体如下：</w:t>
      </w:r>
    </w:p>
    <w:p w14:paraId="2C2E5222"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59"/>
        <w:gridCol w:w="3970"/>
        <w:gridCol w:w="2425"/>
        <w:gridCol w:w="1168"/>
      </w:tblGrid>
      <w:tr w:rsidR="000A0ACD" w14:paraId="42F63248" w14:textId="77777777">
        <w:trPr>
          <w:trHeight w:val="397"/>
          <w:tblHeader/>
        </w:trPr>
        <w:tc>
          <w:tcPr>
            <w:tcW w:w="563" w:type="pct"/>
            <w:vAlign w:val="center"/>
          </w:tcPr>
          <w:p w14:paraId="5F2A6663" w14:textId="77777777" w:rsidR="000A0ACD" w:rsidRPr="00D2687A" w:rsidRDefault="00362A99">
            <w:pPr>
              <w:jc w:val="center"/>
              <w:rPr>
                <w:rFonts w:ascii="Times New Roman" w:hAnsi="Times New Roman" w:cs="Times New Roman"/>
                <w:b/>
                <w:bCs/>
                <w:color w:val="000000"/>
                <w:sz w:val="21"/>
                <w:szCs w:val="21"/>
              </w:rPr>
            </w:pPr>
            <w:r w:rsidRPr="00D2687A">
              <w:rPr>
                <w:rFonts w:ascii="Times New Roman" w:hAnsi="Times New Roman" w:cs="Times New Roman" w:hint="eastAsia"/>
                <w:b/>
                <w:bCs/>
                <w:color w:val="000000"/>
                <w:sz w:val="21"/>
                <w:szCs w:val="21"/>
              </w:rPr>
              <w:t>序号</w:t>
            </w:r>
          </w:p>
        </w:tc>
        <w:tc>
          <w:tcPr>
            <w:tcW w:w="2329" w:type="pct"/>
            <w:vAlign w:val="center"/>
          </w:tcPr>
          <w:p w14:paraId="78A6DC12" w14:textId="77777777" w:rsidR="000A0ACD" w:rsidRPr="00D2687A" w:rsidRDefault="00362A99">
            <w:pPr>
              <w:jc w:val="center"/>
              <w:rPr>
                <w:rFonts w:ascii="Times New Roman" w:hAnsi="Times New Roman" w:cs="Times New Roman"/>
                <w:b/>
                <w:bCs/>
                <w:color w:val="000000"/>
                <w:sz w:val="21"/>
                <w:szCs w:val="21"/>
              </w:rPr>
            </w:pPr>
            <w:r w:rsidRPr="00D2687A">
              <w:rPr>
                <w:rFonts w:ascii="Times New Roman" w:hAnsi="Times New Roman" w:cs="Times New Roman" w:hint="eastAsia"/>
                <w:b/>
                <w:bCs/>
                <w:color w:val="000000"/>
                <w:sz w:val="21"/>
                <w:szCs w:val="21"/>
              </w:rPr>
              <w:t>供应商名称</w:t>
            </w:r>
          </w:p>
        </w:tc>
        <w:tc>
          <w:tcPr>
            <w:tcW w:w="1423" w:type="pct"/>
            <w:vAlign w:val="center"/>
          </w:tcPr>
          <w:p w14:paraId="3455A543" w14:textId="77777777" w:rsidR="000A0ACD" w:rsidRPr="00D2687A" w:rsidRDefault="00362A99">
            <w:pPr>
              <w:jc w:val="center"/>
              <w:rPr>
                <w:rFonts w:ascii="Times New Roman" w:hAnsi="Times New Roman" w:cs="Times New Roman"/>
                <w:b/>
                <w:bCs/>
                <w:color w:val="000000"/>
                <w:sz w:val="21"/>
                <w:szCs w:val="21"/>
              </w:rPr>
            </w:pPr>
            <w:r w:rsidRPr="00D2687A">
              <w:rPr>
                <w:rFonts w:ascii="Times New Roman" w:hAnsi="Times New Roman" w:cs="Times New Roman"/>
                <w:b/>
                <w:bCs/>
                <w:color w:val="000000"/>
                <w:sz w:val="21"/>
                <w:szCs w:val="21"/>
              </w:rPr>
              <w:t>2020</w:t>
            </w:r>
            <w:r w:rsidRPr="00D2687A">
              <w:rPr>
                <w:rFonts w:ascii="Times New Roman" w:hAnsi="Times New Roman" w:cs="Times New Roman"/>
                <w:b/>
                <w:bCs/>
                <w:color w:val="000000"/>
                <w:sz w:val="21"/>
                <w:szCs w:val="21"/>
              </w:rPr>
              <w:t>年</w:t>
            </w:r>
            <w:r w:rsidRPr="00D2687A">
              <w:rPr>
                <w:rFonts w:ascii="Times New Roman" w:hAnsi="Times New Roman" w:cs="Times New Roman"/>
                <w:b/>
                <w:bCs/>
                <w:color w:val="000000"/>
                <w:sz w:val="21"/>
                <w:szCs w:val="21"/>
              </w:rPr>
              <w:t>12</w:t>
            </w:r>
            <w:r w:rsidRPr="00D2687A">
              <w:rPr>
                <w:rFonts w:ascii="Times New Roman" w:hAnsi="Times New Roman" w:cs="Times New Roman"/>
                <w:b/>
                <w:bCs/>
                <w:color w:val="000000"/>
                <w:sz w:val="21"/>
                <w:szCs w:val="21"/>
              </w:rPr>
              <w:t>月</w:t>
            </w:r>
            <w:r w:rsidRPr="00D2687A">
              <w:rPr>
                <w:rFonts w:ascii="Times New Roman" w:hAnsi="Times New Roman" w:cs="Times New Roman"/>
                <w:b/>
                <w:bCs/>
                <w:color w:val="000000"/>
                <w:sz w:val="21"/>
                <w:szCs w:val="21"/>
              </w:rPr>
              <w:t>31</w:t>
            </w:r>
            <w:r w:rsidRPr="00D2687A">
              <w:rPr>
                <w:rFonts w:ascii="Times New Roman" w:hAnsi="Times New Roman" w:cs="Times New Roman"/>
                <w:b/>
                <w:bCs/>
                <w:color w:val="000000"/>
                <w:sz w:val="21"/>
                <w:szCs w:val="21"/>
              </w:rPr>
              <w:t>日余额</w:t>
            </w:r>
          </w:p>
        </w:tc>
        <w:tc>
          <w:tcPr>
            <w:tcW w:w="685" w:type="pct"/>
            <w:vAlign w:val="center"/>
          </w:tcPr>
          <w:p w14:paraId="54B1C598" w14:textId="77777777" w:rsidR="000A0ACD" w:rsidRPr="00D2687A" w:rsidRDefault="00362A99">
            <w:pPr>
              <w:jc w:val="center"/>
              <w:rPr>
                <w:rFonts w:ascii="Times New Roman" w:hAnsi="Times New Roman" w:cs="Times New Roman"/>
                <w:b/>
                <w:bCs/>
                <w:color w:val="000000"/>
                <w:sz w:val="21"/>
                <w:szCs w:val="21"/>
              </w:rPr>
            </w:pPr>
            <w:r w:rsidRPr="00D2687A">
              <w:rPr>
                <w:rFonts w:ascii="Times New Roman" w:hAnsi="Times New Roman" w:cs="Times New Roman" w:hint="eastAsia"/>
                <w:b/>
                <w:bCs/>
                <w:color w:val="000000"/>
                <w:sz w:val="21"/>
                <w:szCs w:val="21"/>
              </w:rPr>
              <w:t>占比</w:t>
            </w:r>
          </w:p>
        </w:tc>
      </w:tr>
      <w:tr w:rsidR="000A0ACD" w14:paraId="567019C2" w14:textId="77777777">
        <w:trPr>
          <w:trHeight w:val="397"/>
        </w:trPr>
        <w:tc>
          <w:tcPr>
            <w:tcW w:w="563" w:type="pct"/>
            <w:vAlign w:val="center"/>
          </w:tcPr>
          <w:p w14:paraId="79F3DABB"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1</w:t>
            </w:r>
          </w:p>
        </w:tc>
        <w:tc>
          <w:tcPr>
            <w:tcW w:w="2329" w:type="pct"/>
            <w:vAlign w:val="center"/>
          </w:tcPr>
          <w:p w14:paraId="1B1B2B53"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沃得精机（中国）有限公司</w:t>
            </w:r>
          </w:p>
        </w:tc>
        <w:tc>
          <w:tcPr>
            <w:tcW w:w="1423" w:type="pct"/>
            <w:vAlign w:val="center"/>
          </w:tcPr>
          <w:p w14:paraId="7C59DE80"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565.90</w:t>
            </w:r>
          </w:p>
        </w:tc>
        <w:tc>
          <w:tcPr>
            <w:tcW w:w="685" w:type="pct"/>
            <w:vAlign w:val="center"/>
          </w:tcPr>
          <w:p w14:paraId="1EB9BC0E"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12.40%</w:t>
            </w:r>
          </w:p>
        </w:tc>
      </w:tr>
      <w:tr w:rsidR="000A0ACD" w14:paraId="7D70A0D1" w14:textId="77777777">
        <w:trPr>
          <w:trHeight w:val="397"/>
        </w:trPr>
        <w:tc>
          <w:tcPr>
            <w:tcW w:w="563" w:type="pct"/>
            <w:vAlign w:val="center"/>
          </w:tcPr>
          <w:p w14:paraId="25991BEB"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2</w:t>
            </w:r>
          </w:p>
        </w:tc>
        <w:tc>
          <w:tcPr>
            <w:tcW w:w="2329" w:type="pct"/>
            <w:vAlign w:val="center"/>
          </w:tcPr>
          <w:p w14:paraId="7DD0C42F"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青岛海德马克智能装备有限公司</w:t>
            </w:r>
          </w:p>
        </w:tc>
        <w:tc>
          <w:tcPr>
            <w:tcW w:w="1423" w:type="pct"/>
            <w:vAlign w:val="center"/>
          </w:tcPr>
          <w:p w14:paraId="4D0339A8"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331.20</w:t>
            </w:r>
          </w:p>
        </w:tc>
        <w:tc>
          <w:tcPr>
            <w:tcW w:w="685" w:type="pct"/>
            <w:vAlign w:val="center"/>
          </w:tcPr>
          <w:p w14:paraId="0FC7C22B"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7.26%</w:t>
            </w:r>
          </w:p>
        </w:tc>
      </w:tr>
      <w:tr w:rsidR="000A0ACD" w14:paraId="33EFEE33" w14:textId="77777777">
        <w:trPr>
          <w:trHeight w:val="397"/>
        </w:trPr>
        <w:tc>
          <w:tcPr>
            <w:tcW w:w="563" w:type="pct"/>
            <w:vAlign w:val="center"/>
          </w:tcPr>
          <w:p w14:paraId="64D670C7"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3</w:t>
            </w:r>
          </w:p>
        </w:tc>
        <w:tc>
          <w:tcPr>
            <w:tcW w:w="2329" w:type="pct"/>
            <w:vAlign w:val="center"/>
          </w:tcPr>
          <w:p w14:paraId="11B17011"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福仁得智能装备（苏州）有限公司</w:t>
            </w:r>
          </w:p>
        </w:tc>
        <w:tc>
          <w:tcPr>
            <w:tcW w:w="1423" w:type="pct"/>
            <w:vAlign w:val="center"/>
          </w:tcPr>
          <w:p w14:paraId="5F24F39F"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260.70</w:t>
            </w:r>
          </w:p>
        </w:tc>
        <w:tc>
          <w:tcPr>
            <w:tcW w:w="685" w:type="pct"/>
            <w:vAlign w:val="center"/>
          </w:tcPr>
          <w:p w14:paraId="27A3047D"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5.71%</w:t>
            </w:r>
          </w:p>
        </w:tc>
      </w:tr>
      <w:tr w:rsidR="000A0ACD" w14:paraId="2AAE0BE7" w14:textId="77777777">
        <w:trPr>
          <w:trHeight w:val="397"/>
        </w:trPr>
        <w:tc>
          <w:tcPr>
            <w:tcW w:w="563" w:type="pct"/>
            <w:vAlign w:val="center"/>
          </w:tcPr>
          <w:p w14:paraId="1691FC9D"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4</w:t>
            </w:r>
          </w:p>
        </w:tc>
        <w:tc>
          <w:tcPr>
            <w:tcW w:w="2329" w:type="pct"/>
            <w:vAlign w:val="center"/>
          </w:tcPr>
          <w:p w14:paraId="7994BD97"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昆山欧赛斯悬挂输送系统有限公司</w:t>
            </w:r>
          </w:p>
        </w:tc>
        <w:tc>
          <w:tcPr>
            <w:tcW w:w="1423" w:type="pct"/>
            <w:vAlign w:val="center"/>
          </w:tcPr>
          <w:p w14:paraId="5A3A50A6"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241.50</w:t>
            </w:r>
          </w:p>
        </w:tc>
        <w:tc>
          <w:tcPr>
            <w:tcW w:w="685" w:type="pct"/>
            <w:vAlign w:val="center"/>
          </w:tcPr>
          <w:p w14:paraId="0A34E7D2"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5.29%</w:t>
            </w:r>
          </w:p>
        </w:tc>
      </w:tr>
      <w:tr w:rsidR="000A0ACD" w14:paraId="748B1305" w14:textId="77777777">
        <w:trPr>
          <w:trHeight w:val="397"/>
        </w:trPr>
        <w:tc>
          <w:tcPr>
            <w:tcW w:w="563" w:type="pct"/>
            <w:vAlign w:val="center"/>
          </w:tcPr>
          <w:p w14:paraId="720B61A0"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5</w:t>
            </w:r>
          </w:p>
        </w:tc>
        <w:tc>
          <w:tcPr>
            <w:tcW w:w="2329" w:type="pct"/>
            <w:vAlign w:val="center"/>
          </w:tcPr>
          <w:p w14:paraId="39AD269E"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安徽省科昌机械制造股份有限公司</w:t>
            </w:r>
          </w:p>
        </w:tc>
        <w:tc>
          <w:tcPr>
            <w:tcW w:w="1423" w:type="pct"/>
            <w:vAlign w:val="center"/>
          </w:tcPr>
          <w:p w14:paraId="42AF6007"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223.80</w:t>
            </w:r>
          </w:p>
        </w:tc>
        <w:tc>
          <w:tcPr>
            <w:tcW w:w="685" w:type="pct"/>
            <w:vAlign w:val="center"/>
          </w:tcPr>
          <w:p w14:paraId="5D03C435"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4.91%</w:t>
            </w:r>
          </w:p>
        </w:tc>
      </w:tr>
      <w:tr w:rsidR="000A0ACD" w14:paraId="09F14358" w14:textId="77777777">
        <w:trPr>
          <w:trHeight w:val="397"/>
        </w:trPr>
        <w:tc>
          <w:tcPr>
            <w:tcW w:w="563" w:type="pct"/>
            <w:vAlign w:val="center"/>
          </w:tcPr>
          <w:p w14:paraId="1665AAFE"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6</w:t>
            </w:r>
          </w:p>
        </w:tc>
        <w:tc>
          <w:tcPr>
            <w:tcW w:w="2329" w:type="pct"/>
            <w:vAlign w:val="center"/>
          </w:tcPr>
          <w:p w14:paraId="555D95A2"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青岛海西鸿皓源机电有限公司</w:t>
            </w:r>
          </w:p>
        </w:tc>
        <w:tc>
          <w:tcPr>
            <w:tcW w:w="1423" w:type="pct"/>
            <w:vAlign w:val="center"/>
          </w:tcPr>
          <w:p w14:paraId="02424D02"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172.74</w:t>
            </w:r>
          </w:p>
        </w:tc>
        <w:tc>
          <w:tcPr>
            <w:tcW w:w="685" w:type="pct"/>
            <w:vAlign w:val="center"/>
          </w:tcPr>
          <w:p w14:paraId="44910172"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3.79%</w:t>
            </w:r>
          </w:p>
        </w:tc>
      </w:tr>
      <w:tr w:rsidR="000A0ACD" w14:paraId="66467598" w14:textId="77777777">
        <w:trPr>
          <w:trHeight w:val="397"/>
        </w:trPr>
        <w:tc>
          <w:tcPr>
            <w:tcW w:w="563" w:type="pct"/>
            <w:vAlign w:val="center"/>
          </w:tcPr>
          <w:p w14:paraId="07B131AF"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7</w:t>
            </w:r>
          </w:p>
        </w:tc>
        <w:tc>
          <w:tcPr>
            <w:tcW w:w="2329" w:type="pct"/>
            <w:vAlign w:val="center"/>
          </w:tcPr>
          <w:p w14:paraId="33CBA838"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青岛环海新时代科技有限公司</w:t>
            </w:r>
          </w:p>
        </w:tc>
        <w:tc>
          <w:tcPr>
            <w:tcW w:w="1423" w:type="pct"/>
            <w:vAlign w:val="center"/>
          </w:tcPr>
          <w:p w14:paraId="2701352D"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170.91</w:t>
            </w:r>
          </w:p>
        </w:tc>
        <w:tc>
          <w:tcPr>
            <w:tcW w:w="685" w:type="pct"/>
            <w:vAlign w:val="center"/>
          </w:tcPr>
          <w:p w14:paraId="7461C81A"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3.75%</w:t>
            </w:r>
          </w:p>
        </w:tc>
      </w:tr>
      <w:tr w:rsidR="000A0ACD" w14:paraId="0E8EC975" w14:textId="77777777">
        <w:trPr>
          <w:trHeight w:val="397"/>
        </w:trPr>
        <w:tc>
          <w:tcPr>
            <w:tcW w:w="563" w:type="pct"/>
            <w:vAlign w:val="center"/>
          </w:tcPr>
          <w:p w14:paraId="381A34A4"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8</w:t>
            </w:r>
          </w:p>
        </w:tc>
        <w:tc>
          <w:tcPr>
            <w:tcW w:w="2329" w:type="pct"/>
            <w:vAlign w:val="center"/>
          </w:tcPr>
          <w:p w14:paraId="60624B0C"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上海松科快换自动化股份有限公司</w:t>
            </w:r>
          </w:p>
        </w:tc>
        <w:tc>
          <w:tcPr>
            <w:tcW w:w="1423" w:type="pct"/>
            <w:vAlign w:val="center"/>
          </w:tcPr>
          <w:p w14:paraId="35E5F289"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151.69</w:t>
            </w:r>
          </w:p>
        </w:tc>
        <w:tc>
          <w:tcPr>
            <w:tcW w:w="685" w:type="pct"/>
            <w:vAlign w:val="center"/>
          </w:tcPr>
          <w:p w14:paraId="5196502E"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3.32%</w:t>
            </w:r>
          </w:p>
        </w:tc>
      </w:tr>
      <w:tr w:rsidR="000A0ACD" w14:paraId="2CECF3E7" w14:textId="77777777">
        <w:trPr>
          <w:trHeight w:val="397"/>
        </w:trPr>
        <w:tc>
          <w:tcPr>
            <w:tcW w:w="563" w:type="pct"/>
            <w:vAlign w:val="center"/>
          </w:tcPr>
          <w:p w14:paraId="16D351B1"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9</w:t>
            </w:r>
          </w:p>
        </w:tc>
        <w:tc>
          <w:tcPr>
            <w:tcW w:w="2329" w:type="pct"/>
            <w:vAlign w:val="center"/>
          </w:tcPr>
          <w:p w14:paraId="43F1B204"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青岛信合泰物资有限公司</w:t>
            </w:r>
          </w:p>
        </w:tc>
        <w:tc>
          <w:tcPr>
            <w:tcW w:w="1423" w:type="pct"/>
            <w:vAlign w:val="center"/>
          </w:tcPr>
          <w:p w14:paraId="2A471E91"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142.87</w:t>
            </w:r>
          </w:p>
        </w:tc>
        <w:tc>
          <w:tcPr>
            <w:tcW w:w="685" w:type="pct"/>
            <w:vAlign w:val="center"/>
          </w:tcPr>
          <w:p w14:paraId="056C75B9"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3.13%</w:t>
            </w:r>
          </w:p>
        </w:tc>
      </w:tr>
      <w:tr w:rsidR="000A0ACD" w14:paraId="685A3566" w14:textId="77777777">
        <w:trPr>
          <w:trHeight w:val="397"/>
        </w:trPr>
        <w:tc>
          <w:tcPr>
            <w:tcW w:w="563" w:type="pct"/>
            <w:vAlign w:val="center"/>
          </w:tcPr>
          <w:p w14:paraId="1955B984"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10</w:t>
            </w:r>
          </w:p>
        </w:tc>
        <w:tc>
          <w:tcPr>
            <w:tcW w:w="2329" w:type="pct"/>
            <w:vAlign w:val="center"/>
          </w:tcPr>
          <w:p w14:paraId="08BAB334"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绍兴西爱西尔数控科技有限公司</w:t>
            </w:r>
          </w:p>
        </w:tc>
        <w:tc>
          <w:tcPr>
            <w:tcW w:w="1423" w:type="pct"/>
            <w:vAlign w:val="center"/>
          </w:tcPr>
          <w:p w14:paraId="7D7998D8"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129.95</w:t>
            </w:r>
          </w:p>
        </w:tc>
        <w:tc>
          <w:tcPr>
            <w:tcW w:w="685" w:type="pct"/>
            <w:vAlign w:val="center"/>
          </w:tcPr>
          <w:p w14:paraId="3CE99732"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2.85%</w:t>
            </w:r>
          </w:p>
        </w:tc>
      </w:tr>
      <w:tr w:rsidR="000A0ACD" w14:paraId="69384552" w14:textId="77777777">
        <w:trPr>
          <w:trHeight w:val="397"/>
        </w:trPr>
        <w:tc>
          <w:tcPr>
            <w:tcW w:w="2891" w:type="pct"/>
            <w:gridSpan w:val="2"/>
            <w:vAlign w:val="center"/>
          </w:tcPr>
          <w:p w14:paraId="67BF7AE5" w14:textId="77777777" w:rsidR="000A0ACD" w:rsidRPr="00D2687A" w:rsidRDefault="00362A99">
            <w:pPr>
              <w:jc w:val="center"/>
              <w:rPr>
                <w:rFonts w:ascii="Times New Roman" w:hAnsi="Times New Roman" w:cs="Times New Roman"/>
                <w:b/>
                <w:bCs/>
                <w:color w:val="000000"/>
                <w:sz w:val="21"/>
                <w:szCs w:val="21"/>
              </w:rPr>
            </w:pPr>
            <w:r w:rsidRPr="00D2687A">
              <w:rPr>
                <w:rFonts w:ascii="Times New Roman" w:hAnsi="Times New Roman" w:cs="Times New Roman" w:hint="eastAsia"/>
                <w:b/>
                <w:bCs/>
                <w:color w:val="000000"/>
                <w:sz w:val="21"/>
                <w:szCs w:val="21"/>
              </w:rPr>
              <w:t>合计</w:t>
            </w:r>
          </w:p>
        </w:tc>
        <w:tc>
          <w:tcPr>
            <w:tcW w:w="1423" w:type="pct"/>
            <w:vAlign w:val="center"/>
          </w:tcPr>
          <w:p w14:paraId="37DA9229" w14:textId="77777777" w:rsidR="000A0ACD" w:rsidRPr="00D2687A" w:rsidRDefault="00362A99">
            <w:pPr>
              <w:jc w:val="right"/>
              <w:rPr>
                <w:rFonts w:ascii="Times New Roman" w:hAnsi="Times New Roman" w:cs="Times New Roman"/>
                <w:b/>
                <w:bCs/>
                <w:color w:val="000000"/>
                <w:sz w:val="21"/>
                <w:szCs w:val="21"/>
              </w:rPr>
            </w:pPr>
            <w:r w:rsidRPr="00D2687A">
              <w:rPr>
                <w:rFonts w:ascii="Times New Roman" w:hAnsi="Times New Roman" w:cs="Times New Roman"/>
                <w:b/>
                <w:bCs/>
                <w:color w:val="000000"/>
                <w:sz w:val="21"/>
                <w:szCs w:val="21"/>
              </w:rPr>
              <w:t>2,391.25</w:t>
            </w:r>
          </w:p>
        </w:tc>
        <w:tc>
          <w:tcPr>
            <w:tcW w:w="685" w:type="pct"/>
            <w:vAlign w:val="center"/>
          </w:tcPr>
          <w:p w14:paraId="5726091B" w14:textId="77777777" w:rsidR="000A0ACD" w:rsidRPr="00D2687A" w:rsidRDefault="00362A99">
            <w:pPr>
              <w:jc w:val="right"/>
              <w:rPr>
                <w:rFonts w:ascii="Times New Roman" w:hAnsi="Times New Roman" w:cs="Times New Roman"/>
                <w:b/>
                <w:bCs/>
                <w:color w:val="000000"/>
                <w:sz w:val="21"/>
                <w:szCs w:val="21"/>
              </w:rPr>
            </w:pPr>
            <w:r w:rsidRPr="00D2687A">
              <w:rPr>
                <w:rFonts w:ascii="Times New Roman" w:hAnsi="Times New Roman" w:cs="Times New Roman"/>
                <w:b/>
                <w:bCs/>
                <w:color w:val="000000"/>
                <w:sz w:val="21"/>
                <w:szCs w:val="21"/>
              </w:rPr>
              <w:t>52.41%</w:t>
            </w:r>
          </w:p>
        </w:tc>
      </w:tr>
    </w:tbl>
    <w:p w14:paraId="2EC845F0" w14:textId="77777777" w:rsidR="000A0ACD" w:rsidRDefault="00362A99">
      <w:pPr>
        <w:spacing w:beforeLines="50" w:before="156" w:line="360" w:lineRule="auto"/>
        <w:ind w:firstLineChars="200" w:firstLine="482"/>
        <w:jc w:val="both"/>
        <w:rPr>
          <w:rFonts w:ascii="Times New Roman" w:hAnsi="Times New Roman" w:cs="Times New Roman"/>
          <w:b/>
          <w:bCs/>
          <w:color w:val="000000"/>
          <w:lang w:val="en-GB"/>
        </w:rPr>
      </w:pPr>
      <w:r>
        <w:rPr>
          <w:rFonts w:ascii="Times New Roman" w:hAnsi="Times New Roman" w:cs="Times New Roman"/>
          <w:b/>
          <w:bCs/>
          <w:color w:val="000000"/>
          <w:lang w:val="en-GB"/>
        </w:rPr>
        <w:t>2</w:t>
      </w:r>
      <w:r>
        <w:rPr>
          <w:rFonts w:ascii="Times New Roman" w:hAnsi="Times New Roman" w:cs="Times New Roman" w:hint="eastAsia"/>
          <w:b/>
          <w:bCs/>
          <w:color w:val="000000"/>
          <w:lang w:val="en-GB"/>
        </w:rPr>
        <w:t>、应付账款</w:t>
      </w:r>
    </w:p>
    <w:p w14:paraId="542FD849"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34"/>
        <w:gridCol w:w="1081"/>
        <w:gridCol w:w="1082"/>
        <w:gridCol w:w="1081"/>
        <w:gridCol w:w="1082"/>
        <w:gridCol w:w="1081"/>
        <w:gridCol w:w="1081"/>
      </w:tblGrid>
      <w:tr w:rsidR="000A0ACD" w14:paraId="1B815FA6" w14:textId="77777777">
        <w:trPr>
          <w:trHeight w:val="397"/>
          <w:tblHeader/>
        </w:trPr>
        <w:tc>
          <w:tcPr>
            <w:tcW w:w="1193" w:type="pct"/>
            <w:vMerge w:val="restart"/>
            <w:shd w:val="clear" w:color="auto" w:fill="auto"/>
            <w:vAlign w:val="center"/>
          </w:tcPr>
          <w:p w14:paraId="4A894907"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1269" w:type="pct"/>
            <w:gridSpan w:val="2"/>
            <w:shd w:val="clear" w:color="auto" w:fill="auto"/>
            <w:vAlign w:val="center"/>
          </w:tcPr>
          <w:p w14:paraId="0FC36996"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w:t>
            </w:r>
            <w:r>
              <w:rPr>
                <w:rFonts w:ascii="Times New Roman" w:hAnsi="Times New Roman" w:cs="Times New Roman"/>
                <w:b/>
                <w:bCs/>
                <w:color w:val="000000"/>
                <w:sz w:val="21"/>
                <w:szCs w:val="21"/>
              </w:rPr>
              <w:t>1</w:t>
            </w:r>
            <w:r>
              <w:rPr>
                <w:rFonts w:ascii="Times New Roman" w:hAnsi="Times New Roman" w:cs="Times New Roman" w:hint="eastAsia"/>
                <w:b/>
                <w:bCs/>
                <w:color w:val="000000"/>
                <w:sz w:val="21"/>
                <w:szCs w:val="21"/>
                <w:lang w:val="en-GB"/>
              </w:rPr>
              <w:t>日</w:t>
            </w:r>
          </w:p>
        </w:tc>
        <w:tc>
          <w:tcPr>
            <w:tcW w:w="1269" w:type="pct"/>
            <w:gridSpan w:val="2"/>
            <w:shd w:val="clear" w:color="auto" w:fill="auto"/>
            <w:vAlign w:val="center"/>
          </w:tcPr>
          <w:p w14:paraId="56B66360"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c>
          <w:tcPr>
            <w:tcW w:w="1268" w:type="pct"/>
            <w:gridSpan w:val="2"/>
            <w:shd w:val="clear" w:color="auto" w:fill="auto"/>
            <w:vAlign w:val="center"/>
          </w:tcPr>
          <w:p w14:paraId="2E0F4972"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r>
      <w:tr w:rsidR="000A0ACD" w14:paraId="1259DEE7" w14:textId="77777777">
        <w:trPr>
          <w:trHeight w:val="397"/>
          <w:tblHeader/>
        </w:trPr>
        <w:tc>
          <w:tcPr>
            <w:tcW w:w="1193" w:type="pct"/>
            <w:vMerge/>
            <w:shd w:val="clear" w:color="auto" w:fill="auto"/>
            <w:vAlign w:val="center"/>
          </w:tcPr>
          <w:p w14:paraId="4D3F36D9" w14:textId="77777777" w:rsidR="000A0ACD" w:rsidRDefault="000A0ACD">
            <w:pPr>
              <w:rPr>
                <w:rFonts w:ascii="Times New Roman" w:hAnsi="Times New Roman" w:cs="Times New Roman"/>
                <w:b/>
                <w:bCs/>
                <w:color w:val="000000"/>
                <w:sz w:val="21"/>
                <w:szCs w:val="21"/>
              </w:rPr>
            </w:pPr>
          </w:p>
        </w:tc>
        <w:tc>
          <w:tcPr>
            <w:tcW w:w="634" w:type="pct"/>
            <w:shd w:val="clear" w:color="auto" w:fill="auto"/>
            <w:noWrap/>
            <w:vAlign w:val="center"/>
          </w:tcPr>
          <w:p w14:paraId="0D2810FB"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金额</w:t>
            </w:r>
          </w:p>
        </w:tc>
        <w:tc>
          <w:tcPr>
            <w:tcW w:w="634" w:type="pct"/>
            <w:shd w:val="clear" w:color="auto" w:fill="auto"/>
            <w:noWrap/>
            <w:vAlign w:val="center"/>
          </w:tcPr>
          <w:p w14:paraId="5520211C"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比例</w:t>
            </w:r>
          </w:p>
        </w:tc>
        <w:tc>
          <w:tcPr>
            <w:tcW w:w="634" w:type="pct"/>
            <w:shd w:val="clear" w:color="auto" w:fill="auto"/>
            <w:noWrap/>
            <w:vAlign w:val="center"/>
          </w:tcPr>
          <w:p w14:paraId="4CA3044A"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金额</w:t>
            </w:r>
          </w:p>
        </w:tc>
        <w:tc>
          <w:tcPr>
            <w:tcW w:w="634" w:type="pct"/>
            <w:shd w:val="clear" w:color="auto" w:fill="auto"/>
            <w:noWrap/>
            <w:vAlign w:val="center"/>
          </w:tcPr>
          <w:p w14:paraId="24E871E9"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比例</w:t>
            </w:r>
          </w:p>
        </w:tc>
        <w:tc>
          <w:tcPr>
            <w:tcW w:w="634" w:type="pct"/>
            <w:shd w:val="clear" w:color="auto" w:fill="auto"/>
            <w:noWrap/>
            <w:vAlign w:val="center"/>
          </w:tcPr>
          <w:p w14:paraId="0466C81F"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金额</w:t>
            </w:r>
          </w:p>
        </w:tc>
        <w:tc>
          <w:tcPr>
            <w:tcW w:w="634" w:type="pct"/>
            <w:shd w:val="clear" w:color="auto" w:fill="auto"/>
            <w:noWrap/>
            <w:vAlign w:val="center"/>
          </w:tcPr>
          <w:p w14:paraId="761803E2"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比例</w:t>
            </w:r>
          </w:p>
        </w:tc>
      </w:tr>
      <w:tr w:rsidR="000A0ACD" w14:paraId="253574EE" w14:textId="77777777">
        <w:trPr>
          <w:trHeight w:val="397"/>
        </w:trPr>
        <w:tc>
          <w:tcPr>
            <w:tcW w:w="1193" w:type="pct"/>
            <w:shd w:val="clear" w:color="auto" w:fill="auto"/>
            <w:vAlign w:val="center"/>
          </w:tcPr>
          <w:p w14:paraId="1CC909AE" w14:textId="77777777" w:rsidR="000A0ACD" w:rsidRDefault="00362A99">
            <w:pPr>
              <w:ind w:rightChars="-43" w:right="-103"/>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年以内（含</w:t>
            </w: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w:t>
            </w:r>
          </w:p>
        </w:tc>
        <w:tc>
          <w:tcPr>
            <w:tcW w:w="634" w:type="pct"/>
            <w:shd w:val="clear" w:color="auto" w:fill="auto"/>
            <w:vAlign w:val="center"/>
          </w:tcPr>
          <w:p w14:paraId="67850FCE" w14:textId="77777777" w:rsidR="000A0ACD" w:rsidRDefault="00362A99">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4,572.96</w:t>
            </w:r>
          </w:p>
        </w:tc>
        <w:tc>
          <w:tcPr>
            <w:tcW w:w="634" w:type="pct"/>
            <w:shd w:val="clear" w:color="auto" w:fill="auto"/>
            <w:vAlign w:val="center"/>
          </w:tcPr>
          <w:p w14:paraId="76BC497E" w14:textId="77777777" w:rsidR="000A0ACD" w:rsidRDefault="00362A99">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93.43%</w:t>
            </w:r>
          </w:p>
        </w:tc>
        <w:tc>
          <w:tcPr>
            <w:tcW w:w="634" w:type="pct"/>
            <w:shd w:val="clear" w:color="auto" w:fill="auto"/>
            <w:vAlign w:val="center"/>
          </w:tcPr>
          <w:p w14:paraId="305C6A0D"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lang w:val="en-GB"/>
              </w:rPr>
              <w:t>1,585.61</w:t>
            </w:r>
          </w:p>
        </w:tc>
        <w:tc>
          <w:tcPr>
            <w:tcW w:w="634" w:type="pct"/>
            <w:shd w:val="clear" w:color="auto" w:fill="auto"/>
            <w:noWrap/>
            <w:vAlign w:val="center"/>
          </w:tcPr>
          <w:p w14:paraId="645D3130"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96.88%</w:t>
            </w:r>
          </w:p>
        </w:tc>
        <w:tc>
          <w:tcPr>
            <w:tcW w:w="634" w:type="pct"/>
            <w:shd w:val="clear" w:color="auto" w:fill="auto"/>
            <w:vAlign w:val="center"/>
          </w:tcPr>
          <w:p w14:paraId="6634EEA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320.95</w:t>
            </w:r>
          </w:p>
        </w:tc>
        <w:tc>
          <w:tcPr>
            <w:tcW w:w="634" w:type="pct"/>
            <w:shd w:val="clear" w:color="auto" w:fill="auto"/>
            <w:noWrap/>
            <w:vAlign w:val="center"/>
          </w:tcPr>
          <w:p w14:paraId="17B566C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58.62%</w:t>
            </w:r>
          </w:p>
        </w:tc>
      </w:tr>
      <w:tr w:rsidR="000A0ACD" w14:paraId="65BC59CB" w14:textId="77777777">
        <w:trPr>
          <w:trHeight w:val="397"/>
        </w:trPr>
        <w:tc>
          <w:tcPr>
            <w:tcW w:w="1193" w:type="pct"/>
            <w:shd w:val="clear" w:color="auto" w:fill="auto"/>
            <w:vAlign w:val="center"/>
          </w:tcPr>
          <w:p w14:paraId="0ED3999E"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1-2</w:t>
            </w:r>
            <w:r>
              <w:rPr>
                <w:rFonts w:ascii="Times New Roman" w:hAnsi="Times New Roman" w:cs="Times New Roman" w:hint="eastAsia"/>
                <w:color w:val="000000"/>
                <w:sz w:val="21"/>
                <w:szCs w:val="21"/>
                <w:lang w:val="en-GB"/>
              </w:rPr>
              <w:t>年（含</w:t>
            </w:r>
            <w:r>
              <w:rPr>
                <w:rFonts w:ascii="Times New Roman" w:hAnsi="Times New Roman" w:cs="Times New Roman" w:hint="eastAsia"/>
                <w:color w:val="000000"/>
                <w:sz w:val="21"/>
                <w:szCs w:val="21"/>
                <w:lang w:val="en-GB"/>
              </w:rPr>
              <w:t>2</w:t>
            </w:r>
            <w:r>
              <w:rPr>
                <w:rFonts w:ascii="Times New Roman" w:hAnsi="Times New Roman" w:cs="Times New Roman" w:hint="eastAsia"/>
                <w:color w:val="000000"/>
                <w:sz w:val="21"/>
                <w:szCs w:val="21"/>
                <w:lang w:val="en-GB"/>
              </w:rPr>
              <w:t>年）</w:t>
            </w:r>
          </w:p>
        </w:tc>
        <w:tc>
          <w:tcPr>
            <w:tcW w:w="634" w:type="pct"/>
            <w:shd w:val="clear" w:color="auto" w:fill="auto"/>
            <w:vAlign w:val="center"/>
          </w:tcPr>
          <w:p w14:paraId="66B8FCFE" w14:textId="77777777" w:rsidR="000A0ACD" w:rsidRDefault="00362A99">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301.26</w:t>
            </w:r>
          </w:p>
        </w:tc>
        <w:tc>
          <w:tcPr>
            <w:tcW w:w="634" w:type="pct"/>
            <w:shd w:val="clear" w:color="auto" w:fill="auto"/>
            <w:vAlign w:val="center"/>
          </w:tcPr>
          <w:p w14:paraId="61CE77C2" w14:textId="77777777" w:rsidR="000A0ACD" w:rsidRDefault="00362A99">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6.15%</w:t>
            </w:r>
          </w:p>
        </w:tc>
        <w:tc>
          <w:tcPr>
            <w:tcW w:w="634" w:type="pct"/>
            <w:shd w:val="clear" w:color="auto" w:fill="auto"/>
            <w:vAlign w:val="center"/>
          </w:tcPr>
          <w:p w14:paraId="48D5455D"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lang w:val="en-GB"/>
              </w:rPr>
              <w:t>14.97</w:t>
            </w:r>
          </w:p>
        </w:tc>
        <w:tc>
          <w:tcPr>
            <w:tcW w:w="634" w:type="pct"/>
            <w:shd w:val="clear" w:color="auto" w:fill="auto"/>
            <w:noWrap/>
            <w:vAlign w:val="center"/>
          </w:tcPr>
          <w:p w14:paraId="38D2CC3D"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0.91%</w:t>
            </w:r>
          </w:p>
        </w:tc>
        <w:tc>
          <w:tcPr>
            <w:tcW w:w="634" w:type="pct"/>
            <w:shd w:val="clear" w:color="auto" w:fill="auto"/>
            <w:vAlign w:val="center"/>
          </w:tcPr>
          <w:p w14:paraId="09F216A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226.60</w:t>
            </w:r>
          </w:p>
        </w:tc>
        <w:tc>
          <w:tcPr>
            <w:tcW w:w="634" w:type="pct"/>
            <w:shd w:val="clear" w:color="auto" w:fill="auto"/>
            <w:noWrap/>
            <w:vAlign w:val="center"/>
          </w:tcPr>
          <w:p w14:paraId="275AE97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41.38%</w:t>
            </w:r>
          </w:p>
        </w:tc>
      </w:tr>
      <w:tr w:rsidR="000A0ACD" w14:paraId="4B974F8F" w14:textId="77777777">
        <w:trPr>
          <w:trHeight w:val="397"/>
        </w:trPr>
        <w:tc>
          <w:tcPr>
            <w:tcW w:w="1193" w:type="pct"/>
            <w:shd w:val="clear" w:color="auto" w:fill="auto"/>
            <w:vAlign w:val="center"/>
          </w:tcPr>
          <w:p w14:paraId="05CDA47B"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2-3</w:t>
            </w:r>
            <w:r>
              <w:rPr>
                <w:rFonts w:ascii="Times New Roman" w:hAnsi="Times New Roman" w:cs="Times New Roman" w:hint="eastAsia"/>
                <w:color w:val="000000"/>
                <w:sz w:val="21"/>
                <w:szCs w:val="21"/>
                <w:lang w:val="en-GB"/>
              </w:rPr>
              <w:t>年（含</w:t>
            </w:r>
            <w:r>
              <w:rPr>
                <w:rFonts w:ascii="Times New Roman" w:hAnsi="Times New Roman" w:cs="Times New Roman" w:hint="eastAsia"/>
                <w:color w:val="000000"/>
                <w:sz w:val="21"/>
                <w:szCs w:val="21"/>
                <w:lang w:val="en-GB"/>
              </w:rPr>
              <w:t>3</w:t>
            </w:r>
            <w:r>
              <w:rPr>
                <w:rFonts w:ascii="Times New Roman" w:hAnsi="Times New Roman" w:cs="Times New Roman" w:hint="eastAsia"/>
                <w:color w:val="000000"/>
                <w:sz w:val="21"/>
                <w:szCs w:val="21"/>
                <w:lang w:val="en-GB"/>
              </w:rPr>
              <w:t>年）</w:t>
            </w:r>
          </w:p>
        </w:tc>
        <w:tc>
          <w:tcPr>
            <w:tcW w:w="634" w:type="pct"/>
            <w:shd w:val="clear" w:color="auto" w:fill="auto"/>
            <w:vAlign w:val="center"/>
          </w:tcPr>
          <w:p w14:paraId="3D2BAD18" w14:textId="77777777" w:rsidR="000A0ACD" w:rsidRDefault="00362A99">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5.84</w:t>
            </w:r>
          </w:p>
        </w:tc>
        <w:tc>
          <w:tcPr>
            <w:tcW w:w="634" w:type="pct"/>
            <w:shd w:val="clear" w:color="auto" w:fill="auto"/>
            <w:vAlign w:val="center"/>
          </w:tcPr>
          <w:p w14:paraId="4F9C4437" w14:textId="77777777" w:rsidR="000A0ACD" w:rsidRDefault="00362A99">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0.12%</w:t>
            </w:r>
          </w:p>
        </w:tc>
        <w:tc>
          <w:tcPr>
            <w:tcW w:w="634" w:type="pct"/>
            <w:shd w:val="clear" w:color="auto" w:fill="auto"/>
            <w:vAlign w:val="center"/>
          </w:tcPr>
          <w:p w14:paraId="38F1CB4C"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lang w:val="en-GB"/>
              </w:rPr>
              <w:t>36.05</w:t>
            </w:r>
          </w:p>
        </w:tc>
        <w:tc>
          <w:tcPr>
            <w:tcW w:w="634" w:type="pct"/>
            <w:shd w:val="clear" w:color="auto" w:fill="auto"/>
            <w:noWrap/>
            <w:vAlign w:val="center"/>
          </w:tcPr>
          <w:p w14:paraId="2F10E9DE"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2.20%</w:t>
            </w:r>
          </w:p>
        </w:tc>
        <w:tc>
          <w:tcPr>
            <w:tcW w:w="634" w:type="pct"/>
            <w:shd w:val="clear" w:color="auto" w:fill="auto"/>
            <w:vAlign w:val="center"/>
          </w:tcPr>
          <w:p w14:paraId="36E8B98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34" w:type="pct"/>
            <w:shd w:val="clear" w:color="auto" w:fill="auto"/>
            <w:noWrap/>
            <w:vAlign w:val="center"/>
          </w:tcPr>
          <w:p w14:paraId="1922154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0A0ACD" w14:paraId="633BA207" w14:textId="77777777">
        <w:trPr>
          <w:trHeight w:val="397"/>
        </w:trPr>
        <w:tc>
          <w:tcPr>
            <w:tcW w:w="1193" w:type="pct"/>
            <w:shd w:val="clear" w:color="auto" w:fill="auto"/>
            <w:vAlign w:val="center"/>
          </w:tcPr>
          <w:p w14:paraId="06D40A14" w14:textId="77777777" w:rsidR="000A0ACD" w:rsidRDefault="00362A99">
            <w:pPr>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3-4</w:t>
            </w:r>
            <w:r>
              <w:rPr>
                <w:rFonts w:ascii="Times New Roman" w:hAnsi="Times New Roman" w:cs="Times New Roman" w:hint="eastAsia"/>
                <w:color w:val="000000"/>
                <w:sz w:val="21"/>
                <w:szCs w:val="21"/>
                <w:lang w:val="en-GB"/>
              </w:rPr>
              <w:t>年（含</w:t>
            </w:r>
            <w:r>
              <w:rPr>
                <w:rFonts w:ascii="Times New Roman" w:hAnsi="Times New Roman" w:cs="Times New Roman" w:hint="eastAsia"/>
                <w:color w:val="000000"/>
                <w:sz w:val="21"/>
                <w:szCs w:val="21"/>
                <w:lang w:val="en-GB"/>
              </w:rPr>
              <w:t>4</w:t>
            </w:r>
            <w:r>
              <w:rPr>
                <w:rFonts w:ascii="Times New Roman" w:hAnsi="Times New Roman" w:cs="Times New Roman" w:hint="eastAsia"/>
                <w:color w:val="000000"/>
                <w:sz w:val="21"/>
                <w:szCs w:val="21"/>
                <w:lang w:val="en-GB"/>
              </w:rPr>
              <w:t>年）</w:t>
            </w:r>
          </w:p>
        </w:tc>
        <w:tc>
          <w:tcPr>
            <w:tcW w:w="634" w:type="pct"/>
            <w:shd w:val="clear" w:color="auto" w:fill="auto"/>
            <w:vAlign w:val="center"/>
          </w:tcPr>
          <w:p w14:paraId="0F934EAD" w14:textId="77777777" w:rsidR="000A0ACD" w:rsidRDefault="00362A99">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14.49</w:t>
            </w:r>
          </w:p>
        </w:tc>
        <w:tc>
          <w:tcPr>
            <w:tcW w:w="634" w:type="pct"/>
            <w:shd w:val="clear" w:color="auto" w:fill="auto"/>
            <w:vAlign w:val="center"/>
          </w:tcPr>
          <w:p w14:paraId="213DF92C" w14:textId="77777777" w:rsidR="000A0ACD" w:rsidRDefault="00362A99">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0.30%</w:t>
            </w:r>
          </w:p>
        </w:tc>
        <w:tc>
          <w:tcPr>
            <w:tcW w:w="634" w:type="pct"/>
            <w:shd w:val="clear" w:color="auto" w:fill="auto"/>
            <w:vAlign w:val="center"/>
          </w:tcPr>
          <w:p w14:paraId="618CDAE8" w14:textId="77777777" w:rsidR="000A0ACD" w:rsidRDefault="000A0ACD">
            <w:pPr>
              <w:jc w:val="right"/>
              <w:rPr>
                <w:rFonts w:ascii="Times New Roman" w:eastAsia="等线" w:hAnsi="Times New Roman" w:cs="Times New Roman"/>
                <w:color w:val="000000"/>
                <w:sz w:val="21"/>
                <w:szCs w:val="21"/>
                <w:lang w:val="en-GB"/>
              </w:rPr>
            </w:pPr>
          </w:p>
        </w:tc>
        <w:tc>
          <w:tcPr>
            <w:tcW w:w="634" w:type="pct"/>
            <w:shd w:val="clear" w:color="auto" w:fill="auto"/>
            <w:noWrap/>
            <w:vAlign w:val="center"/>
          </w:tcPr>
          <w:p w14:paraId="73B6F2E2" w14:textId="77777777" w:rsidR="000A0ACD" w:rsidRDefault="000A0ACD">
            <w:pPr>
              <w:jc w:val="right"/>
              <w:rPr>
                <w:rFonts w:ascii="Times New Roman" w:eastAsia="等线" w:hAnsi="Times New Roman" w:cs="Times New Roman"/>
                <w:color w:val="000000"/>
                <w:sz w:val="21"/>
                <w:szCs w:val="21"/>
              </w:rPr>
            </w:pPr>
          </w:p>
        </w:tc>
        <w:tc>
          <w:tcPr>
            <w:tcW w:w="634" w:type="pct"/>
            <w:shd w:val="clear" w:color="auto" w:fill="auto"/>
            <w:vAlign w:val="center"/>
          </w:tcPr>
          <w:p w14:paraId="4C90CAED" w14:textId="77777777" w:rsidR="000A0ACD" w:rsidRDefault="000A0ACD">
            <w:pPr>
              <w:jc w:val="right"/>
              <w:rPr>
                <w:rFonts w:ascii="Times New Roman" w:hAnsi="Times New Roman" w:cs="Times New Roman"/>
                <w:color w:val="000000"/>
                <w:sz w:val="21"/>
                <w:szCs w:val="21"/>
              </w:rPr>
            </w:pPr>
          </w:p>
        </w:tc>
        <w:tc>
          <w:tcPr>
            <w:tcW w:w="634" w:type="pct"/>
            <w:shd w:val="clear" w:color="auto" w:fill="auto"/>
            <w:noWrap/>
            <w:vAlign w:val="center"/>
          </w:tcPr>
          <w:p w14:paraId="69C5C5A1" w14:textId="77777777" w:rsidR="000A0ACD" w:rsidRDefault="000A0ACD">
            <w:pPr>
              <w:jc w:val="right"/>
              <w:rPr>
                <w:rFonts w:ascii="Times New Roman" w:hAnsi="Times New Roman" w:cs="Times New Roman"/>
                <w:color w:val="000000"/>
                <w:sz w:val="21"/>
                <w:szCs w:val="21"/>
              </w:rPr>
            </w:pPr>
          </w:p>
        </w:tc>
      </w:tr>
      <w:tr w:rsidR="000A0ACD" w14:paraId="7C62D78D" w14:textId="77777777">
        <w:trPr>
          <w:trHeight w:val="397"/>
        </w:trPr>
        <w:tc>
          <w:tcPr>
            <w:tcW w:w="1193" w:type="pct"/>
            <w:shd w:val="clear" w:color="auto" w:fill="auto"/>
            <w:vAlign w:val="center"/>
          </w:tcPr>
          <w:p w14:paraId="01C3E001"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634" w:type="pct"/>
            <w:shd w:val="clear" w:color="auto" w:fill="auto"/>
            <w:vAlign w:val="center"/>
          </w:tcPr>
          <w:p w14:paraId="52754AB2" w14:textId="77777777" w:rsidR="000A0ACD" w:rsidRDefault="00362A99">
            <w:pPr>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4,894.55</w:t>
            </w:r>
          </w:p>
        </w:tc>
        <w:tc>
          <w:tcPr>
            <w:tcW w:w="634" w:type="pct"/>
            <w:shd w:val="clear" w:color="auto" w:fill="auto"/>
            <w:vAlign w:val="center"/>
          </w:tcPr>
          <w:p w14:paraId="78BF81AE" w14:textId="77777777" w:rsidR="000A0ACD" w:rsidRDefault="00362A99">
            <w:pPr>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100.00%</w:t>
            </w:r>
          </w:p>
        </w:tc>
        <w:tc>
          <w:tcPr>
            <w:tcW w:w="634" w:type="pct"/>
            <w:shd w:val="clear" w:color="auto" w:fill="auto"/>
            <w:vAlign w:val="center"/>
          </w:tcPr>
          <w:p w14:paraId="65DEDA15" w14:textId="77777777" w:rsidR="000A0ACD" w:rsidRDefault="00362A99">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lang w:val="en-GB"/>
              </w:rPr>
              <w:t>1,636.63</w:t>
            </w:r>
          </w:p>
        </w:tc>
        <w:tc>
          <w:tcPr>
            <w:tcW w:w="634" w:type="pct"/>
            <w:shd w:val="clear" w:color="auto" w:fill="auto"/>
            <w:noWrap/>
            <w:vAlign w:val="center"/>
          </w:tcPr>
          <w:p w14:paraId="31614ACB" w14:textId="77777777" w:rsidR="000A0ACD" w:rsidRDefault="00362A99">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100.00%</w:t>
            </w:r>
          </w:p>
        </w:tc>
        <w:tc>
          <w:tcPr>
            <w:tcW w:w="634" w:type="pct"/>
            <w:shd w:val="clear" w:color="auto" w:fill="auto"/>
            <w:vAlign w:val="center"/>
          </w:tcPr>
          <w:p w14:paraId="7C7F2E8D"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547.55</w:t>
            </w:r>
          </w:p>
        </w:tc>
        <w:tc>
          <w:tcPr>
            <w:tcW w:w="634" w:type="pct"/>
            <w:shd w:val="clear" w:color="auto" w:fill="auto"/>
            <w:noWrap/>
            <w:vAlign w:val="center"/>
          </w:tcPr>
          <w:p w14:paraId="3629CB23"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r>
    </w:tbl>
    <w:p w14:paraId="76F43441"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报告期各期末，标的公司应付账款余额分别为</w:t>
      </w:r>
      <w:r>
        <w:rPr>
          <w:rFonts w:ascii="Times New Roman" w:hAnsi="Times New Roman" w:cs="Times New Roman"/>
          <w:bCs/>
          <w:color w:val="000000"/>
          <w:lang w:val="en-GB"/>
        </w:rPr>
        <w:t>547.55</w:t>
      </w:r>
      <w:r>
        <w:rPr>
          <w:rFonts w:ascii="Times New Roman" w:hAnsi="Times New Roman" w:cs="Times New Roman" w:hint="eastAsia"/>
          <w:bCs/>
          <w:color w:val="000000"/>
          <w:lang w:val="en-GB"/>
        </w:rPr>
        <w:t>万元、</w:t>
      </w:r>
      <w:r>
        <w:rPr>
          <w:rFonts w:ascii="Times New Roman" w:hAnsi="Times New Roman" w:cs="Times New Roman"/>
          <w:bCs/>
          <w:color w:val="000000"/>
          <w:lang w:val="en-GB"/>
        </w:rPr>
        <w:t>1,636.63</w:t>
      </w:r>
      <w:r>
        <w:rPr>
          <w:rFonts w:ascii="Times New Roman" w:hAnsi="Times New Roman" w:cs="Times New Roman" w:hint="eastAsia"/>
          <w:bCs/>
          <w:color w:val="000000"/>
          <w:lang w:val="en-GB"/>
        </w:rPr>
        <w:t>万元和</w:t>
      </w:r>
      <w:r>
        <w:rPr>
          <w:rFonts w:ascii="Times New Roman" w:hAnsi="Times New Roman" w:cs="Times New Roman"/>
          <w:bCs/>
          <w:color w:val="000000"/>
          <w:lang w:val="en-GB"/>
        </w:rPr>
        <w:t>4,894.55</w:t>
      </w:r>
      <w:r>
        <w:rPr>
          <w:rFonts w:ascii="Times New Roman" w:hAnsi="Times New Roman" w:cs="Times New Roman" w:hint="eastAsia"/>
          <w:bCs/>
          <w:color w:val="000000"/>
          <w:lang w:val="en-GB"/>
        </w:rPr>
        <w:t>万元，占总负债的比例分别为</w:t>
      </w:r>
      <w:r>
        <w:rPr>
          <w:rFonts w:ascii="Times New Roman" w:hAnsi="Times New Roman" w:cs="Times New Roman"/>
          <w:bCs/>
          <w:color w:val="000000"/>
          <w:lang w:val="en-GB"/>
        </w:rPr>
        <w:t>16.08%</w:t>
      </w:r>
      <w:r>
        <w:rPr>
          <w:rFonts w:ascii="Times New Roman" w:hAnsi="Times New Roman" w:cs="Times New Roman" w:hint="eastAsia"/>
          <w:bCs/>
          <w:color w:val="000000"/>
          <w:lang w:val="en-GB"/>
        </w:rPr>
        <w:t>、</w:t>
      </w:r>
      <w:r>
        <w:rPr>
          <w:rFonts w:ascii="Times New Roman" w:hAnsi="Times New Roman" w:cs="Times New Roman"/>
          <w:bCs/>
          <w:color w:val="000000"/>
          <w:lang w:val="en-GB"/>
        </w:rPr>
        <w:t>43.67%</w:t>
      </w:r>
      <w:r>
        <w:rPr>
          <w:rFonts w:ascii="Times New Roman" w:hAnsi="Times New Roman" w:cs="Times New Roman" w:hint="eastAsia"/>
          <w:bCs/>
          <w:color w:val="000000"/>
          <w:lang w:val="en-GB"/>
        </w:rPr>
        <w:t>和</w:t>
      </w:r>
      <w:r>
        <w:rPr>
          <w:rFonts w:ascii="Times New Roman" w:hAnsi="Times New Roman" w:cs="Times New Roman"/>
          <w:bCs/>
          <w:color w:val="000000"/>
          <w:lang w:val="en-GB"/>
        </w:rPr>
        <w:t>26.61%</w:t>
      </w:r>
      <w:r>
        <w:rPr>
          <w:rFonts w:ascii="Times New Roman" w:hAnsi="Times New Roman" w:cs="Times New Roman" w:hint="eastAsia"/>
          <w:bCs/>
          <w:color w:val="000000"/>
          <w:lang w:val="en-GB"/>
        </w:rPr>
        <w:t>。报告期内，标的公司应付账款余额持续增长，主要系标的公司新增订单较多，向供应商采购相应增加所致。截至</w:t>
      </w:r>
      <w:r>
        <w:rPr>
          <w:rFonts w:ascii="Times New Roman" w:hAnsi="Times New Roman" w:cs="Times New Roman"/>
          <w:bCs/>
          <w:color w:val="000000"/>
          <w:lang w:val="en-GB"/>
        </w:rPr>
        <w:t>2020</w:t>
      </w:r>
      <w:r>
        <w:rPr>
          <w:rFonts w:ascii="Times New Roman" w:hAnsi="Times New Roman" w:cs="Times New Roman" w:hint="eastAsia"/>
          <w:bCs/>
          <w:color w:val="000000"/>
          <w:lang w:val="en-GB"/>
        </w:rPr>
        <w:t>年</w:t>
      </w:r>
      <w:r>
        <w:rPr>
          <w:rFonts w:ascii="Times New Roman" w:hAnsi="Times New Roman" w:cs="Times New Roman"/>
          <w:bCs/>
          <w:color w:val="000000"/>
          <w:lang w:val="en-GB"/>
        </w:rPr>
        <w:t>12</w:t>
      </w:r>
      <w:r>
        <w:rPr>
          <w:rFonts w:ascii="Times New Roman" w:hAnsi="Times New Roman" w:cs="Times New Roman" w:hint="eastAsia"/>
          <w:bCs/>
          <w:color w:val="000000"/>
          <w:lang w:val="en-GB"/>
        </w:rPr>
        <w:t>月</w:t>
      </w:r>
      <w:r>
        <w:rPr>
          <w:rFonts w:ascii="Times New Roman" w:hAnsi="Times New Roman" w:cs="Times New Roman"/>
          <w:bCs/>
          <w:color w:val="000000"/>
          <w:lang w:val="en-GB"/>
        </w:rPr>
        <w:t>31</w:t>
      </w:r>
      <w:r>
        <w:rPr>
          <w:rFonts w:ascii="Times New Roman" w:hAnsi="Times New Roman" w:cs="Times New Roman" w:hint="eastAsia"/>
          <w:bCs/>
          <w:color w:val="000000"/>
          <w:lang w:val="en-GB"/>
        </w:rPr>
        <w:t>日，北洋天青应付账款余额占比前五的供应商情况具体如下：</w:t>
      </w:r>
    </w:p>
    <w:p w14:paraId="1185A185"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000000"/>
          <w:insideV w:val="single" w:sz="4" w:space="0" w:color="000000"/>
        </w:tblBorders>
        <w:tblCellMar>
          <w:top w:w="15" w:type="dxa"/>
          <w:bottom w:w="15" w:type="dxa"/>
        </w:tblCellMar>
        <w:tblLook w:val="04A0" w:firstRow="1" w:lastRow="0" w:firstColumn="1" w:lastColumn="0" w:noHBand="0" w:noVBand="1"/>
      </w:tblPr>
      <w:tblGrid>
        <w:gridCol w:w="799"/>
        <w:gridCol w:w="4238"/>
        <w:gridCol w:w="2586"/>
        <w:gridCol w:w="899"/>
      </w:tblGrid>
      <w:tr w:rsidR="000A0ACD" w14:paraId="566643C1" w14:textId="77777777">
        <w:trPr>
          <w:trHeight w:val="397"/>
          <w:tblHeader/>
        </w:trPr>
        <w:tc>
          <w:tcPr>
            <w:tcW w:w="478" w:type="pct"/>
            <w:vAlign w:val="center"/>
          </w:tcPr>
          <w:p w14:paraId="2AAF4311" w14:textId="77777777" w:rsidR="000A0ACD" w:rsidRPr="00D2687A" w:rsidRDefault="00362A99">
            <w:pPr>
              <w:jc w:val="center"/>
              <w:rPr>
                <w:rFonts w:ascii="Times New Roman" w:hAnsi="Times New Roman" w:cs="Times New Roman"/>
                <w:b/>
                <w:bCs/>
                <w:color w:val="000000"/>
                <w:sz w:val="21"/>
                <w:szCs w:val="21"/>
              </w:rPr>
            </w:pPr>
            <w:r w:rsidRPr="00D2687A">
              <w:rPr>
                <w:rFonts w:ascii="Times New Roman" w:hAnsi="Times New Roman" w:cs="Times New Roman" w:hint="eastAsia"/>
                <w:b/>
                <w:bCs/>
                <w:color w:val="000000"/>
                <w:sz w:val="21"/>
                <w:szCs w:val="21"/>
              </w:rPr>
              <w:t>序号</w:t>
            </w:r>
          </w:p>
        </w:tc>
        <w:tc>
          <w:tcPr>
            <w:tcW w:w="2495" w:type="pct"/>
            <w:vAlign w:val="center"/>
          </w:tcPr>
          <w:p w14:paraId="20ACB9B8" w14:textId="77777777" w:rsidR="000A0ACD" w:rsidRPr="00D2687A" w:rsidRDefault="00362A99">
            <w:pPr>
              <w:jc w:val="center"/>
              <w:rPr>
                <w:rFonts w:ascii="Times New Roman" w:hAnsi="Times New Roman" w:cs="Times New Roman"/>
                <w:b/>
                <w:bCs/>
                <w:color w:val="000000"/>
                <w:sz w:val="21"/>
                <w:szCs w:val="21"/>
              </w:rPr>
            </w:pPr>
            <w:r w:rsidRPr="00D2687A">
              <w:rPr>
                <w:rFonts w:ascii="Times New Roman" w:hAnsi="Times New Roman" w:cs="Times New Roman" w:hint="eastAsia"/>
                <w:b/>
                <w:bCs/>
                <w:color w:val="000000"/>
                <w:sz w:val="21"/>
                <w:szCs w:val="21"/>
              </w:rPr>
              <w:t>供应商名称</w:t>
            </w:r>
          </w:p>
        </w:tc>
        <w:tc>
          <w:tcPr>
            <w:tcW w:w="1526" w:type="pct"/>
            <w:vAlign w:val="center"/>
          </w:tcPr>
          <w:p w14:paraId="1D5D99D1" w14:textId="77777777" w:rsidR="000A0ACD" w:rsidRPr="00D2687A" w:rsidRDefault="00362A99">
            <w:pPr>
              <w:jc w:val="center"/>
              <w:rPr>
                <w:rFonts w:ascii="Times New Roman" w:hAnsi="Times New Roman" w:cs="Times New Roman"/>
                <w:b/>
                <w:bCs/>
                <w:color w:val="000000"/>
                <w:sz w:val="21"/>
                <w:szCs w:val="21"/>
              </w:rPr>
            </w:pPr>
            <w:r w:rsidRPr="00D2687A">
              <w:rPr>
                <w:rFonts w:ascii="Times New Roman" w:hAnsi="Times New Roman" w:cs="Times New Roman"/>
                <w:b/>
                <w:bCs/>
                <w:color w:val="000000"/>
                <w:sz w:val="21"/>
                <w:szCs w:val="21"/>
              </w:rPr>
              <w:t>2020</w:t>
            </w:r>
            <w:r w:rsidRPr="00D2687A">
              <w:rPr>
                <w:rFonts w:ascii="Times New Roman" w:hAnsi="Times New Roman" w:cs="Times New Roman"/>
                <w:b/>
                <w:bCs/>
                <w:color w:val="000000"/>
                <w:sz w:val="21"/>
                <w:szCs w:val="21"/>
              </w:rPr>
              <w:t>年</w:t>
            </w:r>
            <w:r w:rsidRPr="00D2687A">
              <w:rPr>
                <w:rFonts w:ascii="Times New Roman" w:hAnsi="Times New Roman" w:cs="Times New Roman"/>
                <w:b/>
                <w:bCs/>
                <w:color w:val="000000"/>
                <w:sz w:val="21"/>
                <w:szCs w:val="21"/>
              </w:rPr>
              <w:t>12</w:t>
            </w:r>
            <w:r w:rsidRPr="00D2687A">
              <w:rPr>
                <w:rFonts w:ascii="Times New Roman" w:hAnsi="Times New Roman" w:cs="Times New Roman"/>
                <w:b/>
                <w:bCs/>
                <w:color w:val="000000"/>
                <w:sz w:val="21"/>
                <w:szCs w:val="21"/>
              </w:rPr>
              <w:t>月</w:t>
            </w:r>
            <w:r w:rsidRPr="00D2687A">
              <w:rPr>
                <w:rFonts w:ascii="Times New Roman" w:hAnsi="Times New Roman" w:cs="Times New Roman"/>
                <w:b/>
                <w:bCs/>
                <w:color w:val="000000"/>
                <w:sz w:val="21"/>
                <w:szCs w:val="21"/>
              </w:rPr>
              <w:t>31</w:t>
            </w:r>
            <w:r w:rsidRPr="00D2687A">
              <w:rPr>
                <w:rFonts w:ascii="Times New Roman" w:hAnsi="Times New Roman" w:cs="Times New Roman"/>
                <w:b/>
                <w:bCs/>
                <w:color w:val="000000"/>
                <w:sz w:val="21"/>
                <w:szCs w:val="21"/>
              </w:rPr>
              <w:t>日余额</w:t>
            </w:r>
          </w:p>
        </w:tc>
        <w:tc>
          <w:tcPr>
            <w:tcW w:w="499" w:type="pct"/>
            <w:vAlign w:val="center"/>
          </w:tcPr>
          <w:p w14:paraId="2AE2B5D4" w14:textId="77777777" w:rsidR="000A0ACD" w:rsidRPr="00D2687A" w:rsidRDefault="00362A99">
            <w:pPr>
              <w:jc w:val="center"/>
              <w:rPr>
                <w:rFonts w:ascii="Times New Roman" w:hAnsi="Times New Roman" w:cs="Times New Roman"/>
                <w:b/>
                <w:bCs/>
                <w:color w:val="000000"/>
                <w:sz w:val="21"/>
                <w:szCs w:val="21"/>
              </w:rPr>
            </w:pPr>
            <w:r w:rsidRPr="00D2687A">
              <w:rPr>
                <w:rFonts w:ascii="Times New Roman" w:hAnsi="Times New Roman" w:cs="Times New Roman" w:hint="eastAsia"/>
                <w:b/>
                <w:bCs/>
                <w:color w:val="000000"/>
                <w:sz w:val="21"/>
                <w:szCs w:val="21"/>
              </w:rPr>
              <w:t>占比</w:t>
            </w:r>
          </w:p>
        </w:tc>
      </w:tr>
      <w:tr w:rsidR="000A0ACD" w14:paraId="3C959BEA" w14:textId="77777777">
        <w:trPr>
          <w:trHeight w:val="397"/>
        </w:trPr>
        <w:tc>
          <w:tcPr>
            <w:tcW w:w="478" w:type="pct"/>
            <w:vAlign w:val="center"/>
          </w:tcPr>
          <w:p w14:paraId="2C4236BB"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1</w:t>
            </w:r>
          </w:p>
        </w:tc>
        <w:tc>
          <w:tcPr>
            <w:tcW w:w="2495" w:type="pct"/>
            <w:vAlign w:val="center"/>
          </w:tcPr>
          <w:p w14:paraId="033A61D4"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北京机械工业自动化研究所有限公司</w:t>
            </w:r>
          </w:p>
        </w:tc>
        <w:tc>
          <w:tcPr>
            <w:tcW w:w="1526" w:type="pct"/>
            <w:vAlign w:val="center"/>
          </w:tcPr>
          <w:p w14:paraId="71C7B6D6"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647.17</w:t>
            </w:r>
          </w:p>
        </w:tc>
        <w:tc>
          <w:tcPr>
            <w:tcW w:w="499" w:type="pct"/>
            <w:vAlign w:val="center"/>
          </w:tcPr>
          <w:p w14:paraId="15BE321F"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13.22%</w:t>
            </w:r>
          </w:p>
        </w:tc>
      </w:tr>
      <w:tr w:rsidR="000A0ACD" w14:paraId="1F769A8B" w14:textId="77777777">
        <w:trPr>
          <w:trHeight w:val="397"/>
        </w:trPr>
        <w:tc>
          <w:tcPr>
            <w:tcW w:w="478" w:type="pct"/>
            <w:vAlign w:val="center"/>
          </w:tcPr>
          <w:p w14:paraId="528B32E1"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2</w:t>
            </w:r>
          </w:p>
        </w:tc>
        <w:tc>
          <w:tcPr>
            <w:tcW w:w="2495" w:type="pct"/>
            <w:vAlign w:val="center"/>
          </w:tcPr>
          <w:p w14:paraId="412BB788"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沃得精机（中国）有限公司</w:t>
            </w:r>
          </w:p>
        </w:tc>
        <w:tc>
          <w:tcPr>
            <w:tcW w:w="1526" w:type="pct"/>
            <w:vAlign w:val="center"/>
          </w:tcPr>
          <w:p w14:paraId="452CB56C"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520.47</w:t>
            </w:r>
          </w:p>
        </w:tc>
        <w:tc>
          <w:tcPr>
            <w:tcW w:w="499" w:type="pct"/>
            <w:vAlign w:val="center"/>
          </w:tcPr>
          <w:p w14:paraId="5F38C1FB"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10.63%</w:t>
            </w:r>
          </w:p>
        </w:tc>
      </w:tr>
      <w:tr w:rsidR="000A0ACD" w14:paraId="4FAC2392" w14:textId="77777777">
        <w:trPr>
          <w:trHeight w:val="397"/>
        </w:trPr>
        <w:tc>
          <w:tcPr>
            <w:tcW w:w="478" w:type="pct"/>
            <w:vAlign w:val="center"/>
          </w:tcPr>
          <w:p w14:paraId="2413909A"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3</w:t>
            </w:r>
          </w:p>
        </w:tc>
        <w:tc>
          <w:tcPr>
            <w:tcW w:w="2495" w:type="pct"/>
            <w:vAlign w:val="center"/>
          </w:tcPr>
          <w:p w14:paraId="1D9F3013"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绍兴西爱西尔数控科技有限公司</w:t>
            </w:r>
          </w:p>
        </w:tc>
        <w:tc>
          <w:tcPr>
            <w:tcW w:w="1526" w:type="pct"/>
            <w:vAlign w:val="center"/>
          </w:tcPr>
          <w:p w14:paraId="7F04115B"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216.27</w:t>
            </w:r>
          </w:p>
        </w:tc>
        <w:tc>
          <w:tcPr>
            <w:tcW w:w="499" w:type="pct"/>
            <w:vAlign w:val="center"/>
          </w:tcPr>
          <w:p w14:paraId="5A1AC2B3"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4.42%</w:t>
            </w:r>
          </w:p>
        </w:tc>
      </w:tr>
      <w:tr w:rsidR="000A0ACD" w14:paraId="639778A5" w14:textId="77777777">
        <w:trPr>
          <w:trHeight w:val="397"/>
        </w:trPr>
        <w:tc>
          <w:tcPr>
            <w:tcW w:w="478" w:type="pct"/>
            <w:vAlign w:val="center"/>
          </w:tcPr>
          <w:p w14:paraId="19DD6A03"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4</w:t>
            </w:r>
          </w:p>
        </w:tc>
        <w:tc>
          <w:tcPr>
            <w:tcW w:w="2495" w:type="pct"/>
            <w:vAlign w:val="center"/>
          </w:tcPr>
          <w:p w14:paraId="5E38C3FD"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昆山欧赛斯悬挂输送系统有限公司</w:t>
            </w:r>
          </w:p>
        </w:tc>
        <w:tc>
          <w:tcPr>
            <w:tcW w:w="1526" w:type="pct"/>
            <w:vAlign w:val="center"/>
          </w:tcPr>
          <w:p w14:paraId="42C3A504"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154.25</w:t>
            </w:r>
          </w:p>
        </w:tc>
        <w:tc>
          <w:tcPr>
            <w:tcW w:w="499" w:type="pct"/>
            <w:vAlign w:val="center"/>
          </w:tcPr>
          <w:p w14:paraId="669E57B4"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3.15%</w:t>
            </w:r>
          </w:p>
        </w:tc>
      </w:tr>
      <w:tr w:rsidR="000A0ACD" w14:paraId="7C20A9C4" w14:textId="77777777">
        <w:trPr>
          <w:trHeight w:val="397"/>
        </w:trPr>
        <w:tc>
          <w:tcPr>
            <w:tcW w:w="478" w:type="pct"/>
            <w:vAlign w:val="center"/>
          </w:tcPr>
          <w:p w14:paraId="44FC2D21" w14:textId="77777777" w:rsidR="000A0ACD" w:rsidRPr="00D2687A" w:rsidRDefault="00362A99">
            <w:pPr>
              <w:jc w:val="center"/>
              <w:rPr>
                <w:rFonts w:ascii="Times New Roman" w:hAnsi="Times New Roman" w:cs="Times New Roman"/>
                <w:color w:val="000000"/>
                <w:sz w:val="21"/>
                <w:szCs w:val="21"/>
              </w:rPr>
            </w:pPr>
            <w:r w:rsidRPr="00D2687A">
              <w:rPr>
                <w:rFonts w:ascii="Times New Roman" w:hAnsi="Times New Roman" w:cs="Times New Roman"/>
                <w:color w:val="000000"/>
                <w:sz w:val="21"/>
                <w:szCs w:val="21"/>
              </w:rPr>
              <w:t>5</w:t>
            </w:r>
          </w:p>
        </w:tc>
        <w:tc>
          <w:tcPr>
            <w:tcW w:w="2495" w:type="pct"/>
            <w:vAlign w:val="center"/>
          </w:tcPr>
          <w:p w14:paraId="195C2701" w14:textId="77777777" w:rsidR="000A0ACD" w:rsidRPr="00D2687A" w:rsidRDefault="00362A99">
            <w:pPr>
              <w:rPr>
                <w:rFonts w:ascii="Times New Roman" w:hAnsi="Times New Roman" w:cs="Times New Roman"/>
                <w:color w:val="000000"/>
                <w:sz w:val="21"/>
                <w:szCs w:val="21"/>
              </w:rPr>
            </w:pPr>
            <w:r w:rsidRPr="00D2687A">
              <w:rPr>
                <w:rFonts w:ascii="Times New Roman" w:hAnsi="Times New Roman" w:cs="Times New Roman" w:hint="eastAsia"/>
                <w:color w:val="000000"/>
                <w:sz w:val="21"/>
                <w:szCs w:val="21"/>
              </w:rPr>
              <w:t>青岛好品海智信息技术有限公司</w:t>
            </w:r>
          </w:p>
        </w:tc>
        <w:tc>
          <w:tcPr>
            <w:tcW w:w="1526" w:type="pct"/>
            <w:vAlign w:val="center"/>
          </w:tcPr>
          <w:p w14:paraId="7F5106EF"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154.29</w:t>
            </w:r>
          </w:p>
        </w:tc>
        <w:tc>
          <w:tcPr>
            <w:tcW w:w="499" w:type="pct"/>
            <w:vAlign w:val="center"/>
          </w:tcPr>
          <w:p w14:paraId="6283FA28" w14:textId="77777777" w:rsidR="000A0ACD" w:rsidRPr="00D2687A" w:rsidRDefault="00362A99">
            <w:pPr>
              <w:jc w:val="right"/>
              <w:rPr>
                <w:rFonts w:ascii="Times New Roman" w:hAnsi="Times New Roman" w:cs="Times New Roman"/>
                <w:color w:val="000000"/>
                <w:sz w:val="21"/>
                <w:szCs w:val="21"/>
              </w:rPr>
            </w:pPr>
            <w:r w:rsidRPr="00D2687A">
              <w:rPr>
                <w:rFonts w:ascii="Times New Roman" w:hAnsi="Times New Roman" w:cs="Times New Roman"/>
                <w:color w:val="000000"/>
                <w:sz w:val="21"/>
                <w:szCs w:val="21"/>
              </w:rPr>
              <w:t>3.15%</w:t>
            </w:r>
          </w:p>
        </w:tc>
      </w:tr>
      <w:tr w:rsidR="000A0ACD" w14:paraId="2671B83D" w14:textId="77777777">
        <w:trPr>
          <w:trHeight w:val="397"/>
        </w:trPr>
        <w:tc>
          <w:tcPr>
            <w:tcW w:w="2974" w:type="pct"/>
            <w:gridSpan w:val="2"/>
            <w:vAlign w:val="center"/>
          </w:tcPr>
          <w:p w14:paraId="0C1DD139" w14:textId="77777777" w:rsidR="000A0ACD" w:rsidRPr="00D2687A" w:rsidRDefault="00362A99">
            <w:pPr>
              <w:jc w:val="center"/>
              <w:rPr>
                <w:rFonts w:ascii="Times New Roman" w:hAnsi="Times New Roman" w:cs="Times New Roman"/>
                <w:b/>
                <w:bCs/>
                <w:color w:val="000000"/>
                <w:sz w:val="21"/>
                <w:szCs w:val="21"/>
              </w:rPr>
            </w:pPr>
            <w:r w:rsidRPr="00D2687A">
              <w:rPr>
                <w:rFonts w:ascii="Times New Roman" w:hAnsi="Times New Roman" w:cs="Times New Roman" w:hint="eastAsia"/>
                <w:b/>
                <w:bCs/>
                <w:color w:val="000000"/>
                <w:sz w:val="21"/>
                <w:szCs w:val="21"/>
              </w:rPr>
              <w:t>合计</w:t>
            </w:r>
          </w:p>
        </w:tc>
        <w:tc>
          <w:tcPr>
            <w:tcW w:w="1526" w:type="pct"/>
            <w:vAlign w:val="center"/>
          </w:tcPr>
          <w:p w14:paraId="6EF0257C" w14:textId="77777777" w:rsidR="000A0ACD" w:rsidRPr="00D2687A" w:rsidRDefault="00362A99">
            <w:pPr>
              <w:jc w:val="right"/>
              <w:rPr>
                <w:rFonts w:ascii="Times New Roman" w:hAnsi="Times New Roman" w:cs="Times New Roman"/>
                <w:b/>
                <w:bCs/>
                <w:color w:val="000000"/>
                <w:sz w:val="21"/>
                <w:szCs w:val="21"/>
              </w:rPr>
            </w:pPr>
            <w:r w:rsidRPr="00D2687A">
              <w:rPr>
                <w:rFonts w:ascii="Times New Roman" w:hAnsi="Times New Roman" w:cs="Times New Roman"/>
                <w:b/>
                <w:bCs/>
                <w:color w:val="000000"/>
                <w:sz w:val="21"/>
                <w:szCs w:val="21"/>
              </w:rPr>
              <w:t>1,692.44</w:t>
            </w:r>
          </w:p>
        </w:tc>
        <w:tc>
          <w:tcPr>
            <w:tcW w:w="499" w:type="pct"/>
            <w:vAlign w:val="center"/>
          </w:tcPr>
          <w:p w14:paraId="0DDB0594" w14:textId="77777777" w:rsidR="000A0ACD" w:rsidRPr="00D2687A" w:rsidRDefault="00362A99">
            <w:pPr>
              <w:jc w:val="right"/>
              <w:rPr>
                <w:rFonts w:ascii="Times New Roman" w:hAnsi="Times New Roman" w:cs="Times New Roman"/>
                <w:b/>
                <w:bCs/>
                <w:color w:val="000000"/>
                <w:sz w:val="21"/>
                <w:szCs w:val="21"/>
              </w:rPr>
            </w:pPr>
            <w:r w:rsidRPr="00D2687A">
              <w:rPr>
                <w:rFonts w:ascii="Times New Roman" w:hAnsi="Times New Roman" w:cs="Times New Roman"/>
                <w:b/>
                <w:bCs/>
                <w:color w:val="000000"/>
                <w:sz w:val="21"/>
                <w:szCs w:val="21"/>
              </w:rPr>
              <w:t>34.58%</w:t>
            </w:r>
          </w:p>
        </w:tc>
      </w:tr>
    </w:tbl>
    <w:p w14:paraId="1DF45CCF" w14:textId="77777777" w:rsidR="000A0ACD" w:rsidRDefault="00362A99">
      <w:pPr>
        <w:spacing w:beforeLines="50" w:before="156" w:line="360" w:lineRule="auto"/>
        <w:ind w:firstLineChars="200" w:firstLine="482"/>
        <w:jc w:val="both"/>
        <w:rPr>
          <w:rFonts w:ascii="Times New Roman" w:hAnsi="Times New Roman" w:cs="Times New Roman"/>
          <w:b/>
          <w:bCs/>
          <w:color w:val="000000"/>
          <w:lang w:val="en-GB"/>
        </w:rPr>
      </w:pPr>
      <w:r>
        <w:rPr>
          <w:rFonts w:ascii="Times New Roman" w:hAnsi="Times New Roman" w:cs="Times New Roman"/>
          <w:b/>
          <w:bCs/>
          <w:color w:val="000000"/>
          <w:lang w:val="en-GB"/>
        </w:rPr>
        <w:t>3</w:t>
      </w:r>
      <w:r>
        <w:rPr>
          <w:rFonts w:ascii="Times New Roman" w:hAnsi="Times New Roman" w:cs="Times New Roman" w:hint="eastAsia"/>
          <w:b/>
          <w:bCs/>
          <w:color w:val="000000"/>
          <w:lang w:val="en-GB"/>
        </w:rPr>
        <w:t>、合同负债</w:t>
      </w:r>
    </w:p>
    <w:p w14:paraId="4299371C"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15"/>
        <w:gridCol w:w="2069"/>
        <w:gridCol w:w="2069"/>
        <w:gridCol w:w="2069"/>
      </w:tblGrid>
      <w:tr w:rsidR="000A0ACD" w14:paraId="68EC4026" w14:textId="77777777">
        <w:trPr>
          <w:trHeight w:val="397"/>
          <w:tblHeader/>
        </w:trPr>
        <w:tc>
          <w:tcPr>
            <w:tcW w:w="1358" w:type="pct"/>
            <w:shd w:val="clear" w:color="auto" w:fill="auto"/>
            <w:vAlign w:val="center"/>
          </w:tcPr>
          <w:p w14:paraId="0AE3F2B5"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1214" w:type="pct"/>
            <w:shd w:val="clear" w:color="auto" w:fill="auto"/>
            <w:vAlign w:val="center"/>
          </w:tcPr>
          <w:p w14:paraId="65E2D2CF"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w:t>
            </w:r>
            <w:r>
              <w:rPr>
                <w:rFonts w:ascii="Times New Roman" w:hAnsi="Times New Roman" w:cs="Times New Roman"/>
                <w:b/>
                <w:bCs/>
                <w:color w:val="000000"/>
                <w:sz w:val="21"/>
                <w:szCs w:val="21"/>
              </w:rPr>
              <w:t>1</w:t>
            </w:r>
            <w:r>
              <w:rPr>
                <w:rFonts w:ascii="Times New Roman" w:hAnsi="Times New Roman" w:cs="Times New Roman" w:hint="eastAsia"/>
                <w:b/>
                <w:bCs/>
                <w:color w:val="000000"/>
                <w:sz w:val="21"/>
                <w:szCs w:val="21"/>
                <w:lang w:val="en-GB"/>
              </w:rPr>
              <w:t>日</w:t>
            </w:r>
          </w:p>
        </w:tc>
        <w:tc>
          <w:tcPr>
            <w:tcW w:w="1214" w:type="pct"/>
            <w:shd w:val="clear" w:color="auto" w:fill="auto"/>
            <w:vAlign w:val="center"/>
          </w:tcPr>
          <w:p w14:paraId="49BE2CDC"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c>
          <w:tcPr>
            <w:tcW w:w="1214" w:type="pct"/>
            <w:shd w:val="clear" w:color="auto" w:fill="auto"/>
            <w:vAlign w:val="center"/>
          </w:tcPr>
          <w:p w14:paraId="1FCBCFB6"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r>
      <w:tr w:rsidR="000A0ACD" w14:paraId="2853144E" w14:textId="77777777">
        <w:trPr>
          <w:trHeight w:val="397"/>
        </w:trPr>
        <w:tc>
          <w:tcPr>
            <w:tcW w:w="1358" w:type="pct"/>
            <w:shd w:val="clear" w:color="auto" w:fill="auto"/>
            <w:vAlign w:val="center"/>
          </w:tcPr>
          <w:p w14:paraId="4A65D323"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预收货款</w:t>
            </w:r>
          </w:p>
        </w:tc>
        <w:tc>
          <w:tcPr>
            <w:tcW w:w="2069" w:type="dxa"/>
            <w:shd w:val="clear" w:color="auto" w:fill="auto"/>
            <w:vAlign w:val="center"/>
          </w:tcPr>
          <w:p w14:paraId="3F61BDA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7,873.56</w:t>
            </w:r>
          </w:p>
        </w:tc>
        <w:tc>
          <w:tcPr>
            <w:tcW w:w="1214" w:type="pct"/>
            <w:shd w:val="clear" w:color="auto" w:fill="auto"/>
            <w:vAlign w:val="center"/>
          </w:tcPr>
          <w:p w14:paraId="23B69F7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1,044.99</w:t>
            </w:r>
          </w:p>
        </w:tc>
        <w:tc>
          <w:tcPr>
            <w:tcW w:w="1214" w:type="pct"/>
            <w:shd w:val="clear" w:color="auto" w:fill="auto"/>
            <w:vAlign w:val="center"/>
          </w:tcPr>
          <w:p w14:paraId="3011721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1,718.92</w:t>
            </w:r>
          </w:p>
        </w:tc>
      </w:tr>
      <w:tr w:rsidR="000A0ACD" w14:paraId="2D6FB2CA" w14:textId="77777777">
        <w:trPr>
          <w:trHeight w:val="397"/>
        </w:trPr>
        <w:tc>
          <w:tcPr>
            <w:tcW w:w="1358" w:type="pct"/>
            <w:shd w:val="clear" w:color="auto" w:fill="auto"/>
            <w:vAlign w:val="center"/>
          </w:tcPr>
          <w:p w14:paraId="163ECB68" w14:textId="77777777" w:rsidR="000A0ACD" w:rsidRDefault="00362A99">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其中：</w:t>
            </w:r>
            <w:r>
              <w:rPr>
                <w:rFonts w:ascii="Times New Roman" w:hAnsi="Times New Roman" w:cs="Times New Roman"/>
                <w:color w:val="000000"/>
                <w:sz w:val="21"/>
                <w:szCs w:val="21"/>
              </w:rPr>
              <w:t>1</w:t>
            </w:r>
            <w:r>
              <w:rPr>
                <w:rFonts w:ascii="Times New Roman" w:hAnsi="Times New Roman" w:cs="Times New Roman" w:hint="eastAsia"/>
                <w:color w:val="000000"/>
                <w:sz w:val="21"/>
                <w:szCs w:val="21"/>
              </w:rPr>
              <w:t>年以上</w:t>
            </w:r>
          </w:p>
        </w:tc>
        <w:tc>
          <w:tcPr>
            <w:tcW w:w="2069" w:type="dxa"/>
            <w:shd w:val="clear" w:color="auto" w:fill="auto"/>
            <w:vAlign w:val="center"/>
          </w:tcPr>
          <w:p w14:paraId="020E0AC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34.9</w:t>
            </w:r>
            <w:r>
              <w:rPr>
                <w:rFonts w:ascii="Times New Roman" w:hAnsi="Times New Roman" w:cs="Times New Roman"/>
                <w:color w:val="000000"/>
                <w:sz w:val="21"/>
                <w:szCs w:val="21"/>
                <w:lang w:val="en-GB"/>
              </w:rPr>
              <w:t>7</w:t>
            </w:r>
          </w:p>
        </w:tc>
        <w:tc>
          <w:tcPr>
            <w:tcW w:w="1214" w:type="pct"/>
            <w:shd w:val="clear" w:color="auto" w:fill="auto"/>
            <w:vAlign w:val="center"/>
          </w:tcPr>
          <w:p w14:paraId="6FC1594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w:t>
            </w:r>
          </w:p>
        </w:tc>
        <w:tc>
          <w:tcPr>
            <w:tcW w:w="1214" w:type="pct"/>
            <w:shd w:val="clear" w:color="auto" w:fill="auto"/>
            <w:vAlign w:val="center"/>
          </w:tcPr>
          <w:p w14:paraId="6789D2F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r>
    </w:tbl>
    <w:p w14:paraId="312AAD6D"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报告期各期末，标的公司合同负债分别为</w:t>
      </w:r>
      <w:r>
        <w:rPr>
          <w:rFonts w:ascii="Times New Roman" w:hAnsi="Times New Roman" w:cs="Times New Roman" w:hint="eastAsia"/>
          <w:bCs/>
          <w:color w:val="000000"/>
          <w:lang w:val="en-GB"/>
        </w:rPr>
        <w:t>1,718.92</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1,044.99</w:t>
      </w:r>
      <w:r>
        <w:rPr>
          <w:rFonts w:ascii="Times New Roman" w:hAnsi="Times New Roman" w:cs="Times New Roman" w:hint="eastAsia"/>
          <w:bCs/>
          <w:color w:val="000000"/>
          <w:lang w:val="en-GB"/>
        </w:rPr>
        <w:t>万元和</w:t>
      </w:r>
      <w:r>
        <w:rPr>
          <w:rFonts w:ascii="Times New Roman" w:hAnsi="Times New Roman" w:cs="Times New Roman" w:hint="eastAsia"/>
          <w:bCs/>
          <w:color w:val="000000"/>
          <w:lang w:val="en-GB"/>
        </w:rPr>
        <w:t>7,</w:t>
      </w:r>
      <w:r>
        <w:rPr>
          <w:rFonts w:ascii="Times New Roman" w:hAnsi="Times New Roman" w:cs="Times New Roman"/>
          <w:bCs/>
          <w:color w:val="000000"/>
          <w:lang w:val="en-GB"/>
        </w:rPr>
        <w:t>873.56</w:t>
      </w:r>
      <w:r>
        <w:rPr>
          <w:rFonts w:ascii="Times New Roman" w:hAnsi="Times New Roman" w:cs="Times New Roman" w:hint="eastAsia"/>
          <w:bCs/>
          <w:color w:val="000000"/>
          <w:lang w:val="en-GB"/>
        </w:rPr>
        <w:t>万元，占总负债的比例分别为</w:t>
      </w:r>
      <w:r>
        <w:rPr>
          <w:rFonts w:ascii="Times New Roman" w:hAnsi="Times New Roman" w:cs="Times New Roman" w:hint="eastAsia"/>
          <w:bCs/>
          <w:color w:val="000000"/>
          <w:lang w:val="en-GB"/>
        </w:rPr>
        <w:t>50.48%</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27.88%</w:t>
      </w:r>
      <w:r>
        <w:rPr>
          <w:rFonts w:ascii="Times New Roman" w:hAnsi="Times New Roman" w:cs="Times New Roman" w:hint="eastAsia"/>
          <w:bCs/>
          <w:color w:val="000000"/>
          <w:lang w:val="en-GB"/>
        </w:rPr>
        <w:t>和</w:t>
      </w:r>
      <w:r>
        <w:rPr>
          <w:rFonts w:ascii="Times New Roman" w:hAnsi="Times New Roman" w:cs="Times New Roman"/>
          <w:bCs/>
          <w:color w:val="000000"/>
          <w:lang w:val="en-GB"/>
        </w:rPr>
        <w:t>42.80</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。标的公司与客户签订销售合同后，通常会预收客户</w:t>
      </w:r>
      <w:r>
        <w:rPr>
          <w:rFonts w:ascii="Times New Roman" w:hAnsi="Times New Roman" w:cs="Times New Roman" w:hint="eastAsia"/>
          <w:bCs/>
          <w:color w:val="000000"/>
          <w:lang w:val="en-GB"/>
        </w:rPr>
        <w:t>30%</w:t>
      </w:r>
      <w:r>
        <w:rPr>
          <w:rFonts w:ascii="Times New Roman" w:hAnsi="Times New Roman" w:cs="Times New Roman" w:hint="eastAsia"/>
          <w:bCs/>
          <w:color w:val="000000"/>
          <w:lang w:val="en-GB"/>
        </w:rPr>
        <w:t>的合同款，因此合同负债主要由预收客户的货款组成。</w:t>
      </w:r>
      <w:r>
        <w:rPr>
          <w:rFonts w:ascii="Times New Roman" w:hAnsi="Times New Roman" w:cs="Times New Roman" w:hint="eastAsia"/>
          <w:bCs/>
          <w:color w:val="000000"/>
          <w:lang w:val="en-GB"/>
        </w:rPr>
        <w:t>2019</w:t>
      </w:r>
      <w:r>
        <w:rPr>
          <w:rFonts w:ascii="Times New Roman" w:hAnsi="Times New Roman" w:cs="Times New Roman" w:hint="eastAsia"/>
          <w:bCs/>
          <w:color w:val="000000"/>
          <w:lang w:val="en-GB"/>
        </w:rPr>
        <w:t>年末，标的公司合同负债较</w:t>
      </w:r>
      <w:r>
        <w:rPr>
          <w:rFonts w:ascii="Times New Roman" w:hAnsi="Times New Roman" w:cs="Times New Roman" w:hint="eastAsia"/>
          <w:bCs/>
          <w:color w:val="000000"/>
          <w:lang w:val="en-GB"/>
        </w:rPr>
        <w:t>2018</w:t>
      </w:r>
      <w:r>
        <w:rPr>
          <w:rFonts w:ascii="Times New Roman" w:hAnsi="Times New Roman" w:cs="Times New Roman" w:hint="eastAsia"/>
          <w:bCs/>
          <w:color w:val="000000"/>
          <w:lang w:val="en-GB"/>
        </w:rPr>
        <w:t>年末减少</w:t>
      </w:r>
      <w:r>
        <w:rPr>
          <w:rFonts w:ascii="Times New Roman" w:hAnsi="Times New Roman" w:cs="Times New Roman" w:hint="eastAsia"/>
          <w:bCs/>
          <w:color w:val="000000"/>
          <w:lang w:val="en-GB"/>
        </w:rPr>
        <w:t>39.21%</w:t>
      </w:r>
      <w:r>
        <w:rPr>
          <w:rFonts w:ascii="Times New Roman" w:hAnsi="Times New Roman" w:cs="Times New Roman" w:hint="eastAsia"/>
          <w:bCs/>
          <w:color w:val="000000"/>
          <w:lang w:val="en-GB"/>
        </w:rPr>
        <w:t>，主要系项目结转所致；</w:t>
      </w:r>
      <w:r>
        <w:rPr>
          <w:rFonts w:ascii="Times New Roman" w:hAnsi="Times New Roman" w:cs="Times New Roman" w:hint="eastAsia"/>
          <w:bCs/>
          <w:color w:val="000000"/>
          <w:lang w:val="en-GB"/>
        </w:rPr>
        <w:t>2020</w:t>
      </w:r>
      <w:r>
        <w:rPr>
          <w:rFonts w:ascii="Times New Roman" w:hAnsi="Times New Roman" w:cs="Times New Roman" w:hint="eastAsia"/>
          <w:bCs/>
          <w:color w:val="000000"/>
          <w:lang w:val="en-GB"/>
        </w:rPr>
        <w:t>年末，标的公司合同负债较</w:t>
      </w:r>
      <w:r>
        <w:rPr>
          <w:rFonts w:ascii="Times New Roman" w:hAnsi="Times New Roman" w:cs="Times New Roman" w:hint="eastAsia"/>
          <w:bCs/>
          <w:color w:val="000000"/>
          <w:lang w:val="en-GB"/>
        </w:rPr>
        <w:t>2019</w:t>
      </w:r>
      <w:r>
        <w:rPr>
          <w:rFonts w:ascii="Times New Roman" w:hAnsi="Times New Roman" w:cs="Times New Roman" w:hint="eastAsia"/>
          <w:bCs/>
          <w:color w:val="000000"/>
          <w:lang w:val="en-GB"/>
        </w:rPr>
        <w:t>年末增加</w:t>
      </w:r>
      <w:r>
        <w:rPr>
          <w:rFonts w:ascii="Times New Roman" w:hAnsi="Times New Roman" w:cs="Times New Roman" w:hint="eastAsia"/>
          <w:bCs/>
          <w:color w:val="000000"/>
          <w:lang w:val="en-GB"/>
        </w:rPr>
        <w:t>6</w:t>
      </w:r>
      <w:r>
        <w:rPr>
          <w:rFonts w:ascii="Times New Roman" w:hAnsi="Times New Roman" w:cs="Times New Roman"/>
          <w:bCs/>
          <w:color w:val="000000"/>
          <w:lang w:val="en-GB"/>
        </w:rPr>
        <w:t>53.46</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，主要系受疫情影响，部分项目工期延期，无法确认收入以及标的公司业务规模扩张，预收货款相应增加所致。</w:t>
      </w:r>
    </w:p>
    <w:p w14:paraId="4D4BF15C"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bookmarkStart w:id="70" w:name="_Hlk68816502"/>
      <w:r>
        <w:rPr>
          <w:rFonts w:ascii="Times New Roman" w:hAnsi="Times New Roman" w:cs="Times New Roman" w:hint="eastAsia"/>
          <w:bCs/>
          <w:color w:val="000000"/>
          <w:lang w:val="en-GB"/>
        </w:rPr>
        <w:t>截至</w:t>
      </w:r>
      <w:r>
        <w:rPr>
          <w:rFonts w:ascii="Times New Roman" w:hAnsi="Times New Roman" w:cs="Times New Roman"/>
          <w:bCs/>
          <w:color w:val="000000"/>
          <w:lang w:val="en-GB"/>
        </w:rPr>
        <w:t>2020</w:t>
      </w:r>
      <w:r>
        <w:rPr>
          <w:rFonts w:ascii="Times New Roman" w:hAnsi="Times New Roman" w:cs="Times New Roman" w:hint="eastAsia"/>
          <w:bCs/>
          <w:color w:val="000000"/>
          <w:lang w:val="en-GB"/>
        </w:rPr>
        <w:t>年</w:t>
      </w:r>
      <w:r>
        <w:rPr>
          <w:rFonts w:ascii="Times New Roman" w:hAnsi="Times New Roman" w:cs="Times New Roman"/>
          <w:bCs/>
          <w:color w:val="000000"/>
          <w:lang w:val="en-GB"/>
        </w:rPr>
        <w:t>12</w:t>
      </w:r>
      <w:r>
        <w:rPr>
          <w:rFonts w:ascii="Times New Roman" w:hAnsi="Times New Roman" w:cs="Times New Roman" w:hint="eastAsia"/>
          <w:bCs/>
          <w:color w:val="000000"/>
          <w:lang w:val="en-GB"/>
        </w:rPr>
        <w:t>月</w:t>
      </w:r>
      <w:r>
        <w:rPr>
          <w:rFonts w:ascii="Times New Roman" w:hAnsi="Times New Roman" w:cs="Times New Roman"/>
          <w:bCs/>
          <w:color w:val="000000"/>
          <w:lang w:val="en-GB"/>
        </w:rPr>
        <w:t>31</w:t>
      </w:r>
      <w:r>
        <w:rPr>
          <w:rFonts w:ascii="Times New Roman" w:hAnsi="Times New Roman" w:cs="Times New Roman" w:hint="eastAsia"/>
          <w:bCs/>
          <w:color w:val="000000"/>
          <w:lang w:val="en-GB"/>
        </w:rPr>
        <w:t>日，北洋天青主要项目合同负债情况具体如下：</w:t>
      </w:r>
    </w:p>
    <w:p w14:paraId="75772A30"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3"/>
        <w:gridCol w:w="2693"/>
        <w:gridCol w:w="1701"/>
        <w:gridCol w:w="1560"/>
        <w:gridCol w:w="1185"/>
      </w:tblGrid>
      <w:tr w:rsidR="000A0ACD" w14:paraId="791EF3BD" w14:textId="77777777">
        <w:trPr>
          <w:trHeight w:val="340"/>
          <w:tblHeader/>
        </w:trPr>
        <w:tc>
          <w:tcPr>
            <w:tcW w:w="812" w:type="pct"/>
            <w:vAlign w:val="center"/>
          </w:tcPr>
          <w:p w14:paraId="779A767C" w14:textId="77777777" w:rsidR="000A0ACD" w:rsidRDefault="00362A99">
            <w:pPr>
              <w:jc w:val="center"/>
              <w:rPr>
                <w:rFonts w:ascii="Times New Roman" w:hAnsi="Times New Roman" w:cs="Times New Roman"/>
                <w:b/>
                <w:bCs/>
                <w:sz w:val="21"/>
                <w:szCs w:val="21"/>
              </w:rPr>
            </w:pPr>
            <w:bookmarkStart w:id="71" w:name="OLE_LINK27"/>
            <w:bookmarkStart w:id="72" w:name="OLE_LINK26"/>
            <w:r>
              <w:rPr>
                <w:rFonts w:ascii="Times New Roman" w:hAnsi="Times New Roman" w:cs="Times New Roman" w:hint="eastAsia"/>
                <w:b/>
                <w:bCs/>
                <w:sz w:val="21"/>
                <w:szCs w:val="21"/>
              </w:rPr>
              <w:t>客户名称</w:t>
            </w:r>
          </w:p>
        </w:tc>
        <w:tc>
          <w:tcPr>
            <w:tcW w:w="1580" w:type="pct"/>
            <w:shd w:val="clear" w:color="auto" w:fill="auto"/>
            <w:vAlign w:val="center"/>
          </w:tcPr>
          <w:p w14:paraId="7BC06768"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项目名称</w:t>
            </w:r>
          </w:p>
        </w:tc>
        <w:tc>
          <w:tcPr>
            <w:tcW w:w="998" w:type="pct"/>
            <w:vAlign w:val="center"/>
          </w:tcPr>
          <w:p w14:paraId="1F4C046F"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2020</w:t>
            </w:r>
            <w:r>
              <w:rPr>
                <w:rFonts w:ascii="Times New Roman" w:hAnsi="Times New Roman" w:cs="Times New Roman" w:hint="eastAsia"/>
                <w:b/>
                <w:bCs/>
                <w:snapToGrid w:val="0"/>
                <w:sz w:val="21"/>
                <w:szCs w:val="21"/>
                <w:lang w:val="en-GB"/>
              </w:rPr>
              <w:t>年</w:t>
            </w:r>
            <w:r>
              <w:rPr>
                <w:rFonts w:ascii="Times New Roman" w:hAnsi="Times New Roman" w:cs="Times New Roman" w:hint="eastAsia"/>
                <w:b/>
                <w:bCs/>
                <w:snapToGrid w:val="0"/>
                <w:sz w:val="21"/>
                <w:szCs w:val="21"/>
                <w:lang w:val="en-GB"/>
              </w:rPr>
              <w:t>12</w:t>
            </w:r>
            <w:r>
              <w:rPr>
                <w:rFonts w:ascii="Times New Roman" w:hAnsi="Times New Roman" w:cs="Times New Roman" w:hint="eastAsia"/>
                <w:b/>
                <w:bCs/>
                <w:snapToGrid w:val="0"/>
                <w:sz w:val="21"/>
                <w:szCs w:val="21"/>
                <w:lang w:val="en-GB"/>
              </w:rPr>
              <w:t>月</w:t>
            </w:r>
            <w:r>
              <w:rPr>
                <w:rFonts w:ascii="Times New Roman" w:hAnsi="Times New Roman" w:cs="Times New Roman" w:hint="eastAsia"/>
                <w:b/>
                <w:bCs/>
                <w:snapToGrid w:val="0"/>
                <w:sz w:val="21"/>
                <w:szCs w:val="21"/>
                <w:lang w:val="en-GB"/>
              </w:rPr>
              <w:t>31</w:t>
            </w:r>
            <w:r>
              <w:rPr>
                <w:rFonts w:ascii="Times New Roman" w:hAnsi="Times New Roman" w:cs="Times New Roman" w:hint="eastAsia"/>
                <w:b/>
                <w:bCs/>
                <w:snapToGrid w:val="0"/>
                <w:sz w:val="21"/>
                <w:szCs w:val="21"/>
                <w:lang w:val="en-GB"/>
              </w:rPr>
              <w:t>日合同负债金额</w:t>
            </w:r>
          </w:p>
        </w:tc>
        <w:tc>
          <w:tcPr>
            <w:tcW w:w="915" w:type="pct"/>
            <w:vAlign w:val="center"/>
          </w:tcPr>
          <w:p w14:paraId="4252CF58"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占合同负债总金额比例（</w:t>
            </w:r>
            <w:r>
              <w:rPr>
                <w:rFonts w:ascii="Times New Roman" w:hAnsi="Times New Roman" w:cs="Times New Roman" w:hint="eastAsia"/>
                <w:b/>
                <w:bCs/>
                <w:snapToGrid w:val="0"/>
                <w:sz w:val="21"/>
                <w:szCs w:val="21"/>
                <w:lang w:val="en-GB"/>
              </w:rPr>
              <w:t>%</w:t>
            </w:r>
            <w:r>
              <w:rPr>
                <w:rFonts w:ascii="Times New Roman" w:hAnsi="Times New Roman" w:cs="Times New Roman" w:hint="eastAsia"/>
                <w:b/>
                <w:bCs/>
                <w:snapToGrid w:val="0"/>
                <w:sz w:val="21"/>
                <w:szCs w:val="21"/>
                <w:lang w:val="en-GB"/>
              </w:rPr>
              <w:t>）</w:t>
            </w:r>
          </w:p>
        </w:tc>
        <w:tc>
          <w:tcPr>
            <w:tcW w:w="695" w:type="pct"/>
            <w:vAlign w:val="center"/>
          </w:tcPr>
          <w:p w14:paraId="7DE94592"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占合同总金额比例</w:t>
            </w:r>
          </w:p>
        </w:tc>
      </w:tr>
      <w:tr w:rsidR="000A0ACD" w14:paraId="53872DAA" w14:textId="77777777">
        <w:trPr>
          <w:trHeight w:val="340"/>
        </w:trPr>
        <w:tc>
          <w:tcPr>
            <w:tcW w:w="812" w:type="pct"/>
            <w:vMerge w:val="restart"/>
            <w:vAlign w:val="center"/>
          </w:tcPr>
          <w:p w14:paraId="337983AF" w14:textId="77777777" w:rsidR="000A0ACD" w:rsidRDefault="00362A99">
            <w:pPr>
              <w:rPr>
                <w:rFonts w:ascii="Times New Roman" w:hAnsi="Times New Roman" w:cs="Times New Roman"/>
                <w:color w:val="000000"/>
                <w:sz w:val="21"/>
                <w:szCs w:val="21"/>
                <w:lang w:val="en-GB"/>
              </w:rPr>
            </w:pPr>
            <w:r>
              <w:rPr>
                <w:rFonts w:ascii="Times New Roman" w:hAnsi="Times New Roman" w:cs="Times New Roman" w:hint="eastAsia"/>
                <w:sz w:val="21"/>
                <w:szCs w:val="21"/>
              </w:rPr>
              <w:t>青岛澳柯玛智慧冷链有限公司</w:t>
            </w:r>
          </w:p>
        </w:tc>
        <w:tc>
          <w:tcPr>
            <w:tcW w:w="1580" w:type="pct"/>
            <w:shd w:val="clear" w:color="auto" w:fill="auto"/>
            <w:vAlign w:val="center"/>
          </w:tcPr>
          <w:p w14:paraId="57BDAB50"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Q20-AKMQ14</w:t>
            </w:r>
            <w:r>
              <w:rPr>
                <w:rFonts w:ascii="Times New Roman" w:hAnsi="Times New Roman" w:cs="Times New Roman" w:hint="eastAsia"/>
                <w:color w:val="000000"/>
                <w:sz w:val="21"/>
                <w:szCs w:val="21"/>
              </w:rPr>
              <w:t>检漏仪设备</w:t>
            </w:r>
          </w:p>
        </w:tc>
        <w:tc>
          <w:tcPr>
            <w:tcW w:w="998" w:type="pct"/>
            <w:vAlign w:val="center"/>
          </w:tcPr>
          <w:p w14:paraId="2261F4A1"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26.57</w:t>
            </w:r>
          </w:p>
        </w:tc>
        <w:tc>
          <w:tcPr>
            <w:tcW w:w="915" w:type="pct"/>
            <w:vAlign w:val="center"/>
          </w:tcPr>
          <w:p w14:paraId="22F292C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0.34</w:t>
            </w:r>
          </w:p>
        </w:tc>
        <w:tc>
          <w:tcPr>
            <w:tcW w:w="695" w:type="pct"/>
            <w:vAlign w:val="center"/>
          </w:tcPr>
          <w:p w14:paraId="4EF6221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w:t>
            </w:r>
          </w:p>
        </w:tc>
      </w:tr>
      <w:tr w:rsidR="000A0ACD" w14:paraId="2D88FA63" w14:textId="77777777">
        <w:trPr>
          <w:trHeight w:val="340"/>
        </w:trPr>
        <w:tc>
          <w:tcPr>
            <w:tcW w:w="812" w:type="pct"/>
            <w:vMerge/>
            <w:vAlign w:val="center"/>
          </w:tcPr>
          <w:p w14:paraId="03EFB405" w14:textId="77777777" w:rsidR="000A0ACD" w:rsidRDefault="000A0ACD">
            <w:pPr>
              <w:rPr>
                <w:rFonts w:ascii="Times New Roman" w:hAnsi="Times New Roman" w:cs="Times New Roman"/>
                <w:color w:val="000000"/>
                <w:sz w:val="21"/>
                <w:szCs w:val="21"/>
              </w:rPr>
            </w:pPr>
          </w:p>
        </w:tc>
        <w:tc>
          <w:tcPr>
            <w:tcW w:w="1580" w:type="pct"/>
            <w:shd w:val="clear" w:color="auto" w:fill="auto"/>
            <w:vAlign w:val="center"/>
          </w:tcPr>
          <w:p w14:paraId="1DD9CE74" w14:textId="77777777" w:rsidR="000A0ACD" w:rsidRDefault="00362A99">
            <w:pPr>
              <w:spacing w:before="156"/>
              <w:rPr>
                <w:rFonts w:ascii="Times New Roman" w:hAnsi="Times New Roman" w:cs="Times New Roman"/>
                <w:b/>
                <w:color w:val="000000"/>
                <w:sz w:val="21"/>
                <w:szCs w:val="21"/>
              </w:rPr>
            </w:pPr>
            <w:r>
              <w:rPr>
                <w:rFonts w:ascii="Times New Roman" w:hAnsi="Times New Roman" w:cs="Times New Roman" w:hint="eastAsia"/>
                <w:color w:val="000000"/>
                <w:sz w:val="21"/>
                <w:szCs w:val="21"/>
              </w:rPr>
              <w:t>Q20-AKM10</w:t>
            </w:r>
            <w:r>
              <w:rPr>
                <w:rFonts w:ascii="Times New Roman" w:hAnsi="Times New Roman" w:cs="Times New Roman" w:hint="eastAsia"/>
                <w:color w:val="000000"/>
                <w:sz w:val="21"/>
                <w:szCs w:val="21"/>
              </w:rPr>
              <w:t>内胆钣金线</w:t>
            </w:r>
          </w:p>
        </w:tc>
        <w:tc>
          <w:tcPr>
            <w:tcW w:w="998" w:type="pct"/>
            <w:vAlign w:val="center"/>
          </w:tcPr>
          <w:p w14:paraId="47D1F92E"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280.98</w:t>
            </w:r>
          </w:p>
        </w:tc>
        <w:tc>
          <w:tcPr>
            <w:tcW w:w="915" w:type="pct"/>
            <w:vAlign w:val="center"/>
          </w:tcPr>
          <w:p w14:paraId="5D5126A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3.57</w:t>
            </w:r>
          </w:p>
        </w:tc>
        <w:tc>
          <w:tcPr>
            <w:tcW w:w="695" w:type="pct"/>
            <w:vAlign w:val="center"/>
          </w:tcPr>
          <w:p w14:paraId="0D45102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w:t>
            </w:r>
          </w:p>
        </w:tc>
      </w:tr>
      <w:tr w:rsidR="000A0ACD" w14:paraId="33C87CF8" w14:textId="77777777">
        <w:trPr>
          <w:trHeight w:val="340"/>
        </w:trPr>
        <w:tc>
          <w:tcPr>
            <w:tcW w:w="812" w:type="pct"/>
            <w:vMerge/>
            <w:vAlign w:val="center"/>
          </w:tcPr>
          <w:p w14:paraId="7AFA827A" w14:textId="77777777" w:rsidR="000A0ACD" w:rsidRDefault="000A0ACD">
            <w:pPr>
              <w:rPr>
                <w:rFonts w:ascii="Times New Roman" w:hAnsi="Times New Roman" w:cs="Times New Roman"/>
                <w:color w:val="000000"/>
                <w:sz w:val="21"/>
                <w:szCs w:val="21"/>
              </w:rPr>
            </w:pPr>
          </w:p>
        </w:tc>
        <w:tc>
          <w:tcPr>
            <w:tcW w:w="1580" w:type="pct"/>
            <w:shd w:val="clear" w:color="auto" w:fill="auto"/>
            <w:vAlign w:val="center"/>
          </w:tcPr>
          <w:p w14:paraId="776C6C57"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Q20-AKM09</w:t>
            </w:r>
            <w:r>
              <w:rPr>
                <w:rFonts w:ascii="Times New Roman" w:hAnsi="Times New Roman" w:cs="Times New Roman" w:hint="eastAsia"/>
                <w:color w:val="000000"/>
                <w:sz w:val="21"/>
                <w:szCs w:val="21"/>
              </w:rPr>
              <w:t>箱壳自动成型线</w:t>
            </w:r>
          </w:p>
        </w:tc>
        <w:tc>
          <w:tcPr>
            <w:tcW w:w="998" w:type="pct"/>
            <w:vAlign w:val="center"/>
          </w:tcPr>
          <w:p w14:paraId="158546B6"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341.14</w:t>
            </w:r>
          </w:p>
        </w:tc>
        <w:tc>
          <w:tcPr>
            <w:tcW w:w="915" w:type="pct"/>
            <w:vAlign w:val="center"/>
          </w:tcPr>
          <w:p w14:paraId="34F6666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4.33</w:t>
            </w:r>
          </w:p>
        </w:tc>
        <w:tc>
          <w:tcPr>
            <w:tcW w:w="695" w:type="pct"/>
            <w:vAlign w:val="center"/>
          </w:tcPr>
          <w:p w14:paraId="6BC305F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w:t>
            </w:r>
          </w:p>
        </w:tc>
      </w:tr>
      <w:tr w:rsidR="000A0ACD" w14:paraId="52DA1129" w14:textId="77777777">
        <w:trPr>
          <w:trHeight w:val="340"/>
        </w:trPr>
        <w:tc>
          <w:tcPr>
            <w:tcW w:w="812" w:type="pct"/>
            <w:vMerge/>
            <w:vAlign w:val="center"/>
          </w:tcPr>
          <w:p w14:paraId="2D6EFE67" w14:textId="77777777" w:rsidR="000A0ACD" w:rsidRDefault="000A0ACD">
            <w:pPr>
              <w:rPr>
                <w:rFonts w:ascii="Times New Roman" w:hAnsi="Times New Roman" w:cs="Times New Roman"/>
                <w:color w:val="000000"/>
                <w:sz w:val="21"/>
                <w:szCs w:val="21"/>
              </w:rPr>
            </w:pPr>
          </w:p>
        </w:tc>
        <w:tc>
          <w:tcPr>
            <w:tcW w:w="1580" w:type="pct"/>
            <w:shd w:val="clear" w:color="auto" w:fill="auto"/>
            <w:vAlign w:val="center"/>
          </w:tcPr>
          <w:p w14:paraId="162273C3"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Q20-AKM08</w:t>
            </w:r>
            <w:r>
              <w:rPr>
                <w:rFonts w:ascii="Times New Roman" w:hAnsi="Times New Roman" w:cs="Times New Roman" w:hint="eastAsia"/>
                <w:color w:val="000000"/>
                <w:sz w:val="21"/>
                <w:szCs w:val="21"/>
              </w:rPr>
              <w:t>背板成型线</w:t>
            </w:r>
          </w:p>
        </w:tc>
        <w:tc>
          <w:tcPr>
            <w:tcW w:w="998" w:type="pct"/>
            <w:vAlign w:val="center"/>
          </w:tcPr>
          <w:p w14:paraId="42BFB81C"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82.81</w:t>
            </w:r>
          </w:p>
        </w:tc>
        <w:tc>
          <w:tcPr>
            <w:tcW w:w="915" w:type="pct"/>
            <w:vAlign w:val="center"/>
          </w:tcPr>
          <w:p w14:paraId="5006F3D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1.05</w:t>
            </w:r>
          </w:p>
        </w:tc>
        <w:tc>
          <w:tcPr>
            <w:tcW w:w="695" w:type="pct"/>
            <w:vAlign w:val="center"/>
          </w:tcPr>
          <w:p w14:paraId="35C49D7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w:t>
            </w:r>
          </w:p>
        </w:tc>
      </w:tr>
      <w:tr w:rsidR="000A0ACD" w14:paraId="37A8636A" w14:textId="77777777">
        <w:trPr>
          <w:trHeight w:val="340"/>
        </w:trPr>
        <w:tc>
          <w:tcPr>
            <w:tcW w:w="812" w:type="pct"/>
            <w:vMerge/>
            <w:vAlign w:val="center"/>
          </w:tcPr>
          <w:p w14:paraId="12D12272" w14:textId="77777777" w:rsidR="000A0ACD" w:rsidRDefault="000A0ACD">
            <w:pPr>
              <w:rPr>
                <w:rFonts w:ascii="Times New Roman" w:hAnsi="Times New Roman" w:cs="Times New Roman"/>
                <w:color w:val="000000"/>
                <w:sz w:val="21"/>
                <w:szCs w:val="21"/>
              </w:rPr>
            </w:pPr>
          </w:p>
        </w:tc>
        <w:tc>
          <w:tcPr>
            <w:tcW w:w="1580" w:type="pct"/>
            <w:shd w:val="clear" w:color="auto" w:fill="auto"/>
            <w:vAlign w:val="center"/>
          </w:tcPr>
          <w:p w14:paraId="7C232D00"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Q20-AKM06</w:t>
            </w:r>
            <w:r>
              <w:rPr>
                <w:rFonts w:ascii="Times New Roman" w:hAnsi="Times New Roman" w:cs="Times New Roman" w:hint="eastAsia"/>
                <w:color w:val="000000"/>
                <w:sz w:val="21"/>
                <w:szCs w:val="21"/>
              </w:rPr>
              <w:t>箱体发泡线</w:t>
            </w:r>
          </w:p>
        </w:tc>
        <w:tc>
          <w:tcPr>
            <w:tcW w:w="998" w:type="pct"/>
            <w:vAlign w:val="center"/>
          </w:tcPr>
          <w:p w14:paraId="6C82650A"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728.83</w:t>
            </w:r>
          </w:p>
        </w:tc>
        <w:tc>
          <w:tcPr>
            <w:tcW w:w="915" w:type="pct"/>
            <w:vAlign w:val="center"/>
          </w:tcPr>
          <w:p w14:paraId="616B1D3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9.26</w:t>
            </w:r>
          </w:p>
        </w:tc>
        <w:tc>
          <w:tcPr>
            <w:tcW w:w="695" w:type="pct"/>
            <w:vAlign w:val="center"/>
          </w:tcPr>
          <w:p w14:paraId="654C355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w:t>
            </w:r>
          </w:p>
        </w:tc>
      </w:tr>
      <w:tr w:rsidR="000A0ACD" w14:paraId="640B88FA" w14:textId="77777777">
        <w:trPr>
          <w:trHeight w:val="340"/>
        </w:trPr>
        <w:tc>
          <w:tcPr>
            <w:tcW w:w="812" w:type="pct"/>
            <w:vMerge/>
            <w:vAlign w:val="center"/>
          </w:tcPr>
          <w:p w14:paraId="51FAB48B" w14:textId="77777777" w:rsidR="000A0ACD" w:rsidRDefault="000A0ACD">
            <w:pPr>
              <w:rPr>
                <w:rFonts w:ascii="Times New Roman" w:hAnsi="Times New Roman" w:cs="Times New Roman"/>
                <w:color w:val="000000"/>
                <w:sz w:val="21"/>
                <w:szCs w:val="21"/>
              </w:rPr>
            </w:pPr>
          </w:p>
        </w:tc>
        <w:tc>
          <w:tcPr>
            <w:tcW w:w="1580" w:type="pct"/>
            <w:shd w:val="clear" w:color="auto" w:fill="auto"/>
            <w:vAlign w:val="center"/>
          </w:tcPr>
          <w:p w14:paraId="19ED2CF0"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Q20-AKM11</w:t>
            </w:r>
            <w:r>
              <w:rPr>
                <w:rFonts w:ascii="Times New Roman" w:hAnsi="Times New Roman" w:cs="Times New Roman" w:hint="eastAsia"/>
                <w:color w:val="000000"/>
                <w:sz w:val="21"/>
                <w:szCs w:val="21"/>
              </w:rPr>
              <w:t>预混机及原料储存输送系统</w:t>
            </w:r>
          </w:p>
        </w:tc>
        <w:tc>
          <w:tcPr>
            <w:tcW w:w="998" w:type="pct"/>
            <w:vAlign w:val="center"/>
          </w:tcPr>
          <w:p w14:paraId="3AE1B101"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124.22</w:t>
            </w:r>
          </w:p>
        </w:tc>
        <w:tc>
          <w:tcPr>
            <w:tcW w:w="915" w:type="pct"/>
            <w:vAlign w:val="center"/>
          </w:tcPr>
          <w:p w14:paraId="7F50479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1.58</w:t>
            </w:r>
          </w:p>
        </w:tc>
        <w:tc>
          <w:tcPr>
            <w:tcW w:w="695" w:type="pct"/>
            <w:vAlign w:val="center"/>
          </w:tcPr>
          <w:p w14:paraId="45D6FF4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w:t>
            </w:r>
          </w:p>
        </w:tc>
      </w:tr>
      <w:tr w:rsidR="000A0ACD" w14:paraId="3BA09F72" w14:textId="77777777">
        <w:trPr>
          <w:trHeight w:val="340"/>
        </w:trPr>
        <w:tc>
          <w:tcPr>
            <w:tcW w:w="812" w:type="pct"/>
            <w:vMerge/>
            <w:vAlign w:val="center"/>
          </w:tcPr>
          <w:p w14:paraId="2992BE48" w14:textId="77777777" w:rsidR="000A0ACD" w:rsidRDefault="000A0ACD">
            <w:pPr>
              <w:rPr>
                <w:rFonts w:ascii="Times New Roman" w:hAnsi="Times New Roman" w:cs="Times New Roman"/>
                <w:color w:val="000000"/>
                <w:sz w:val="21"/>
                <w:szCs w:val="21"/>
              </w:rPr>
            </w:pPr>
          </w:p>
        </w:tc>
        <w:tc>
          <w:tcPr>
            <w:tcW w:w="1580" w:type="pct"/>
            <w:shd w:val="clear" w:color="auto" w:fill="auto"/>
            <w:vAlign w:val="center"/>
          </w:tcPr>
          <w:p w14:paraId="7D9A935D"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Q20-AKM07</w:t>
            </w:r>
            <w:r>
              <w:rPr>
                <w:rFonts w:ascii="Times New Roman" w:hAnsi="Times New Roman" w:cs="Times New Roman" w:hint="eastAsia"/>
                <w:color w:val="000000"/>
                <w:sz w:val="21"/>
                <w:szCs w:val="21"/>
              </w:rPr>
              <w:t>内胆吸附机设备</w:t>
            </w:r>
          </w:p>
        </w:tc>
        <w:tc>
          <w:tcPr>
            <w:tcW w:w="998" w:type="pct"/>
            <w:vAlign w:val="center"/>
          </w:tcPr>
          <w:p w14:paraId="2E14545E"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249.26</w:t>
            </w:r>
          </w:p>
        </w:tc>
        <w:tc>
          <w:tcPr>
            <w:tcW w:w="915" w:type="pct"/>
            <w:vAlign w:val="center"/>
          </w:tcPr>
          <w:p w14:paraId="5CF55E1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3.17</w:t>
            </w:r>
          </w:p>
        </w:tc>
        <w:tc>
          <w:tcPr>
            <w:tcW w:w="695" w:type="pct"/>
            <w:shd w:val="clear" w:color="auto" w:fill="auto"/>
            <w:vAlign w:val="center"/>
          </w:tcPr>
          <w:p w14:paraId="4C28285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40%</w:t>
            </w:r>
          </w:p>
        </w:tc>
      </w:tr>
      <w:tr w:rsidR="000A0ACD" w14:paraId="06D1E55B" w14:textId="77777777">
        <w:trPr>
          <w:trHeight w:val="340"/>
        </w:trPr>
        <w:tc>
          <w:tcPr>
            <w:tcW w:w="812" w:type="pct"/>
            <w:vMerge/>
            <w:vAlign w:val="center"/>
          </w:tcPr>
          <w:p w14:paraId="1C11AC56" w14:textId="77777777" w:rsidR="000A0ACD" w:rsidRDefault="000A0ACD">
            <w:pPr>
              <w:rPr>
                <w:rFonts w:ascii="Times New Roman" w:hAnsi="Times New Roman" w:cs="Times New Roman"/>
                <w:color w:val="000000"/>
                <w:sz w:val="21"/>
                <w:szCs w:val="21"/>
              </w:rPr>
            </w:pPr>
          </w:p>
        </w:tc>
        <w:tc>
          <w:tcPr>
            <w:tcW w:w="1580" w:type="pct"/>
            <w:shd w:val="clear" w:color="auto" w:fill="auto"/>
            <w:vAlign w:val="center"/>
          </w:tcPr>
          <w:p w14:paraId="6D0D2380"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Q20-AKM05</w:t>
            </w:r>
            <w:r>
              <w:rPr>
                <w:rFonts w:ascii="Times New Roman" w:hAnsi="Times New Roman" w:cs="Times New Roman" w:hint="eastAsia"/>
                <w:color w:val="000000"/>
                <w:sz w:val="21"/>
                <w:szCs w:val="21"/>
              </w:rPr>
              <w:t>澳柯玛箱体集存库</w:t>
            </w:r>
          </w:p>
        </w:tc>
        <w:tc>
          <w:tcPr>
            <w:tcW w:w="998" w:type="pct"/>
            <w:vAlign w:val="center"/>
          </w:tcPr>
          <w:p w14:paraId="2C17D18C"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73.56</w:t>
            </w:r>
          </w:p>
        </w:tc>
        <w:tc>
          <w:tcPr>
            <w:tcW w:w="915" w:type="pct"/>
            <w:vAlign w:val="center"/>
          </w:tcPr>
          <w:p w14:paraId="28CEBF0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0.93</w:t>
            </w:r>
          </w:p>
        </w:tc>
        <w:tc>
          <w:tcPr>
            <w:tcW w:w="695" w:type="pct"/>
            <w:shd w:val="clear" w:color="auto" w:fill="auto"/>
            <w:vAlign w:val="center"/>
          </w:tcPr>
          <w:p w14:paraId="1E82465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w:t>
            </w:r>
          </w:p>
        </w:tc>
      </w:tr>
      <w:tr w:rsidR="000A0ACD" w14:paraId="22AC4D47" w14:textId="77777777">
        <w:trPr>
          <w:trHeight w:val="340"/>
        </w:trPr>
        <w:tc>
          <w:tcPr>
            <w:tcW w:w="812" w:type="pct"/>
            <w:vMerge/>
            <w:vAlign w:val="center"/>
          </w:tcPr>
          <w:p w14:paraId="3D5894CC" w14:textId="77777777" w:rsidR="000A0ACD" w:rsidRDefault="000A0ACD">
            <w:pPr>
              <w:rPr>
                <w:rFonts w:ascii="Times New Roman" w:hAnsi="Times New Roman" w:cs="Times New Roman"/>
                <w:color w:val="000000"/>
                <w:sz w:val="21"/>
                <w:szCs w:val="21"/>
              </w:rPr>
            </w:pPr>
          </w:p>
        </w:tc>
        <w:tc>
          <w:tcPr>
            <w:tcW w:w="1580" w:type="pct"/>
            <w:shd w:val="clear" w:color="auto" w:fill="auto"/>
            <w:vAlign w:val="center"/>
          </w:tcPr>
          <w:p w14:paraId="0A512D8E"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Q20-AKM04-06/10</w:t>
            </w:r>
            <w:r>
              <w:rPr>
                <w:rFonts w:ascii="Times New Roman" w:hAnsi="Times New Roman" w:cs="Times New Roman" w:hint="eastAsia"/>
                <w:color w:val="000000"/>
                <w:sz w:val="21"/>
                <w:szCs w:val="21"/>
              </w:rPr>
              <w:t>机器人及系统集成</w:t>
            </w:r>
          </w:p>
        </w:tc>
        <w:tc>
          <w:tcPr>
            <w:tcW w:w="998" w:type="pct"/>
            <w:shd w:val="clear" w:color="auto" w:fill="auto"/>
            <w:vAlign w:val="center"/>
          </w:tcPr>
          <w:p w14:paraId="674D5316"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870.00</w:t>
            </w:r>
          </w:p>
        </w:tc>
        <w:tc>
          <w:tcPr>
            <w:tcW w:w="915" w:type="pct"/>
            <w:shd w:val="clear" w:color="auto" w:fill="auto"/>
            <w:vAlign w:val="center"/>
          </w:tcPr>
          <w:p w14:paraId="1C795D2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11.05</w:t>
            </w:r>
          </w:p>
        </w:tc>
        <w:tc>
          <w:tcPr>
            <w:tcW w:w="695" w:type="pct"/>
            <w:shd w:val="clear" w:color="auto" w:fill="auto"/>
            <w:vAlign w:val="center"/>
          </w:tcPr>
          <w:p w14:paraId="76F7FCD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60%</w:t>
            </w:r>
          </w:p>
        </w:tc>
      </w:tr>
      <w:tr w:rsidR="000A0ACD" w14:paraId="37B6C14A" w14:textId="77777777">
        <w:trPr>
          <w:trHeight w:val="340"/>
        </w:trPr>
        <w:tc>
          <w:tcPr>
            <w:tcW w:w="812" w:type="pct"/>
            <w:vMerge/>
            <w:vAlign w:val="center"/>
          </w:tcPr>
          <w:p w14:paraId="471D700A" w14:textId="77777777" w:rsidR="000A0ACD" w:rsidRDefault="000A0ACD">
            <w:pPr>
              <w:rPr>
                <w:rFonts w:ascii="Times New Roman" w:hAnsi="Times New Roman" w:cs="Times New Roman"/>
                <w:color w:val="000000"/>
                <w:sz w:val="21"/>
                <w:szCs w:val="21"/>
              </w:rPr>
            </w:pPr>
          </w:p>
        </w:tc>
        <w:tc>
          <w:tcPr>
            <w:tcW w:w="1580" w:type="pct"/>
            <w:shd w:val="clear" w:color="auto" w:fill="auto"/>
            <w:vAlign w:val="center"/>
          </w:tcPr>
          <w:p w14:paraId="4F6001E7"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Q20-AKM04-07AGV</w:t>
            </w:r>
            <w:r>
              <w:rPr>
                <w:rFonts w:ascii="Times New Roman" w:hAnsi="Times New Roman" w:cs="Times New Roman" w:hint="eastAsia"/>
                <w:color w:val="000000"/>
                <w:sz w:val="21"/>
                <w:szCs w:val="21"/>
              </w:rPr>
              <w:t>小车</w:t>
            </w:r>
          </w:p>
        </w:tc>
        <w:tc>
          <w:tcPr>
            <w:tcW w:w="998" w:type="pct"/>
            <w:shd w:val="clear" w:color="auto" w:fill="auto"/>
            <w:vAlign w:val="center"/>
          </w:tcPr>
          <w:p w14:paraId="3135E5B1"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120.00</w:t>
            </w:r>
          </w:p>
        </w:tc>
        <w:tc>
          <w:tcPr>
            <w:tcW w:w="915" w:type="pct"/>
            <w:shd w:val="clear" w:color="auto" w:fill="auto"/>
            <w:vAlign w:val="center"/>
          </w:tcPr>
          <w:p w14:paraId="7BB98AE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1.52</w:t>
            </w:r>
          </w:p>
        </w:tc>
        <w:tc>
          <w:tcPr>
            <w:tcW w:w="695" w:type="pct"/>
            <w:shd w:val="clear" w:color="auto" w:fill="auto"/>
            <w:vAlign w:val="center"/>
          </w:tcPr>
          <w:p w14:paraId="18134E7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60%</w:t>
            </w:r>
          </w:p>
        </w:tc>
      </w:tr>
      <w:tr w:rsidR="000A0ACD" w14:paraId="39FBFB34" w14:textId="77777777">
        <w:trPr>
          <w:trHeight w:val="340"/>
        </w:trPr>
        <w:tc>
          <w:tcPr>
            <w:tcW w:w="812" w:type="pct"/>
            <w:vMerge/>
            <w:vAlign w:val="center"/>
          </w:tcPr>
          <w:p w14:paraId="79221057" w14:textId="77777777" w:rsidR="000A0ACD" w:rsidRDefault="000A0ACD">
            <w:pPr>
              <w:rPr>
                <w:rFonts w:ascii="Times New Roman" w:hAnsi="Times New Roman" w:cs="Times New Roman"/>
                <w:color w:val="000000"/>
                <w:sz w:val="21"/>
                <w:szCs w:val="21"/>
              </w:rPr>
            </w:pPr>
          </w:p>
        </w:tc>
        <w:tc>
          <w:tcPr>
            <w:tcW w:w="1580" w:type="pct"/>
            <w:shd w:val="clear" w:color="auto" w:fill="auto"/>
            <w:vAlign w:val="center"/>
          </w:tcPr>
          <w:p w14:paraId="2AD9DF5B"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Q20-AKM04-08</w:t>
            </w:r>
            <w:r>
              <w:rPr>
                <w:rFonts w:ascii="Times New Roman" w:hAnsi="Times New Roman" w:cs="Times New Roman" w:hint="eastAsia"/>
                <w:color w:val="000000"/>
                <w:sz w:val="21"/>
                <w:szCs w:val="21"/>
              </w:rPr>
              <w:t>自动化物流装配线</w:t>
            </w:r>
          </w:p>
        </w:tc>
        <w:tc>
          <w:tcPr>
            <w:tcW w:w="998" w:type="pct"/>
            <w:shd w:val="clear" w:color="auto" w:fill="auto"/>
            <w:vAlign w:val="center"/>
          </w:tcPr>
          <w:p w14:paraId="035A6261"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512.00</w:t>
            </w:r>
          </w:p>
        </w:tc>
        <w:tc>
          <w:tcPr>
            <w:tcW w:w="915" w:type="pct"/>
            <w:shd w:val="clear" w:color="auto" w:fill="auto"/>
            <w:vAlign w:val="center"/>
          </w:tcPr>
          <w:p w14:paraId="3D7CDF2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6.50</w:t>
            </w:r>
          </w:p>
        </w:tc>
        <w:tc>
          <w:tcPr>
            <w:tcW w:w="695" w:type="pct"/>
            <w:shd w:val="clear" w:color="auto" w:fill="auto"/>
            <w:vAlign w:val="center"/>
          </w:tcPr>
          <w:p w14:paraId="7A8ACD8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w:t>
            </w:r>
          </w:p>
        </w:tc>
      </w:tr>
      <w:tr w:rsidR="000A0ACD" w14:paraId="4618B46F" w14:textId="77777777">
        <w:trPr>
          <w:trHeight w:val="340"/>
        </w:trPr>
        <w:tc>
          <w:tcPr>
            <w:tcW w:w="812" w:type="pct"/>
            <w:vMerge w:val="restart"/>
            <w:vAlign w:val="center"/>
          </w:tcPr>
          <w:p w14:paraId="12E0CC3D" w14:textId="77777777" w:rsidR="000A0ACD" w:rsidRDefault="00362A99">
            <w:pPr>
              <w:rPr>
                <w:rFonts w:ascii="Times New Roman" w:hAnsi="Times New Roman" w:cs="Times New Roman"/>
                <w:sz w:val="21"/>
                <w:szCs w:val="21"/>
              </w:rPr>
            </w:pPr>
            <w:bookmarkStart w:id="73" w:name="_Hlk68317789"/>
            <w:r>
              <w:rPr>
                <w:rFonts w:ascii="Times New Roman" w:hAnsi="Times New Roman" w:cs="Times New Roman"/>
                <w:sz w:val="21"/>
                <w:szCs w:val="21"/>
              </w:rPr>
              <w:t>Haier Appliances</w:t>
            </w:r>
          </w:p>
          <w:p w14:paraId="55080B89" w14:textId="77777777" w:rsidR="000A0ACD" w:rsidRDefault="00362A99">
            <w:pPr>
              <w:rPr>
                <w:rFonts w:ascii="Times New Roman" w:hAnsi="Times New Roman" w:cs="Times New Roman"/>
                <w:sz w:val="21"/>
                <w:szCs w:val="21"/>
              </w:rPr>
            </w:pPr>
            <w:r>
              <w:rPr>
                <w:rFonts w:ascii="Times New Roman" w:hAnsi="Times New Roman" w:cs="Times New Roman"/>
                <w:sz w:val="21"/>
                <w:szCs w:val="21"/>
              </w:rPr>
              <w:t>(India)</w:t>
            </w:r>
          </w:p>
          <w:p w14:paraId="30AF7CA2" w14:textId="77777777" w:rsidR="000A0ACD" w:rsidRDefault="00362A99">
            <w:pPr>
              <w:rPr>
                <w:rFonts w:ascii="Times New Roman" w:hAnsi="Times New Roman" w:cs="Times New Roman"/>
                <w:color w:val="000000"/>
                <w:sz w:val="21"/>
                <w:szCs w:val="21"/>
              </w:rPr>
            </w:pPr>
            <w:r>
              <w:rPr>
                <w:rFonts w:ascii="Times New Roman" w:hAnsi="Times New Roman" w:cs="Times New Roman"/>
                <w:sz w:val="21"/>
                <w:szCs w:val="21"/>
              </w:rPr>
              <w:t>Pvt.Ltd</w:t>
            </w:r>
          </w:p>
        </w:tc>
        <w:tc>
          <w:tcPr>
            <w:tcW w:w="1580" w:type="pct"/>
            <w:shd w:val="clear" w:color="auto" w:fill="auto"/>
            <w:vAlign w:val="center"/>
          </w:tcPr>
          <w:p w14:paraId="574D21FA"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sz w:val="21"/>
                <w:szCs w:val="21"/>
              </w:rPr>
              <w:t>Q20-HE01</w:t>
            </w:r>
            <w:r>
              <w:rPr>
                <w:rFonts w:ascii="Times New Roman" w:hAnsi="Times New Roman" w:cs="Times New Roman" w:hint="eastAsia"/>
                <w:sz w:val="21"/>
                <w:szCs w:val="21"/>
              </w:rPr>
              <w:t>印度空调项目</w:t>
            </w:r>
          </w:p>
        </w:tc>
        <w:tc>
          <w:tcPr>
            <w:tcW w:w="998" w:type="pct"/>
            <w:vMerge w:val="restart"/>
            <w:vAlign w:val="center"/>
          </w:tcPr>
          <w:p w14:paraId="451D467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2,024.65</w:t>
            </w:r>
          </w:p>
        </w:tc>
        <w:tc>
          <w:tcPr>
            <w:tcW w:w="915" w:type="pct"/>
            <w:vMerge w:val="restart"/>
            <w:vAlign w:val="center"/>
          </w:tcPr>
          <w:p w14:paraId="0F252A7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25.72</w:t>
            </w:r>
          </w:p>
        </w:tc>
        <w:tc>
          <w:tcPr>
            <w:tcW w:w="695" w:type="pct"/>
            <w:vMerge w:val="restart"/>
            <w:shd w:val="clear" w:color="auto" w:fill="auto"/>
            <w:vAlign w:val="center"/>
          </w:tcPr>
          <w:p w14:paraId="1FDB961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70%</w:t>
            </w:r>
          </w:p>
        </w:tc>
      </w:tr>
      <w:tr w:rsidR="000A0ACD" w14:paraId="171FEA8F" w14:textId="77777777">
        <w:trPr>
          <w:trHeight w:val="340"/>
        </w:trPr>
        <w:tc>
          <w:tcPr>
            <w:tcW w:w="812" w:type="pct"/>
            <w:vMerge/>
            <w:vAlign w:val="center"/>
          </w:tcPr>
          <w:p w14:paraId="3CCEF13F" w14:textId="77777777" w:rsidR="000A0ACD" w:rsidRDefault="000A0ACD">
            <w:pPr>
              <w:rPr>
                <w:rFonts w:ascii="Times New Roman" w:hAnsi="Times New Roman" w:cs="Times New Roman"/>
                <w:sz w:val="21"/>
                <w:szCs w:val="21"/>
              </w:rPr>
            </w:pPr>
          </w:p>
        </w:tc>
        <w:tc>
          <w:tcPr>
            <w:tcW w:w="1580" w:type="pct"/>
            <w:shd w:val="clear" w:color="auto" w:fill="auto"/>
            <w:vAlign w:val="center"/>
          </w:tcPr>
          <w:p w14:paraId="6A09DF71"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Q19-HE20</w:t>
            </w:r>
            <w:r>
              <w:rPr>
                <w:rFonts w:ascii="Times New Roman" w:hAnsi="Times New Roman" w:cs="Times New Roman" w:hint="eastAsia"/>
                <w:sz w:val="21"/>
                <w:szCs w:val="21"/>
              </w:rPr>
              <w:t>印度冰箱项目</w:t>
            </w:r>
          </w:p>
        </w:tc>
        <w:tc>
          <w:tcPr>
            <w:tcW w:w="998" w:type="pct"/>
            <w:vMerge/>
            <w:vAlign w:val="center"/>
          </w:tcPr>
          <w:p w14:paraId="17CDDEED" w14:textId="77777777" w:rsidR="000A0ACD" w:rsidRDefault="000A0ACD">
            <w:pPr>
              <w:jc w:val="right"/>
              <w:rPr>
                <w:rFonts w:ascii="Times New Roman" w:hAnsi="Times New Roman" w:cs="Times New Roman"/>
                <w:sz w:val="21"/>
                <w:szCs w:val="21"/>
              </w:rPr>
            </w:pPr>
          </w:p>
        </w:tc>
        <w:tc>
          <w:tcPr>
            <w:tcW w:w="915" w:type="pct"/>
            <w:vMerge/>
            <w:vAlign w:val="center"/>
          </w:tcPr>
          <w:p w14:paraId="4FEDDAA7" w14:textId="77777777" w:rsidR="000A0ACD" w:rsidRDefault="000A0ACD">
            <w:pPr>
              <w:jc w:val="right"/>
              <w:rPr>
                <w:rFonts w:ascii="Times New Roman" w:hAnsi="Times New Roman" w:cs="Times New Roman"/>
                <w:color w:val="000000"/>
                <w:sz w:val="21"/>
                <w:szCs w:val="21"/>
              </w:rPr>
            </w:pPr>
          </w:p>
        </w:tc>
        <w:tc>
          <w:tcPr>
            <w:tcW w:w="695" w:type="pct"/>
            <w:vMerge/>
            <w:shd w:val="clear" w:color="auto" w:fill="auto"/>
            <w:vAlign w:val="center"/>
          </w:tcPr>
          <w:p w14:paraId="72EA071D" w14:textId="77777777" w:rsidR="000A0ACD" w:rsidRDefault="000A0ACD">
            <w:pPr>
              <w:jc w:val="right"/>
              <w:rPr>
                <w:rFonts w:ascii="Times New Roman" w:hAnsi="Times New Roman" w:cs="Times New Roman"/>
                <w:sz w:val="21"/>
                <w:szCs w:val="21"/>
              </w:rPr>
            </w:pPr>
          </w:p>
        </w:tc>
      </w:tr>
      <w:bookmarkEnd w:id="73"/>
      <w:tr w:rsidR="000A0ACD" w14:paraId="1557A993" w14:textId="77777777">
        <w:trPr>
          <w:trHeight w:val="340"/>
        </w:trPr>
        <w:tc>
          <w:tcPr>
            <w:tcW w:w="812" w:type="pct"/>
            <w:vAlign w:val="center"/>
          </w:tcPr>
          <w:p w14:paraId="3E762FB7" w14:textId="77777777" w:rsidR="000A0ACD" w:rsidRDefault="00362A99">
            <w:pPr>
              <w:rPr>
                <w:rFonts w:ascii="Times New Roman" w:hAnsi="Times New Roman" w:cs="Times New Roman"/>
                <w:color w:val="000000"/>
                <w:sz w:val="21"/>
                <w:szCs w:val="21"/>
              </w:rPr>
            </w:pPr>
            <w:r>
              <w:rPr>
                <w:rFonts w:ascii="Times New Roman" w:hAnsi="Times New Roman" w:cs="Times New Roman"/>
                <w:sz w:val="21"/>
                <w:szCs w:val="21"/>
              </w:rPr>
              <w:t>HAIER TECH S.R.L.</w:t>
            </w:r>
          </w:p>
        </w:tc>
        <w:tc>
          <w:tcPr>
            <w:tcW w:w="1580" w:type="pct"/>
            <w:shd w:val="clear" w:color="auto" w:fill="auto"/>
            <w:vAlign w:val="center"/>
          </w:tcPr>
          <w:p w14:paraId="5711490F"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sz w:val="21"/>
                <w:szCs w:val="21"/>
              </w:rPr>
              <w:t>Q20-HE19</w:t>
            </w:r>
            <w:r>
              <w:rPr>
                <w:rFonts w:ascii="Times New Roman" w:hAnsi="Times New Roman" w:cs="Times New Roman" w:hint="eastAsia"/>
                <w:sz w:val="21"/>
                <w:szCs w:val="21"/>
              </w:rPr>
              <w:t>罗马尼亚冰箱总装线</w:t>
            </w:r>
          </w:p>
        </w:tc>
        <w:tc>
          <w:tcPr>
            <w:tcW w:w="998" w:type="pct"/>
            <w:vAlign w:val="center"/>
          </w:tcPr>
          <w:p w14:paraId="4D2CAC8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sz w:val="21"/>
                <w:szCs w:val="21"/>
              </w:rPr>
              <w:t>1,308.83</w:t>
            </w:r>
          </w:p>
        </w:tc>
        <w:tc>
          <w:tcPr>
            <w:tcW w:w="915" w:type="pct"/>
            <w:vAlign w:val="center"/>
          </w:tcPr>
          <w:p w14:paraId="45E375F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16.62</w:t>
            </w:r>
          </w:p>
        </w:tc>
        <w:tc>
          <w:tcPr>
            <w:tcW w:w="695" w:type="pct"/>
            <w:shd w:val="clear" w:color="auto" w:fill="auto"/>
            <w:vAlign w:val="center"/>
          </w:tcPr>
          <w:p w14:paraId="42320E3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50%</w:t>
            </w:r>
          </w:p>
        </w:tc>
      </w:tr>
      <w:tr w:rsidR="000A0ACD" w14:paraId="76B35122" w14:textId="77777777">
        <w:trPr>
          <w:trHeight w:val="340"/>
        </w:trPr>
        <w:tc>
          <w:tcPr>
            <w:tcW w:w="812" w:type="pct"/>
            <w:vMerge w:val="restart"/>
            <w:vAlign w:val="center"/>
          </w:tcPr>
          <w:p w14:paraId="5F112738"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sz w:val="21"/>
                <w:szCs w:val="21"/>
              </w:rPr>
              <w:t>青岛聚众力工业装备有限公司</w:t>
            </w:r>
          </w:p>
        </w:tc>
        <w:tc>
          <w:tcPr>
            <w:tcW w:w="1580" w:type="pct"/>
            <w:shd w:val="clear" w:color="auto" w:fill="auto"/>
            <w:vAlign w:val="center"/>
          </w:tcPr>
          <w:p w14:paraId="301A7FBD"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Q20-HE18</w:t>
            </w:r>
            <w:r>
              <w:rPr>
                <w:rFonts w:ascii="Times New Roman" w:hAnsi="Times New Roman" w:cs="Times New Roman" w:hint="eastAsia"/>
                <w:color w:val="000000"/>
                <w:sz w:val="21"/>
                <w:szCs w:val="21"/>
              </w:rPr>
              <w:t>合肥冰箱总装线</w:t>
            </w:r>
          </w:p>
        </w:tc>
        <w:tc>
          <w:tcPr>
            <w:tcW w:w="998" w:type="pct"/>
            <w:vAlign w:val="center"/>
          </w:tcPr>
          <w:p w14:paraId="03A33AD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556.99</w:t>
            </w:r>
          </w:p>
        </w:tc>
        <w:tc>
          <w:tcPr>
            <w:tcW w:w="915" w:type="pct"/>
            <w:vAlign w:val="center"/>
          </w:tcPr>
          <w:p w14:paraId="281456D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7.07</w:t>
            </w:r>
          </w:p>
        </w:tc>
        <w:tc>
          <w:tcPr>
            <w:tcW w:w="695" w:type="pct"/>
            <w:vAlign w:val="center"/>
          </w:tcPr>
          <w:p w14:paraId="2F554E8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60%</w:t>
            </w:r>
          </w:p>
        </w:tc>
      </w:tr>
      <w:tr w:rsidR="000A0ACD" w14:paraId="54388A55" w14:textId="77777777">
        <w:trPr>
          <w:trHeight w:val="340"/>
        </w:trPr>
        <w:tc>
          <w:tcPr>
            <w:tcW w:w="812" w:type="pct"/>
            <w:vMerge/>
            <w:vAlign w:val="center"/>
          </w:tcPr>
          <w:p w14:paraId="583C845B" w14:textId="77777777" w:rsidR="000A0ACD" w:rsidRDefault="000A0ACD">
            <w:pPr>
              <w:rPr>
                <w:rFonts w:ascii="Times New Roman" w:hAnsi="Times New Roman" w:cs="Times New Roman"/>
                <w:color w:val="000000"/>
                <w:sz w:val="21"/>
                <w:szCs w:val="21"/>
              </w:rPr>
            </w:pPr>
          </w:p>
        </w:tc>
        <w:tc>
          <w:tcPr>
            <w:tcW w:w="1580" w:type="pct"/>
            <w:shd w:val="clear" w:color="auto" w:fill="auto"/>
            <w:vAlign w:val="center"/>
          </w:tcPr>
          <w:p w14:paraId="24AE6C67"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Q20-HE17</w:t>
            </w:r>
            <w:r>
              <w:rPr>
                <w:rFonts w:ascii="Times New Roman" w:hAnsi="Times New Roman" w:cs="Times New Roman" w:hint="eastAsia"/>
                <w:color w:val="000000"/>
                <w:sz w:val="21"/>
                <w:szCs w:val="21"/>
              </w:rPr>
              <w:t>中德冰箱预装线</w:t>
            </w:r>
          </w:p>
        </w:tc>
        <w:tc>
          <w:tcPr>
            <w:tcW w:w="998" w:type="pct"/>
            <w:vAlign w:val="center"/>
          </w:tcPr>
          <w:p w14:paraId="528180F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sz w:val="21"/>
                <w:szCs w:val="21"/>
              </w:rPr>
              <w:t>372.21</w:t>
            </w:r>
          </w:p>
        </w:tc>
        <w:tc>
          <w:tcPr>
            <w:tcW w:w="915" w:type="pct"/>
            <w:vAlign w:val="center"/>
          </w:tcPr>
          <w:p w14:paraId="4D3E2E0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4.73</w:t>
            </w:r>
          </w:p>
        </w:tc>
        <w:tc>
          <w:tcPr>
            <w:tcW w:w="695" w:type="pct"/>
            <w:vAlign w:val="center"/>
          </w:tcPr>
          <w:p w14:paraId="657853E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60%</w:t>
            </w:r>
          </w:p>
        </w:tc>
      </w:tr>
      <w:tr w:rsidR="000A0ACD" w14:paraId="3FE10ECE" w14:textId="77777777">
        <w:trPr>
          <w:trHeight w:val="340"/>
        </w:trPr>
        <w:tc>
          <w:tcPr>
            <w:tcW w:w="812" w:type="pct"/>
            <w:vAlign w:val="center"/>
          </w:tcPr>
          <w:p w14:paraId="181FB38D"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其他</w:t>
            </w:r>
          </w:p>
        </w:tc>
        <w:tc>
          <w:tcPr>
            <w:tcW w:w="1580" w:type="pct"/>
            <w:shd w:val="clear" w:color="auto" w:fill="auto"/>
            <w:vAlign w:val="center"/>
          </w:tcPr>
          <w:p w14:paraId="1337E571"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多个项目</w:t>
            </w:r>
          </w:p>
        </w:tc>
        <w:tc>
          <w:tcPr>
            <w:tcW w:w="998" w:type="pct"/>
            <w:vAlign w:val="center"/>
          </w:tcPr>
          <w:p w14:paraId="6269E2E3" w14:textId="77777777" w:rsidR="000A0ACD" w:rsidRDefault="00362A99">
            <w:pPr>
              <w:jc w:val="right"/>
              <w:rPr>
                <w:rFonts w:ascii="Times New Roman" w:hAnsi="Times New Roman" w:cs="Times New Roman"/>
                <w:sz w:val="21"/>
                <w:szCs w:val="21"/>
              </w:rPr>
            </w:pPr>
            <w:r>
              <w:rPr>
                <w:rFonts w:ascii="Times New Roman" w:hAnsi="Times New Roman" w:cs="Times New Roman"/>
                <w:color w:val="000000"/>
                <w:sz w:val="21"/>
                <w:szCs w:val="21"/>
              </w:rPr>
              <w:t>201.51</w:t>
            </w:r>
          </w:p>
        </w:tc>
        <w:tc>
          <w:tcPr>
            <w:tcW w:w="915" w:type="pct"/>
            <w:vAlign w:val="center"/>
          </w:tcPr>
          <w:p w14:paraId="1331F93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2.56</w:t>
            </w:r>
          </w:p>
        </w:tc>
        <w:tc>
          <w:tcPr>
            <w:tcW w:w="695" w:type="pct"/>
            <w:vAlign w:val="center"/>
          </w:tcPr>
          <w:p w14:paraId="7F321874" w14:textId="77777777" w:rsidR="000A0ACD" w:rsidRDefault="00362A99">
            <w:pPr>
              <w:jc w:val="right"/>
              <w:rPr>
                <w:rFonts w:ascii="Times New Roman" w:hAnsi="Times New Roman" w:cs="Times New Roman"/>
                <w:sz w:val="21"/>
                <w:szCs w:val="21"/>
              </w:rPr>
            </w:pPr>
            <w:r>
              <w:rPr>
                <w:rFonts w:ascii="Times New Roman" w:hAnsi="Times New Roman" w:cs="Times New Roman" w:hint="eastAsia"/>
                <w:sz w:val="21"/>
                <w:szCs w:val="21"/>
              </w:rPr>
              <w:t>多个项目</w:t>
            </w:r>
          </w:p>
        </w:tc>
      </w:tr>
      <w:tr w:rsidR="000A0ACD" w14:paraId="09069041" w14:textId="77777777">
        <w:trPr>
          <w:trHeight w:val="340"/>
        </w:trPr>
        <w:tc>
          <w:tcPr>
            <w:tcW w:w="2392" w:type="pct"/>
            <w:gridSpan w:val="2"/>
            <w:vAlign w:val="center"/>
          </w:tcPr>
          <w:p w14:paraId="3801C7A2"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998" w:type="pct"/>
            <w:vAlign w:val="center"/>
          </w:tcPr>
          <w:p w14:paraId="375460AD"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7,873.56</w:t>
            </w:r>
          </w:p>
        </w:tc>
        <w:tc>
          <w:tcPr>
            <w:tcW w:w="915" w:type="pct"/>
            <w:vAlign w:val="center"/>
          </w:tcPr>
          <w:p w14:paraId="3B0DA9FC"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c>
          <w:tcPr>
            <w:tcW w:w="695" w:type="pct"/>
            <w:vAlign w:val="center"/>
          </w:tcPr>
          <w:p w14:paraId="163EF9EC"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不适用</w:t>
            </w:r>
          </w:p>
        </w:tc>
      </w:tr>
    </w:tbl>
    <w:bookmarkEnd w:id="70"/>
    <w:bookmarkEnd w:id="71"/>
    <w:bookmarkEnd w:id="72"/>
    <w:p w14:paraId="5BD8C5F5" w14:textId="77777777" w:rsidR="000A0ACD" w:rsidRPr="00D2687A" w:rsidRDefault="00362A99" w:rsidP="00D2687A">
      <w:pPr>
        <w:spacing w:beforeLines="50" w:before="156" w:line="360" w:lineRule="auto"/>
        <w:ind w:firstLineChars="200" w:firstLine="480"/>
        <w:jc w:val="both"/>
        <w:rPr>
          <w:rFonts w:ascii="Times New Roman" w:hAnsi="Times New Roman" w:cs="Times New Roman"/>
          <w:bCs/>
          <w:color w:val="000000"/>
          <w:lang w:val="en-GB"/>
        </w:rPr>
      </w:pPr>
      <w:r w:rsidRPr="00D2687A">
        <w:rPr>
          <w:rFonts w:ascii="Times New Roman" w:hAnsi="Times New Roman" w:cs="Times New Roman"/>
          <w:bCs/>
          <w:color w:val="000000"/>
          <w:lang w:val="en-GB" w:bidi="ar"/>
        </w:rPr>
        <w:t>综上所述，标的公司流动负债增长较快具有合理性。</w:t>
      </w:r>
    </w:p>
    <w:p w14:paraId="262F389F"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（二）标的资产偿债能力减弱的原因</w:t>
      </w:r>
    </w:p>
    <w:p w14:paraId="7C9C05D2"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报告期内，标的公司偿债能力相关指标如下：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516"/>
        <w:gridCol w:w="1984"/>
        <w:gridCol w:w="2011"/>
        <w:gridCol w:w="2011"/>
      </w:tblGrid>
      <w:tr w:rsidR="000A0ACD" w14:paraId="4D99ABD3" w14:textId="77777777">
        <w:trPr>
          <w:trHeight w:val="397"/>
          <w:tblHeader/>
        </w:trPr>
        <w:tc>
          <w:tcPr>
            <w:tcW w:w="1477" w:type="pct"/>
            <w:shd w:val="clear" w:color="auto" w:fill="auto"/>
            <w:vAlign w:val="center"/>
          </w:tcPr>
          <w:p w14:paraId="0898563C" w14:textId="77777777" w:rsidR="000A0ACD" w:rsidRDefault="00362A99">
            <w:pPr>
              <w:keepNext/>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1164" w:type="pct"/>
            <w:shd w:val="clear" w:color="auto" w:fill="auto"/>
            <w:vAlign w:val="center"/>
          </w:tcPr>
          <w:p w14:paraId="5730E289" w14:textId="77777777" w:rsidR="000A0ACD" w:rsidRDefault="00362A99">
            <w:pPr>
              <w:keepNext/>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b/>
                <w:bCs/>
                <w:color w:val="000000"/>
                <w:sz w:val="21"/>
                <w:szCs w:val="21"/>
              </w:rPr>
              <w:t>31</w:t>
            </w:r>
            <w:r>
              <w:rPr>
                <w:rFonts w:ascii="Times New Roman" w:hAnsi="Times New Roman" w:cs="Times New Roman" w:hint="eastAsia"/>
                <w:b/>
                <w:bCs/>
                <w:color w:val="000000"/>
                <w:sz w:val="21"/>
                <w:szCs w:val="21"/>
              </w:rPr>
              <w:t>日</w:t>
            </w:r>
            <w:r>
              <w:rPr>
                <w:rFonts w:ascii="Times New Roman" w:hAnsi="Times New Roman" w:cs="Times New Roman"/>
                <w:b/>
                <w:bCs/>
                <w:color w:val="000000"/>
                <w:sz w:val="21"/>
                <w:szCs w:val="21"/>
              </w:rPr>
              <w:t>/</w:t>
            </w:r>
          </w:p>
          <w:p w14:paraId="096F7817" w14:textId="77777777" w:rsidR="000A0ACD" w:rsidRDefault="00362A99">
            <w:pPr>
              <w:keepNext/>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2020</w:t>
            </w:r>
            <w:r>
              <w:rPr>
                <w:rFonts w:ascii="Times New Roman" w:hAnsi="Times New Roman" w:cs="Times New Roman" w:hint="eastAsia"/>
                <w:b/>
                <w:bCs/>
                <w:color w:val="000000"/>
                <w:sz w:val="21"/>
                <w:szCs w:val="21"/>
              </w:rPr>
              <w:t>年度</w:t>
            </w:r>
          </w:p>
        </w:tc>
        <w:tc>
          <w:tcPr>
            <w:tcW w:w="1179" w:type="pct"/>
            <w:shd w:val="clear" w:color="auto" w:fill="auto"/>
            <w:noWrap/>
            <w:vAlign w:val="center"/>
          </w:tcPr>
          <w:p w14:paraId="145EC76D" w14:textId="77777777" w:rsidR="000A0ACD" w:rsidRDefault="00362A99">
            <w:pPr>
              <w:keepNext/>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b/>
                <w:bCs/>
                <w:color w:val="000000"/>
                <w:sz w:val="21"/>
                <w:szCs w:val="21"/>
              </w:rPr>
              <w:t>31</w:t>
            </w:r>
            <w:r>
              <w:rPr>
                <w:rFonts w:ascii="Times New Roman" w:hAnsi="Times New Roman" w:cs="Times New Roman" w:hint="eastAsia"/>
                <w:b/>
                <w:bCs/>
                <w:color w:val="000000"/>
                <w:sz w:val="21"/>
                <w:szCs w:val="21"/>
              </w:rPr>
              <w:t>日</w:t>
            </w:r>
            <w:r>
              <w:rPr>
                <w:rFonts w:ascii="Times New Roman" w:hAnsi="Times New Roman" w:cs="Times New Roman"/>
                <w:b/>
                <w:bCs/>
                <w:color w:val="000000"/>
                <w:sz w:val="21"/>
                <w:szCs w:val="21"/>
              </w:rPr>
              <w:t>/</w:t>
            </w:r>
          </w:p>
          <w:p w14:paraId="13155580" w14:textId="77777777" w:rsidR="000A0ACD" w:rsidRDefault="00362A99">
            <w:pPr>
              <w:keepNext/>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2019</w:t>
            </w:r>
            <w:r>
              <w:rPr>
                <w:rFonts w:ascii="Times New Roman" w:hAnsi="Times New Roman" w:cs="Times New Roman" w:hint="eastAsia"/>
                <w:b/>
                <w:bCs/>
                <w:color w:val="000000"/>
                <w:sz w:val="21"/>
                <w:szCs w:val="21"/>
              </w:rPr>
              <w:t>年度</w:t>
            </w:r>
          </w:p>
        </w:tc>
        <w:tc>
          <w:tcPr>
            <w:tcW w:w="1179" w:type="pct"/>
            <w:shd w:val="clear" w:color="auto" w:fill="auto"/>
            <w:noWrap/>
            <w:vAlign w:val="center"/>
          </w:tcPr>
          <w:p w14:paraId="347DCC1E" w14:textId="77777777" w:rsidR="000A0ACD" w:rsidRDefault="00362A99">
            <w:pPr>
              <w:keepNext/>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b/>
                <w:bCs/>
                <w:color w:val="000000"/>
                <w:sz w:val="21"/>
                <w:szCs w:val="21"/>
              </w:rPr>
              <w:t>31</w:t>
            </w:r>
            <w:r>
              <w:rPr>
                <w:rFonts w:ascii="Times New Roman" w:hAnsi="Times New Roman" w:cs="Times New Roman" w:hint="eastAsia"/>
                <w:b/>
                <w:bCs/>
                <w:color w:val="000000"/>
                <w:sz w:val="21"/>
                <w:szCs w:val="21"/>
              </w:rPr>
              <w:t>日</w:t>
            </w:r>
            <w:r>
              <w:rPr>
                <w:rFonts w:ascii="Times New Roman" w:hAnsi="Times New Roman" w:cs="Times New Roman"/>
                <w:b/>
                <w:bCs/>
                <w:color w:val="000000"/>
                <w:sz w:val="21"/>
                <w:szCs w:val="21"/>
              </w:rPr>
              <w:t>/</w:t>
            </w:r>
          </w:p>
          <w:p w14:paraId="590C72B7" w14:textId="77777777" w:rsidR="000A0ACD" w:rsidRDefault="00362A99">
            <w:pPr>
              <w:keepNext/>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2018</w:t>
            </w:r>
            <w:r>
              <w:rPr>
                <w:rFonts w:ascii="Times New Roman" w:hAnsi="Times New Roman" w:cs="Times New Roman" w:hint="eastAsia"/>
                <w:b/>
                <w:bCs/>
                <w:color w:val="000000"/>
                <w:sz w:val="21"/>
                <w:szCs w:val="21"/>
              </w:rPr>
              <w:t>年度</w:t>
            </w:r>
          </w:p>
        </w:tc>
      </w:tr>
      <w:tr w:rsidR="000A0ACD" w14:paraId="43E4BA88" w14:textId="77777777">
        <w:trPr>
          <w:trHeight w:val="397"/>
        </w:trPr>
        <w:tc>
          <w:tcPr>
            <w:tcW w:w="1477" w:type="pct"/>
            <w:shd w:val="clear" w:color="auto" w:fill="auto"/>
            <w:vAlign w:val="center"/>
          </w:tcPr>
          <w:p w14:paraId="1B619339"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流动比率（倍）</w:t>
            </w:r>
          </w:p>
        </w:tc>
        <w:tc>
          <w:tcPr>
            <w:tcW w:w="1164" w:type="pct"/>
            <w:shd w:val="clear" w:color="auto" w:fill="auto"/>
            <w:noWrap/>
            <w:vAlign w:val="center"/>
          </w:tcPr>
          <w:p w14:paraId="0959B5D2"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等线" w:hAnsi="Times New Roman" w:cs="Times New Roman"/>
                <w:color w:val="000000"/>
                <w:sz w:val="21"/>
                <w:szCs w:val="21"/>
              </w:rPr>
              <w:t>1.47</w:t>
            </w:r>
          </w:p>
        </w:tc>
        <w:tc>
          <w:tcPr>
            <w:tcW w:w="1179" w:type="pct"/>
            <w:shd w:val="clear" w:color="auto" w:fill="auto"/>
            <w:noWrap/>
            <w:vAlign w:val="center"/>
          </w:tcPr>
          <w:p w14:paraId="51A0F109" w14:textId="77777777" w:rsidR="000A0ACD" w:rsidRDefault="00362A99">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2.51</w:t>
            </w:r>
          </w:p>
        </w:tc>
        <w:tc>
          <w:tcPr>
            <w:tcW w:w="1179" w:type="pct"/>
            <w:shd w:val="clear" w:color="auto" w:fill="auto"/>
            <w:noWrap/>
            <w:vAlign w:val="center"/>
          </w:tcPr>
          <w:p w14:paraId="264BC581" w14:textId="77777777" w:rsidR="000A0ACD" w:rsidRDefault="00362A99">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2.26</w:t>
            </w:r>
          </w:p>
        </w:tc>
      </w:tr>
      <w:tr w:rsidR="000A0ACD" w14:paraId="31B19640" w14:textId="77777777">
        <w:trPr>
          <w:trHeight w:val="397"/>
        </w:trPr>
        <w:tc>
          <w:tcPr>
            <w:tcW w:w="1477" w:type="pct"/>
            <w:shd w:val="clear" w:color="auto" w:fill="auto"/>
            <w:vAlign w:val="center"/>
          </w:tcPr>
          <w:p w14:paraId="38D4D6FD"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速动比率（倍）</w:t>
            </w:r>
          </w:p>
        </w:tc>
        <w:tc>
          <w:tcPr>
            <w:tcW w:w="1164" w:type="pct"/>
            <w:shd w:val="clear" w:color="auto" w:fill="auto"/>
            <w:noWrap/>
            <w:vAlign w:val="center"/>
          </w:tcPr>
          <w:p w14:paraId="58486ABF" w14:textId="77777777" w:rsidR="000A0ACD" w:rsidRDefault="00362A99">
            <w:pPr>
              <w:jc w:val="right"/>
              <w:rPr>
                <w:rFonts w:ascii="Times New Roman" w:eastAsia="等线" w:hAnsi="Times New Roman" w:cs="Times New Roman"/>
                <w:color w:val="000000"/>
                <w:sz w:val="21"/>
                <w:szCs w:val="21"/>
                <w:lang w:val="en-GB"/>
              </w:rPr>
            </w:pPr>
            <w:r>
              <w:rPr>
                <w:rFonts w:ascii="Times New Roman" w:eastAsia="等线" w:hAnsi="Times New Roman" w:cs="Times New Roman"/>
                <w:color w:val="000000"/>
                <w:sz w:val="21"/>
                <w:szCs w:val="21"/>
              </w:rPr>
              <w:t>1.18</w:t>
            </w:r>
          </w:p>
        </w:tc>
        <w:tc>
          <w:tcPr>
            <w:tcW w:w="1179" w:type="pct"/>
            <w:shd w:val="clear" w:color="auto" w:fill="auto"/>
            <w:noWrap/>
            <w:vAlign w:val="center"/>
          </w:tcPr>
          <w:p w14:paraId="6D33FC1F" w14:textId="77777777" w:rsidR="000A0ACD" w:rsidRDefault="00362A99">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2.03</w:t>
            </w:r>
          </w:p>
        </w:tc>
        <w:tc>
          <w:tcPr>
            <w:tcW w:w="1179" w:type="pct"/>
            <w:shd w:val="clear" w:color="auto" w:fill="auto"/>
            <w:noWrap/>
            <w:vAlign w:val="center"/>
          </w:tcPr>
          <w:p w14:paraId="7E5C3030" w14:textId="77777777" w:rsidR="000A0ACD" w:rsidRDefault="00362A99">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1.60</w:t>
            </w:r>
          </w:p>
        </w:tc>
      </w:tr>
      <w:tr w:rsidR="000A0ACD" w14:paraId="5CE4276C" w14:textId="77777777">
        <w:trPr>
          <w:trHeight w:val="397"/>
        </w:trPr>
        <w:tc>
          <w:tcPr>
            <w:tcW w:w="1477" w:type="pct"/>
            <w:shd w:val="clear" w:color="auto" w:fill="auto"/>
            <w:vAlign w:val="center"/>
          </w:tcPr>
          <w:p w14:paraId="04DDF5FD"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资产负债率</w:t>
            </w:r>
          </w:p>
        </w:tc>
        <w:tc>
          <w:tcPr>
            <w:tcW w:w="1164" w:type="pct"/>
            <w:shd w:val="clear" w:color="auto" w:fill="auto"/>
            <w:noWrap/>
            <w:vAlign w:val="center"/>
          </w:tcPr>
          <w:p w14:paraId="52328B21" w14:textId="77777777" w:rsidR="000A0ACD" w:rsidRDefault="00362A99">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67.78%</w:t>
            </w:r>
          </w:p>
        </w:tc>
        <w:tc>
          <w:tcPr>
            <w:tcW w:w="1179" w:type="pct"/>
            <w:shd w:val="clear" w:color="auto" w:fill="auto"/>
            <w:noWrap/>
            <w:vAlign w:val="center"/>
          </w:tcPr>
          <w:p w14:paraId="78104EDF" w14:textId="77777777" w:rsidR="000A0ACD" w:rsidRDefault="00362A99">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39.31%</w:t>
            </w:r>
          </w:p>
        </w:tc>
        <w:tc>
          <w:tcPr>
            <w:tcW w:w="1179" w:type="pct"/>
            <w:shd w:val="clear" w:color="auto" w:fill="auto"/>
            <w:noWrap/>
            <w:vAlign w:val="center"/>
          </w:tcPr>
          <w:p w14:paraId="24AEB1B5" w14:textId="77777777" w:rsidR="000A0ACD" w:rsidRDefault="00362A99">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43.41%</w:t>
            </w:r>
          </w:p>
        </w:tc>
      </w:tr>
      <w:tr w:rsidR="000A0ACD" w14:paraId="6DAC36B7" w14:textId="77777777">
        <w:trPr>
          <w:trHeight w:val="397"/>
        </w:trPr>
        <w:tc>
          <w:tcPr>
            <w:tcW w:w="1477" w:type="pct"/>
            <w:shd w:val="clear" w:color="auto" w:fill="auto"/>
            <w:vAlign w:val="center"/>
          </w:tcPr>
          <w:p w14:paraId="37C93CB1"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息税折旧摊销前利润（万元）</w:t>
            </w:r>
          </w:p>
        </w:tc>
        <w:tc>
          <w:tcPr>
            <w:tcW w:w="1164" w:type="pct"/>
            <w:shd w:val="clear" w:color="auto" w:fill="auto"/>
            <w:noWrap/>
            <w:vAlign w:val="center"/>
          </w:tcPr>
          <w:p w14:paraId="3E2A1FB4" w14:textId="77777777" w:rsidR="000A0ACD" w:rsidRDefault="00362A99">
            <w:pPr>
              <w:jc w:val="right"/>
              <w:rPr>
                <w:rFonts w:ascii="Times New Roman" w:hAnsi="Times New Roman" w:cs="Times New Roman"/>
                <w:color w:val="0070C0"/>
                <w:sz w:val="21"/>
                <w:szCs w:val="21"/>
                <w:lang w:val="en-GB"/>
              </w:rPr>
            </w:pPr>
            <w:r>
              <w:rPr>
                <w:rFonts w:ascii="Times New Roman" w:eastAsia="等线" w:hAnsi="Times New Roman" w:cs="Times New Roman"/>
                <w:color w:val="000000" w:themeColor="text1"/>
                <w:sz w:val="21"/>
                <w:szCs w:val="21"/>
              </w:rPr>
              <w:t>3,541.36</w:t>
            </w:r>
          </w:p>
        </w:tc>
        <w:tc>
          <w:tcPr>
            <w:tcW w:w="1179" w:type="pct"/>
            <w:shd w:val="clear" w:color="auto" w:fill="auto"/>
            <w:noWrap/>
            <w:vAlign w:val="center"/>
          </w:tcPr>
          <w:p w14:paraId="710F0837" w14:textId="77777777" w:rsidR="000A0ACD" w:rsidRDefault="00362A99">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1,612.13</w:t>
            </w:r>
          </w:p>
        </w:tc>
        <w:tc>
          <w:tcPr>
            <w:tcW w:w="1179" w:type="pct"/>
            <w:shd w:val="clear" w:color="auto" w:fill="auto"/>
            <w:noWrap/>
            <w:vAlign w:val="center"/>
          </w:tcPr>
          <w:p w14:paraId="68BB1F4A" w14:textId="77777777" w:rsidR="000A0ACD" w:rsidRDefault="00362A99">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1,101.10</w:t>
            </w:r>
          </w:p>
        </w:tc>
      </w:tr>
      <w:tr w:rsidR="000A0ACD" w14:paraId="5687123A" w14:textId="77777777">
        <w:trPr>
          <w:trHeight w:val="397"/>
        </w:trPr>
        <w:tc>
          <w:tcPr>
            <w:tcW w:w="1477" w:type="pct"/>
            <w:shd w:val="clear" w:color="auto" w:fill="auto"/>
            <w:vAlign w:val="center"/>
          </w:tcPr>
          <w:p w14:paraId="02BC0CB6"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利息保障倍数（倍）</w:t>
            </w:r>
          </w:p>
        </w:tc>
        <w:tc>
          <w:tcPr>
            <w:tcW w:w="1164" w:type="pct"/>
            <w:shd w:val="clear" w:color="auto" w:fill="auto"/>
            <w:noWrap/>
            <w:vAlign w:val="center"/>
          </w:tcPr>
          <w:p w14:paraId="034049E8" w14:textId="77777777" w:rsidR="000A0ACD" w:rsidRDefault="00362A99">
            <w:pPr>
              <w:jc w:val="right"/>
              <w:rPr>
                <w:rFonts w:ascii="Times New Roman" w:hAnsi="Times New Roman" w:cs="Times New Roman"/>
                <w:color w:val="0070C0"/>
                <w:sz w:val="21"/>
                <w:szCs w:val="21"/>
                <w:lang w:val="en-GB"/>
              </w:rPr>
            </w:pPr>
            <w:r>
              <w:rPr>
                <w:rFonts w:ascii="Times New Roman" w:hAnsi="Times New Roman" w:cs="Times New Roman" w:hint="eastAsia"/>
                <w:color w:val="000000" w:themeColor="text1"/>
                <w:sz w:val="21"/>
                <w:szCs w:val="21"/>
                <w:lang w:val="en-GB"/>
              </w:rPr>
              <w:t>不适用</w:t>
            </w:r>
          </w:p>
        </w:tc>
        <w:tc>
          <w:tcPr>
            <w:tcW w:w="1179" w:type="pct"/>
            <w:shd w:val="clear" w:color="auto" w:fill="auto"/>
            <w:noWrap/>
            <w:vAlign w:val="center"/>
          </w:tcPr>
          <w:p w14:paraId="54600E11"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不适用</w:t>
            </w:r>
          </w:p>
        </w:tc>
        <w:tc>
          <w:tcPr>
            <w:tcW w:w="1179" w:type="pct"/>
            <w:shd w:val="clear" w:color="auto" w:fill="auto"/>
            <w:noWrap/>
            <w:vAlign w:val="center"/>
          </w:tcPr>
          <w:p w14:paraId="04088947" w14:textId="77777777" w:rsidR="000A0ACD" w:rsidRDefault="00362A99">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22,924.70</w:t>
            </w:r>
          </w:p>
        </w:tc>
      </w:tr>
      <w:tr w:rsidR="000A0ACD" w14:paraId="0792C76D" w14:textId="77777777">
        <w:trPr>
          <w:trHeight w:val="397"/>
        </w:trPr>
        <w:tc>
          <w:tcPr>
            <w:tcW w:w="1477" w:type="pct"/>
            <w:shd w:val="clear" w:color="auto" w:fill="auto"/>
            <w:vAlign w:val="center"/>
          </w:tcPr>
          <w:p w14:paraId="16D32612"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经营活动产生的现金流量净额（万元）</w:t>
            </w:r>
          </w:p>
        </w:tc>
        <w:tc>
          <w:tcPr>
            <w:tcW w:w="1164" w:type="pct"/>
            <w:shd w:val="clear" w:color="auto" w:fill="auto"/>
            <w:noWrap/>
            <w:vAlign w:val="center"/>
          </w:tcPr>
          <w:p w14:paraId="3D6842B4" w14:textId="77777777" w:rsidR="000A0ACD" w:rsidRDefault="00362A99">
            <w:pPr>
              <w:jc w:val="right"/>
              <w:rPr>
                <w:rFonts w:ascii="Times New Roman" w:hAnsi="Times New Roman" w:cs="Times New Roman"/>
                <w:color w:val="0070C0"/>
                <w:sz w:val="21"/>
                <w:szCs w:val="21"/>
                <w:lang w:val="en-GB"/>
              </w:rPr>
            </w:pPr>
            <w:r>
              <w:rPr>
                <w:rFonts w:ascii="Times New Roman" w:eastAsia="等线" w:hAnsi="Times New Roman" w:cs="Times New Roman"/>
                <w:sz w:val="21"/>
                <w:szCs w:val="21"/>
              </w:rPr>
              <w:t>4</w:t>
            </w:r>
            <w:r>
              <w:rPr>
                <w:rFonts w:ascii="Times New Roman" w:eastAsia="等线" w:hAnsi="Times New Roman" w:cs="Times New Roman" w:hint="eastAsia"/>
                <w:sz w:val="21"/>
                <w:szCs w:val="21"/>
              </w:rPr>
              <w:t>,</w:t>
            </w:r>
            <w:r>
              <w:rPr>
                <w:rFonts w:ascii="Times New Roman" w:eastAsia="等线" w:hAnsi="Times New Roman" w:cs="Times New Roman"/>
                <w:sz w:val="21"/>
                <w:szCs w:val="21"/>
              </w:rPr>
              <w:t>059.30</w:t>
            </w:r>
          </w:p>
        </w:tc>
        <w:tc>
          <w:tcPr>
            <w:tcW w:w="1179" w:type="pct"/>
            <w:shd w:val="clear" w:color="auto" w:fill="auto"/>
            <w:noWrap/>
            <w:vAlign w:val="center"/>
          </w:tcPr>
          <w:p w14:paraId="63D3B5C6" w14:textId="77777777" w:rsidR="000A0ACD" w:rsidRDefault="00362A99">
            <w:pPr>
              <w:jc w:val="right"/>
              <w:rPr>
                <w:rFonts w:ascii="Times New Roman" w:hAnsi="Times New Roman" w:cs="Times New Roman"/>
                <w:color w:val="000000"/>
                <w:sz w:val="21"/>
                <w:szCs w:val="21"/>
                <w:lang w:val="en-GB"/>
              </w:rPr>
            </w:pPr>
            <w:r>
              <w:rPr>
                <w:rFonts w:ascii="Times New Roman" w:eastAsia="等线" w:hAnsi="Times New Roman" w:cs="Times New Roman"/>
                <w:sz w:val="21"/>
                <w:szCs w:val="21"/>
              </w:rPr>
              <w:t>-702.30</w:t>
            </w:r>
          </w:p>
        </w:tc>
        <w:tc>
          <w:tcPr>
            <w:tcW w:w="1179" w:type="pct"/>
            <w:shd w:val="clear" w:color="auto" w:fill="auto"/>
            <w:noWrap/>
            <w:vAlign w:val="center"/>
          </w:tcPr>
          <w:p w14:paraId="4BF16A96" w14:textId="77777777" w:rsidR="000A0ACD" w:rsidRDefault="00362A99">
            <w:pPr>
              <w:jc w:val="right"/>
              <w:rPr>
                <w:rFonts w:ascii="Times New Roman" w:hAnsi="Times New Roman" w:cs="Times New Roman"/>
                <w:color w:val="000000"/>
                <w:sz w:val="21"/>
                <w:szCs w:val="21"/>
                <w:lang w:val="en-GB"/>
              </w:rPr>
            </w:pPr>
            <w:r>
              <w:rPr>
                <w:rFonts w:ascii="Times New Roman" w:eastAsia="等线" w:hAnsi="Times New Roman" w:cs="Times New Roman"/>
                <w:sz w:val="21"/>
                <w:szCs w:val="21"/>
              </w:rPr>
              <w:t>1,595.26</w:t>
            </w:r>
          </w:p>
        </w:tc>
      </w:tr>
    </w:tbl>
    <w:p w14:paraId="24F9464A"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注：</w:t>
      </w:r>
      <w:r>
        <w:rPr>
          <w:rFonts w:ascii="Times New Roman" w:hAnsi="Times New Roman" w:cs="Times New Roman" w:hint="eastAsia"/>
          <w:sz w:val="21"/>
          <w:szCs w:val="21"/>
        </w:rPr>
        <w:t>1</w:t>
      </w:r>
      <w:r>
        <w:rPr>
          <w:rFonts w:ascii="Times New Roman" w:hAnsi="Times New Roman" w:cs="Times New Roman" w:hint="eastAsia"/>
          <w:sz w:val="21"/>
          <w:szCs w:val="21"/>
        </w:rPr>
        <w:t>、流动比率</w:t>
      </w:r>
      <w:r>
        <w:rPr>
          <w:rFonts w:ascii="Times New Roman" w:hAnsi="Times New Roman" w:cs="Times New Roman" w:hint="eastAsia"/>
          <w:sz w:val="21"/>
          <w:szCs w:val="21"/>
        </w:rPr>
        <w:t>=</w:t>
      </w:r>
      <w:r>
        <w:rPr>
          <w:rFonts w:ascii="Times New Roman" w:hAnsi="Times New Roman" w:cs="Times New Roman" w:hint="eastAsia"/>
          <w:sz w:val="21"/>
          <w:szCs w:val="21"/>
        </w:rPr>
        <w:t>流动资产</w:t>
      </w:r>
      <w:r>
        <w:rPr>
          <w:rFonts w:ascii="Times New Roman" w:hAnsi="Times New Roman" w:cs="Times New Roman" w:hint="eastAsia"/>
          <w:sz w:val="21"/>
          <w:szCs w:val="21"/>
        </w:rPr>
        <w:t>/</w:t>
      </w:r>
      <w:r>
        <w:rPr>
          <w:rFonts w:ascii="Times New Roman" w:hAnsi="Times New Roman" w:cs="Times New Roman" w:hint="eastAsia"/>
          <w:sz w:val="21"/>
          <w:szCs w:val="21"/>
        </w:rPr>
        <w:t>流动负债</w:t>
      </w:r>
    </w:p>
    <w:p w14:paraId="0A0A4660" w14:textId="77777777" w:rsidR="000A0ACD" w:rsidRDefault="00362A99">
      <w:pPr>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、速动比率</w:t>
      </w:r>
      <w:r>
        <w:rPr>
          <w:rFonts w:ascii="Times New Roman" w:hAnsi="Times New Roman" w:cs="Times New Roman" w:hint="eastAsia"/>
          <w:sz w:val="21"/>
          <w:szCs w:val="21"/>
        </w:rPr>
        <w:t>=</w:t>
      </w:r>
      <w:r>
        <w:rPr>
          <w:rFonts w:ascii="Times New Roman" w:hAnsi="Times New Roman" w:cs="Times New Roman" w:hint="eastAsia"/>
          <w:sz w:val="21"/>
          <w:szCs w:val="21"/>
        </w:rPr>
        <w:t>（流动资产</w:t>
      </w:r>
      <w:r>
        <w:rPr>
          <w:rFonts w:ascii="Times New Roman" w:hAnsi="Times New Roman" w:cs="Times New Roman" w:hint="eastAsia"/>
          <w:sz w:val="21"/>
          <w:szCs w:val="21"/>
        </w:rPr>
        <w:t>-</w:t>
      </w:r>
      <w:r>
        <w:rPr>
          <w:rFonts w:ascii="Times New Roman" w:hAnsi="Times New Roman" w:cs="Times New Roman" w:hint="eastAsia"/>
          <w:sz w:val="21"/>
          <w:szCs w:val="21"/>
        </w:rPr>
        <w:t>存货净额）</w:t>
      </w:r>
      <w:r>
        <w:rPr>
          <w:rFonts w:ascii="Times New Roman" w:hAnsi="Times New Roman" w:cs="Times New Roman" w:hint="eastAsia"/>
          <w:sz w:val="21"/>
          <w:szCs w:val="21"/>
        </w:rPr>
        <w:t>/</w:t>
      </w:r>
      <w:r>
        <w:rPr>
          <w:rFonts w:ascii="Times New Roman" w:hAnsi="Times New Roman" w:cs="Times New Roman" w:hint="eastAsia"/>
          <w:sz w:val="21"/>
          <w:szCs w:val="21"/>
        </w:rPr>
        <w:t>流动负债</w:t>
      </w:r>
    </w:p>
    <w:p w14:paraId="473A7AE9" w14:textId="77777777" w:rsidR="000A0ACD" w:rsidRDefault="00362A99">
      <w:pPr>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、资产负债率</w:t>
      </w:r>
      <w:r>
        <w:rPr>
          <w:rFonts w:ascii="Times New Roman" w:hAnsi="Times New Roman" w:cs="Times New Roman" w:hint="eastAsia"/>
          <w:sz w:val="21"/>
          <w:szCs w:val="21"/>
        </w:rPr>
        <w:t>=</w:t>
      </w:r>
      <w:r>
        <w:rPr>
          <w:rFonts w:ascii="Times New Roman" w:hAnsi="Times New Roman" w:cs="Times New Roman" w:hint="eastAsia"/>
          <w:sz w:val="21"/>
          <w:szCs w:val="21"/>
        </w:rPr>
        <w:t>负债总额</w:t>
      </w:r>
      <w:r>
        <w:rPr>
          <w:rFonts w:ascii="Times New Roman" w:hAnsi="Times New Roman" w:cs="Times New Roman" w:hint="eastAsia"/>
          <w:sz w:val="21"/>
          <w:szCs w:val="21"/>
        </w:rPr>
        <w:t>/</w:t>
      </w:r>
      <w:r>
        <w:rPr>
          <w:rFonts w:ascii="Times New Roman" w:hAnsi="Times New Roman" w:cs="Times New Roman" w:hint="eastAsia"/>
          <w:sz w:val="21"/>
          <w:szCs w:val="21"/>
        </w:rPr>
        <w:t>资产总额</w:t>
      </w:r>
    </w:p>
    <w:p w14:paraId="298A12AA" w14:textId="77777777" w:rsidR="000A0ACD" w:rsidRDefault="00362A99">
      <w:pPr>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4</w:t>
      </w:r>
      <w:r>
        <w:rPr>
          <w:rFonts w:ascii="Times New Roman" w:hAnsi="Times New Roman" w:cs="Times New Roman" w:hint="eastAsia"/>
          <w:sz w:val="21"/>
          <w:szCs w:val="21"/>
        </w:rPr>
        <w:t>、息税折旧摊销前利润</w:t>
      </w:r>
      <w:r>
        <w:rPr>
          <w:rFonts w:ascii="Times New Roman" w:hAnsi="Times New Roman" w:cs="Times New Roman" w:hint="eastAsia"/>
          <w:sz w:val="21"/>
          <w:szCs w:val="21"/>
        </w:rPr>
        <w:t>=</w:t>
      </w:r>
      <w:r>
        <w:rPr>
          <w:rFonts w:ascii="Times New Roman" w:hAnsi="Times New Roman" w:cs="Times New Roman" w:hint="eastAsia"/>
          <w:sz w:val="21"/>
          <w:szCs w:val="21"/>
        </w:rPr>
        <w:t>利润总额</w:t>
      </w:r>
      <w:r>
        <w:rPr>
          <w:rFonts w:ascii="Times New Roman" w:hAnsi="Times New Roman" w:cs="Times New Roman" w:hint="eastAsia"/>
          <w:sz w:val="21"/>
          <w:szCs w:val="21"/>
        </w:rPr>
        <w:t>+</w:t>
      </w:r>
      <w:r>
        <w:rPr>
          <w:rFonts w:ascii="Times New Roman" w:hAnsi="Times New Roman" w:cs="Times New Roman" w:hint="eastAsia"/>
          <w:sz w:val="21"/>
          <w:szCs w:val="21"/>
        </w:rPr>
        <w:t>利息费用</w:t>
      </w:r>
      <w:r>
        <w:rPr>
          <w:rFonts w:ascii="Times New Roman" w:hAnsi="Times New Roman" w:cs="Times New Roman" w:hint="eastAsia"/>
          <w:sz w:val="21"/>
          <w:szCs w:val="21"/>
        </w:rPr>
        <w:t>+</w:t>
      </w:r>
      <w:r>
        <w:rPr>
          <w:rFonts w:ascii="Times New Roman" w:hAnsi="Times New Roman" w:cs="Times New Roman" w:hint="eastAsia"/>
          <w:sz w:val="21"/>
          <w:szCs w:val="21"/>
        </w:rPr>
        <w:t>折旧费用</w:t>
      </w:r>
      <w:r>
        <w:rPr>
          <w:rFonts w:ascii="Times New Roman" w:hAnsi="Times New Roman" w:cs="Times New Roman" w:hint="eastAsia"/>
          <w:sz w:val="21"/>
          <w:szCs w:val="21"/>
        </w:rPr>
        <w:t>+</w:t>
      </w:r>
      <w:r>
        <w:rPr>
          <w:rFonts w:ascii="Times New Roman" w:hAnsi="Times New Roman" w:cs="Times New Roman" w:hint="eastAsia"/>
          <w:sz w:val="21"/>
          <w:szCs w:val="21"/>
        </w:rPr>
        <w:t>摊销费用</w:t>
      </w:r>
    </w:p>
    <w:p w14:paraId="30FACB51" w14:textId="77777777" w:rsidR="000A0ACD" w:rsidRDefault="00362A99">
      <w:pPr>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5</w:t>
      </w:r>
      <w:r>
        <w:rPr>
          <w:rFonts w:ascii="Times New Roman" w:hAnsi="Times New Roman" w:cs="Times New Roman" w:hint="eastAsia"/>
          <w:sz w:val="21"/>
          <w:szCs w:val="21"/>
        </w:rPr>
        <w:t>、利息保障倍数</w:t>
      </w:r>
      <w:r>
        <w:rPr>
          <w:rFonts w:ascii="Times New Roman" w:hAnsi="Times New Roman" w:cs="Times New Roman" w:hint="eastAsia"/>
          <w:sz w:val="21"/>
          <w:szCs w:val="21"/>
        </w:rPr>
        <w:t>=EBIT</w:t>
      </w:r>
      <w:r>
        <w:rPr>
          <w:rFonts w:ascii="Times New Roman" w:hAnsi="Times New Roman" w:cs="Times New Roman" w:hint="eastAsia"/>
          <w:sz w:val="21"/>
          <w:szCs w:val="21"/>
        </w:rPr>
        <w:t>（息税前利润）</w:t>
      </w:r>
      <w:r>
        <w:rPr>
          <w:rFonts w:ascii="Times New Roman" w:hAnsi="Times New Roman" w:cs="Times New Roman" w:hint="eastAsia"/>
          <w:sz w:val="21"/>
          <w:szCs w:val="21"/>
        </w:rPr>
        <w:t>/</w:t>
      </w:r>
      <w:r>
        <w:rPr>
          <w:rFonts w:ascii="Times New Roman" w:hAnsi="Times New Roman" w:cs="Times New Roman" w:hint="eastAsia"/>
          <w:sz w:val="21"/>
          <w:szCs w:val="21"/>
        </w:rPr>
        <w:t>利息费用</w:t>
      </w:r>
    </w:p>
    <w:p w14:paraId="2056A7D0"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报告期各期末，标的公司流动比率分别为</w:t>
      </w:r>
      <w:r>
        <w:rPr>
          <w:rFonts w:ascii="Times New Roman" w:hAnsi="Times New Roman" w:cs="Times New Roman" w:hint="eastAsia"/>
          <w:bCs/>
          <w:color w:val="000000"/>
          <w:lang w:val="en-GB"/>
        </w:rPr>
        <w:t>2.26</w:t>
      </w:r>
      <w:r>
        <w:rPr>
          <w:rFonts w:ascii="Times New Roman" w:hAnsi="Times New Roman" w:cs="Times New Roman" w:hint="eastAsia"/>
          <w:bCs/>
          <w:color w:val="000000"/>
          <w:lang w:val="en-GB"/>
        </w:rPr>
        <w:t>倍、</w:t>
      </w:r>
      <w:r>
        <w:rPr>
          <w:rFonts w:ascii="Times New Roman" w:hAnsi="Times New Roman" w:cs="Times New Roman" w:hint="eastAsia"/>
          <w:bCs/>
          <w:color w:val="000000"/>
          <w:lang w:val="en-GB"/>
        </w:rPr>
        <w:t>2.51</w:t>
      </w:r>
      <w:r>
        <w:rPr>
          <w:rFonts w:ascii="Times New Roman" w:hAnsi="Times New Roman" w:cs="Times New Roman" w:hint="eastAsia"/>
          <w:bCs/>
          <w:color w:val="000000"/>
          <w:lang w:val="en-GB"/>
        </w:rPr>
        <w:t>倍以及</w:t>
      </w:r>
      <w:r>
        <w:rPr>
          <w:rFonts w:ascii="Times New Roman" w:hAnsi="Times New Roman" w:cs="Times New Roman" w:hint="eastAsia"/>
          <w:bCs/>
          <w:color w:val="000000"/>
          <w:lang w:val="en-GB"/>
        </w:rPr>
        <w:t>1.</w:t>
      </w:r>
      <w:r>
        <w:rPr>
          <w:rFonts w:ascii="Times New Roman" w:hAnsi="Times New Roman" w:cs="Times New Roman"/>
          <w:bCs/>
          <w:color w:val="000000"/>
          <w:lang w:val="en-GB"/>
        </w:rPr>
        <w:t>47</w:t>
      </w:r>
      <w:r>
        <w:rPr>
          <w:rFonts w:ascii="Times New Roman" w:hAnsi="Times New Roman" w:cs="Times New Roman" w:hint="eastAsia"/>
          <w:bCs/>
          <w:color w:val="000000"/>
          <w:lang w:val="en-GB"/>
        </w:rPr>
        <w:t>倍，速动比率分别</w:t>
      </w:r>
      <w:r>
        <w:rPr>
          <w:rFonts w:ascii="Times New Roman" w:hAnsi="Times New Roman" w:cs="Times New Roman" w:hint="eastAsia"/>
          <w:bCs/>
          <w:color w:val="000000"/>
          <w:lang w:val="en-GB"/>
        </w:rPr>
        <w:t>1.60</w:t>
      </w:r>
      <w:r>
        <w:rPr>
          <w:rFonts w:ascii="Times New Roman" w:hAnsi="Times New Roman" w:cs="Times New Roman" w:hint="eastAsia"/>
          <w:bCs/>
          <w:color w:val="000000"/>
          <w:lang w:val="en-GB"/>
        </w:rPr>
        <w:t>倍、</w:t>
      </w:r>
      <w:r>
        <w:rPr>
          <w:rFonts w:ascii="Times New Roman" w:hAnsi="Times New Roman" w:cs="Times New Roman" w:hint="eastAsia"/>
          <w:bCs/>
          <w:color w:val="000000"/>
          <w:lang w:val="en-GB"/>
        </w:rPr>
        <w:t>2.03</w:t>
      </w:r>
      <w:r>
        <w:rPr>
          <w:rFonts w:ascii="Times New Roman" w:hAnsi="Times New Roman" w:cs="Times New Roman" w:hint="eastAsia"/>
          <w:bCs/>
          <w:color w:val="000000"/>
          <w:lang w:val="en-GB"/>
        </w:rPr>
        <w:t>倍以及</w:t>
      </w:r>
      <w:r>
        <w:rPr>
          <w:rFonts w:ascii="Times New Roman" w:hAnsi="Times New Roman" w:cs="Times New Roman" w:hint="eastAsia"/>
          <w:bCs/>
          <w:color w:val="000000"/>
          <w:lang w:val="en-GB"/>
        </w:rPr>
        <w:t>1.18</w:t>
      </w:r>
      <w:r>
        <w:rPr>
          <w:rFonts w:ascii="Times New Roman" w:hAnsi="Times New Roman" w:cs="Times New Roman" w:hint="eastAsia"/>
          <w:bCs/>
          <w:color w:val="000000"/>
          <w:lang w:val="en-GB"/>
        </w:rPr>
        <w:t>倍，流动比率和速动比率均大于</w:t>
      </w:r>
      <w:r>
        <w:rPr>
          <w:rFonts w:ascii="Times New Roman" w:hAnsi="Times New Roman" w:cs="Times New Roman" w:hint="eastAsia"/>
          <w:bCs/>
          <w:color w:val="000000"/>
          <w:lang w:val="en-GB"/>
        </w:rPr>
        <w:t>1</w:t>
      </w:r>
      <w:r>
        <w:rPr>
          <w:rFonts w:ascii="Times New Roman" w:hAnsi="Times New Roman" w:cs="Times New Roman" w:hint="eastAsia"/>
          <w:bCs/>
          <w:color w:val="000000"/>
          <w:lang w:val="en-GB"/>
        </w:rPr>
        <w:t>，整体保持在合理水平，短期偿债能力良好。报告期各期末，标的公司资产负债率分别为</w:t>
      </w:r>
      <w:r>
        <w:rPr>
          <w:rFonts w:ascii="Times New Roman" w:hAnsi="Times New Roman" w:cs="Times New Roman" w:hint="eastAsia"/>
          <w:bCs/>
          <w:color w:val="000000"/>
          <w:lang w:val="en-GB"/>
        </w:rPr>
        <w:t>43.41%</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39.31%</w:t>
      </w:r>
      <w:r>
        <w:rPr>
          <w:rFonts w:ascii="Times New Roman" w:hAnsi="Times New Roman" w:cs="Times New Roman" w:hint="eastAsia"/>
          <w:bCs/>
          <w:color w:val="000000"/>
          <w:lang w:val="en-GB"/>
        </w:rPr>
        <w:t>以及</w:t>
      </w:r>
      <w:r>
        <w:rPr>
          <w:rFonts w:ascii="Times New Roman" w:hAnsi="Times New Roman" w:cs="Times New Roman"/>
          <w:bCs/>
          <w:color w:val="000000"/>
          <w:lang w:val="en-GB"/>
        </w:rPr>
        <w:t>67.78</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，整体处于增长趋势，主要系标的公司业务规模扩张，应付票据、应付账款、合同负债大幅增加所致。</w:t>
      </w:r>
    </w:p>
    <w:p w14:paraId="377091AF"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报告期内各期，标的公司的息税折旧摊销前利润分别为</w:t>
      </w:r>
      <w:r>
        <w:rPr>
          <w:rFonts w:ascii="Times New Roman" w:hAnsi="Times New Roman" w:cs="Times New Roman" w:hint="eastAsia"/>
          <w:bCs/>
          <w:color w:val="000000"/>
          <w:lang w:val="en-GB"/>
        </w:rPr>
        <w:t>1,101.10</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1,612.13</w:t>
      </w:r>
      <w:r>
        <w:rPr>
          <w:rFonts w:ascii="Times New Roman" w:hAnsi="Times New Roman" w:cs="Times New Roman" w:hint="eastAsia"/>
          <w:bCs/>
          <w:color w:val="000000"/>
          <w:lang w:val="en-GB"/>
        </w:rPr>
        <w:t>万元和</w:t>
      </w:r>
      <w:r>
        <w:rPr>
          <w:rFonts w:ascii="Times New Roman" w:hAnsi="Times New Roman" w:cs="Times New Roman" w:hint="eastAsia"/>
          <w:bCs/>
          <w:color w:val="000000"/>
          <w:lang w:val="en-GB"/>
        </w:rPr>
        <w:t>3,541.36</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2</w:t>
      </w:r>
      <w:r>
        <w:rPr>
          <w:rFonts w:ascii="Times New Roman" w:hAnsi="Times New Roman" w:cs="Times New Roman"/>
          <w:bCs/>
          <w:color w:val="000000"/>
          <w:lang w:val="en-GB"/>
        </w:rPr>
        <w:t>018</w:t>
      </w:r>
      <w:r>
        <w:rPr>
          <w:rFonts w:ascii="Times New Roman" w:hAnsi="Times New Roman" w:cs="Times New Roman" w:hint="eastAsia"/>
          <w:bCs/>
          <w:color w:val="000000"/>
          <w:lang w:val="en-GB"/>
        </w:rPr>
        <w:t>年，标的公司利息费用为</w:t>
      </w:r>
      <w:r>
        <w:rPr>
          <w:rFonts w:ascii="Times New Roman" w:hAnsi="Times New Roman" w:cs="Times New Roman" w:hint="eastAsia"/>
          <w:bCs/>
          <w:color w:val="000000"/>
          <w:lang w:val="en-GB"/>
        </w:rPr>
        <w:t>0</w:t>
      </w:r>
      <w:r>
        <w:rPr>
          <w:rFonts w:ascii="Times New Roman" w:hAnsi="Times New Roman" w:cs="Times New Roman"/>
          <w:bCs/>
          <w:color w:val="000000"/>
          <w:lang w:val="en-GB"/>
        </w:rPr>
        <w:t>.05</w:t>
      </w:r>
      <w:r>
        <w:rPr>
          <w:rFonts w:ascii="Times New Roman" w:hAnsi="Times New Roman" w:cs="Times New Roman" w:hint="eastAsia"/>
          <w:bCs/>
          <w:color w:val="000000"/>
          <w:lang w:val="en-GB"/>
        </w:rPr>
        <w:t>万元，</w:t>
      </w:r>
      <w:r>
        <w:rPr>
          <w:rFonts w:ascii="Times New Roman" w:hAnsi="Times New Roman" w:cs="Times New Roman" w:hint="eastAsia"/>
          <w:bCs/>
          <w:color w:val="000000" w:themeColor="text1"/>
          <w:lang w:val="en-GB"/>
        </w:rPr>
        <w:t>2019</w:t>
      </w:r>
      <w:r>
        <w:rPr>
          <w:rFonts w:ascii="Times New Roman" w:hAnsi="Times New Roman" w:cs="Times New Roman" w:hint="eastAsia"/>
          <w:bCs/>
          <w:color w:val="000000" w:themeColor="text1"/>
          <w:lang w:val="en-GB"/>
        </w:rPr>
        <w:t>年、</w:t>
      </w:r>
      <w:r>
        <w:rPr>
          <w:rFonts w:ascii="Times New Roman" w:hAnsi="Times New Roman" w:cs="Times New Roman" w:hint="eastAsia"/>
          <w:bCs/>
          <w:color w:val="000000" w:themeColor="text1"/>
          <w:lang w:val="en-GB"/>
        </w:rPr>
        <w:t>2020</w:t>
      </w:r>
      <w:r>
        <w:rPr>
          <w:rFonts w:ascii="Times New Roman" w:hAnsi="Times New Roman" w:cs="Times New Roman" w:hint="eastAsia"/>
          <w:bCs/>
          <w:color w:val="000000" w:themeColor="text1"/>
          <w:lang w:val="en-GB"/>
        </w:rPr>
        <w:t>年，标的公司无利息费用发生，偿债能力良好。</w:t>
      </w:r>
    </w:p>
    <w:p w14:paraId="7491A61C"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报告期内各期，标的公司经营活动产生的现金流量净额分别为</w:t>
      </w:r>
      <w:r>
        <w:rPr>
          <w:rFonts w:ascii="Times New Roman" w:hAnsi="Times New Roman" w:cs="Times New Roman" w:hint="eastAsia"/>
          <w:bCs/>
          <w:color w:val="000000"/>
          <w:lang w:val="en-GB"/>
        </w:rPr>
        <w:t>1,595.26</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-702.30</w:t>
      </w:r>
      <w:r>
        <w:rPr>
          <w:rFonts w:ascii="Times New Roman" w:hAnsi="Times New Roman" w:cs="Times New Roman" w:hint="eastAsia"/>
          <w:bCs/>
          <w:color w:val="000000"/>
          <w:lang w:val="en-GB"/>
        </w:rPr>
        <w:t>万元和</w:t>
      </w:r>
      <w:r>
        <w:rPr>
          <w:rFonts w:ascii="Times New Roman" w:hAnsi="Times New Roman" w:cs="Times New Roman"/>
          <w:bCs/>
          <w:color w:val="000000"/>
          <w:lang w:val="en-GB"/>
        </w:rPr>
        <w:t>4,059.30</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2019</w:t>
      </w:r>
      <w:r>
        <w:rPr>
          <w:rFonts w:ascii="Times New Roman" w:hAnsi="Times New Roman" w:cs="Times New Roman" w:hint="eastAsia"/>
          <w:bCs/>
          <w:color w:val="000000"/>
          <w:lang w:val="en-GB"/>
        </w:rPr>
        <w:t>年，标的公司经营活动产生的现金流量净额比</w:t>
      </w:r>
      <w:r>
        <w:rPr>
          <w:rFonts w:ascii="Times New Roman" w:hAnsi="Times New Roman" w:cs="Times New Roman" w:hint="eastAsia"/>
          <w:bCs/>
          <w:color w:val="000000"/>
          <w:lang w:val="en-GB"/>
        </w:rPr>
        <w:t>2018</w:t>
      </w:r>
      <w:r>
        <w:rPr>
          <w:rFonts w:ascii="Times New Roman" w:hAnsi="Times New Roman" w:cs="Times New Roman" w:hint="eastAsia"/>
          <w:bCs/>
          <w:color w:val="000000"/>
          <w:lang w:val="en-GB"/>
        </w:rPr>
        <w:t>年减少</w:t>
      </w:r>
      <w:r>
        <w:rPr>
          <w:rFonts w:ascii="Times New Roman" w:hAnsi="Times New Roman" w:cs="Times New Roman" w:hint="eastAsia"/>
          <w:bCs/>
          <w:color w:val="000000"/>
          <w:lang w:val="en-GB"/>
        </w:rPr>
        <w:t>2,297.56</w:t>
      </w:r>
      <w:r>
        <w:rPr>
          <w:rFonts w:ascii="Times New Roman" w:hAnsi="Times New Roman" w:cs="Times New Roman" w:hint="eastAsia"/>
          <w:bCs/>
          <w:color w:val="000000"/>
          <w:lang w:val="en-GB"/>
        </w:rPr>
        <w:t>万元，主要系标的公司销售产品及服务采取应收票据方式结算所致；</w:t>
      </w:r>
      <w:r>
        <w:rPr>
          <w:rFonts w:ascii="Times New Roman" w:hAnsi="Times New Roman" w:cs="Times New Roman" w:hint="eastAsia"/>
          <w:bCs/>
          <w:color w:val="000000"/>
          <w:lang w:val="en-GB"/>
        </w:rPr>
        <w:t>2020</w:t>
      </w:r>
      <w:r>
        <w:rPr>
          <w:rFonts w:ascii="Times New Roman" w:hAnsi="Times New Roman" w:cs="Times New Roman" w:hint="eastAsia"/>
          <w:bCs/>
          <w:color w:val="000000"/>
          <w:lang w:val="en-GB"/>
        </w:rPr>
        <w:t>年，标的公司经营活动产生的现金流量净额比</w:t>
      </w:r>
      <w:r>
        <w:rPr>
          <w:rFonts w:ascii="Times New Roman" w:hAnsi="Times New Roman" w:cs="Times New Roman" w:hint="eastAsia"/>
          <w:bCs/>
          <w:color w:val="000000"/>
          <w:lang w:val="en-GB"/>
        </w:rPr>
        <w:t>2019</w:t>
      </w:r>
      <w:r>
        <w:rPr>
          <w:rFonts w:ascii="Times New Roman" w:hAnsi="Times New Roman" w:cs="Times New Roman" w:hint="eastAsia"/>
          <w:bCs/>
          <w:color w:val="000000"/>
          <w:lang w:val="en-GB"/>
        </w:rPr>
        <w:t>年增加</w:t>
      </w:r>
      <w:r>
        <w:rPr>
          <w:rFonts w:ascii="Times New Roman" w:hAnsi="Times New Roman" w:cs="Times New Roman" w:hint="eastAsia"/>
          <w:bCs/>
          <w:color w:val="000000"/>
          <w:lang w:val="en-GB"/>
        </w:rPr>
        <w:t>4</w:t>
      </w:r>
      <w:r>
        <w:rPr>
          <w:rFonts w:ascii="Times New Roman" w:hAnsi="Times New Roman" w:cs="Times New Roman"/>
          <w:bCs/>
          <w:color w:val="000000"/>
          <w:lang w:val="en-GB"/>
        </w:rPr>
        <w:t>,</w:t>
      </w:r>
      <w:r>
        <w:rPr>
          <w:rFonts w:ascii="Times New Roman" w:hAnsi="Times New Roman" w:cs="Times New Roman" w:hint="eastAsia"/>
          <w:bCs/>
          <w:color w:val="000000"/>
          <w:lang w:val="en-GB"/>
        </w:rPr>
        <w:t>761.</w:t>
      </w:r>
      <w:r>
        <w:rPr>
          <w:rFonts w:ascii="Times New Roman" w:hAnsi="Times New Roman" w:cs="Times New Roman"/>
          <w:bCs/>
          <w:color w:val="000000"/>
          <w:lang w:val="en-GB"/>
        </w:rPr>
        <w:t>59</w:t>
      </w:r>
      <w:r>
        <w:rPr>
          <w:rFonts w:ascii="Times New Roman" w:hAnsi="Times New Roman" w:cs="Times New Roman" w:hint="eastAsia"/>
          <w:bCs/>
          <w:color w:val="000000"/>
          <w:lang w:val="en-GB"/>
        </w:rPr>
        <w:t>万元，主要系</w:t>
      </w:r>
      <w:r>
        <w:rPr>
          <w:rFonts w:ascii="Times New Roman" w:hAnsi="Times New Roman" w:cs="Times New Roman" w:hint="eastAsia"/>
          <w:bCs/>
          <w:color w:val="000000"/>
          <w:lang w:val="en-GB"/>
        </w:rPr>
        <w:t>2019</w:t>
      </w:r>
      <w:r>
        <w:rPr>
          <w:rFonts w:ascii="Times New Roman" w:hAnsi="Times New Roman" w:cs="Times New Roman" w:hint="eastAsia"/>
          <w:bCs/>
          <w:color w:val="000000"/>
          <w:lang w:val="en-GB"/>
        </w:rPr>
        <w:t>年销售收入持续回款以及预收客户项目款增加所致。</w:t>
      </w:r>
    </w:p>
    <w:p w14:paraId="129E8193"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二、与同行业可比公司和行业平均水平是否存在重大差异，是否存在较高的财务风险及应对措施</w:t>
      </w:r>
    </w:p>
    <w:p w14:paraId="65DDB28D"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（一）与同行业可比公司和行业平均水平存在一定差异，但不存在较高的财务风险</w:t>
      </w:r>
    </w:p>
    <w:p w14:paraId="0517B660"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报告期内，北洋天青及同行业可比上市公司的流动比率及速动比率情况如下：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54"/>
        <w:gridCol w:w="1161"/>
        <w:gridCol w:w="1260"/>
        <w:gridCol w:w="1265"/>
        <w:gridCol w:w="1161"/>
        <w:gridCol w:w="1260"/>
        <w:gridCol w:w="1261"/>
      </w:tblGrid>
      <w:tr w:rsidR="000A0ACD" w14:paraId="712DD6FF" w14:textId="77777777">
        <w:trPr>
          <w:trHeight w:val="397"/>
          <w:tblHeader/>
        </w:trPr>
        <w:tc>
          <w:tcPr>
            <w:tcW w:w="677" w:type="pct"/>
            <w:vMerge w:val="restart"/>
            <w:shd w:val="clear" w:color="auto" w:fill="auto"/>
            <w:vAlign w:val="center"/>
          </w:tcPr>
          <w:p w14:paraId="79BC2A9B"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2162" w:type="pct"/>
            <w:gridSpan w:val="3"/>
            <w:vAlign w:val="center"/>
          </w:tcPr>
          <w:p w14:paraId="42BB832E"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color w:val="000000"/>
                <w:sz w:val="21"/>
                <w:szCs w:val="21"/>
              </w:rPr>
              <w:t>流动比率</w:t>
            </w:r>
          </w:p>
        </w:tc>
        <w:tc>
          <w:tcPr>
            <w:tcW w:w="2160" w:type="pct"/>
            <w:gridSpan w:val="3"/>
            <w:vAlign w:val="center"/>
          </w:tcPr>
          <w:p w14:paraId="2EA453C1" w14:textId="77777777" w:rsidR="000A0ACD" w:rsidRDefault="00362A99">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速动比率</w:t>
            </w:r>
          </w:p>
        </w:tc>
      </w:tr>
      <w:tr w:rsidR="000A0ACD" w14:paraId="61706744" w14:textId="77777777">
        <w:trPr>
          <w:trHeight w:val="397"/>
          <w:tblHeader/>
        </w:trPr>
        <w:tc>
          <w:tcPr>
            <w:tcW w:w="677" w:type="pct"/>
            <w:vMerge/>
            <w:shd w:val="clear" w:color="auto" w:fill="auto"/>
            <w:vAlign w:val="center"/>
          </w:tcPr>
          <w:p w14:paraId="069DE435" w14:textId="77777777" w:rsidR="000A0ACD" w:rsidRDefault="000A0ACD">
            <w:pPr>
              <w:jc w:val="center"/>
              <w:rPr>
                <w:rFonts w:ascii="Times New Roman" w:hAnsi="Times New Roman" w:cs="Times New Roman"/>
                <w:b/>
                <w:bCs/>
                <w:sz w:val="21"/>
                <w:szCs w:val="21"/>
              </w:rPr>
            </w:pPr>
          </w:p>
        </w:tc>
        <w:tc>
          <w:tcPr>
            <w:tcW w:w="681" w:type="pct"/>
            <w:vAlign w:val="center"/>
          </w:tcPr>
          <w:p w14:paraId="72488A8F" w14:textId="77777777" w:rsidR="000A0ACD" w:rsidRDefault="00362A99">
            <w:pPr>
              <w:jc w:val="center"/>
              <w:rPr>
                <w:rFonts w:ascii="Times New Roman" w:hAnsi="Times New Roman" w:cs="Times New Roman"/>
                <w:b/>
                <w:bCs/>
                <w:snapToGrid w:val="0"/>
                <w:sz w:val="21"/>
                <w:szCs w:val="21"/>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lang w:val="en-GB"/>
              </w:rPr>
              <w:t>年</w:t>
            </w:r>
            <w:r>
              <w:rPr>
                <w:rFonts w:ascii="Times New Roman" w:hAnsi="Times New Roman" w:cs="Times New Roman"/>
                <w:b/>
                <w:bCs/>
                <w:snapToGrid w:val="0"/>
                <w:sz w:val="21"/>
                <w:szCs w:val="21"/>
                <w:lang w:val="en-GB"/>
              </w:rPr>
              <w:t>9</w:t>
            </w:r>
            <w:r>
              <w:rPr>
                <w:rFonts w:ascii="Times New Roman" w:hAnsi="Times New Roman" w:cs="Times New Roman" w:hint="eastAsia"/>
                <w:b/>
                <w:bCs/>
                <w:snapToGrid w:val="0"/>
                <w:sz w:val="21"/>
                <w:szCs w:val="21"/>
                <w:lang w:val="en-GB"/>
              </w:rPr>
              <w:t>月</w:t>
            </w:r>
            <w:r>
              <w:rPr>
                <w:rFonts w:ascii="Times New Roman" w:hAnsi="Times New Roman" w:cs="Times New Roman"/>
                <w:b/>
                <w:bCs/>
                <w:snapToGrid w:val="0"/>
                <w:sz w:val="21"/>
                <w:szCs w:val="21"/>
                <w:lang w:val="en-GB"/>
              </w:rPr>
              <w:t>30</w:t>
            </w:r>
            <w:r>
              <w:rPr>
                <w:rFonts w:ascii="Times New Roman" w:hAnsi="Times New Roman" w:cs="Times New Roman" w:hint="eastAsia"/>
                <w:b/>
                <w:bCs/>
                <w:snapToGrid w:val="0"/>
                <w:sz w:val="21"/>
                <w:szCs w:val="21"/>
                <w:lang w:val="en-GB"/>
              </w:rPr>
              <w:t>日</w:t>
            </w:r>
          </w:p>
        </w:tc>
        <w:tc>
          <w:tcPr>
            <w:tcW w:w="739" w:type="pct"/>
            <w:vAlign w:val="center"/>
          </w:tcPr>
          <w:p w14:paraId="63F890D3" w14:textId="77777777" w:rsidR="000A0ACD" w:rsidRDefault="00362A99">
            <w:pPr>
              <w:jc w:val="center"/>
              <w:rPr>
                <w:rFonts w:ascii="Times New Roman" w:hAnsi="Times New Roman" w:cs="Times New Roman"/>
                <w:b/>
                <w:bCs/>
                <w:snapToGrid w:val="0"/>
                <w:sz w:val="21"/>
                <w:szCs w:val="21"/>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lang w:val="en-GB"/>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41" w:type="pct"/>
            <w:vAlign w:val="center"/>
          </w:tcPr>
          <w:p w14:paraId="51D8D8AD" w14:textId="77777777" w:rsidR="000A0ACD" w:rsidRDefault="00362A99">
            <w:pPr>
              <w:jc w:val="center"/>
              <w:rPr>
                <w:rFonts w:ascii="Times New Roman" w:hAnsi="Times New Roman" w:cs="Times New Roman"/>
                <w:b/>
                <w:bCs/>
                <w:snapToGrid w:val="0"/>
                <w:sz w:val="21"/>
                <w:szCs w:val="21"/>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lang w:val="en-GB"/>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681" w:type="pct"/>
            <w:vAlign w:val="center"/>
          </w:tcPr>
          <w:p w14:paraId="06FD3F84"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9</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30</w:t>
            </w:r>
            <w:r>
              <w:rPr>
                <w:rFonts w:ascii="Times New Roman" w:hAnsi="Times New Roman" w:cs="Times New Roman" w:hint="eastAsia"/>
                <w:b/>
                <w:bCs/>
                <w:snapToGrid w:val="0"/>
                <w:sz w:val="21"/>
                <w:szCs w:val="21"/>
                <w:lang w:val="en-GB"/>
              </w:rPr>
              <w:t>日</w:t>
            </w:r>
          </w:p>
        </w:tc>
        <w:tc>
          <w:tcPr>
            <w:tcW w:w="739" w:type="pct"/>
            <w:vAlign w:val="center"/>
          </w:tcPr>
          <w:p w14:paraId="3C7A5630"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9" w:type="pct"/>
            <w:vAlign w:val="center"/>
          </w:tcPr>
          <w:p w14:paraId="3C4941DC"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r>
      <w:tr w:rsidR="000A0ACD" w14:paraId="2DB63148" w14:textId="77777777">
        <w:trPr>
          <w:trHeight w:val="397"/>
        </w:trPr>
        <w:tc>
          <w:tcPr>
            <w:tcW w:w="677" w:type="pct"/>
            <w:shd w:val="clear" w:color="auto" w:fill="auto"/>
            <w:vAlign w:val="center"/>
          </w:tcPr>
          <w:p w14:paraId="30368D72" w14:textId="77777777" w:rsidR="000A0ACD" w:rsidRDefault="00362A99">
            <w:pPr>
              <w:jc w:val="center"/>
              <w:rPr>
                <w:rFonts w:ascii="Times New Roman" w:hAnsi="Times New Roman" w:cs="Times New Roman"/>
                <w:color w:val="000000"/>
                <w:sz w:val="21"/>
                <w:szCs w:val="21"/>
                <w:lang w:val="en-GB"/>
              </w:rPr>
            </w:pPr>
            <w:r>
              <w:rPr>
                <w:rFonts w:ascii="Times New Roman" w:hAnsi="Times New Roman" w:cs="Times New Roman" w:hint="eastAsia"/>
                <w:snapToGrid w:val="0"/>
                <w:sz w:val="21"/>
                <w:szCs w:val="21"/>
                <w:lang w:val="en-GB"/>
              </w:rPr>
              <w:t>埃斯顿</w:t>
            </w:r>
          </w:p>
        </w:tc>
        <w:tc>
          <w:tcPr>
            <w:tcW w:w="681" w:type="pct"/>
            <w:vAlign w:val="center"/>
          </w:tcPr>
          <w:p w14:paraId="37DD1DE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1.03</w:t>
            </w:r>
          </w:p>
        </w:tc>
        <w:tc>
          <w:tcPr>
            <w:tcW w:w="739" w:type="pct"/>
            <w:vAlign w:val="center"/>
          </w:tcPr>
          <w:p w14:paraId="38D1692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0.98</w:t>
            </w:r>
          </w:p>
        </w:tc>
        <w:tc>
          <w:tcPr>
            <w:tcW w:w="741" w:type="pct"/>
            <w:vAlign w:val="center"/>
          </w:tcPr>
          <w:p w14:paraId="54BB0FF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1.30</w:t>
            </w:r>
          </w:p>
        </w:tc>
        <w:tc>
          <w:tcPr>
            <w:tcW w:w="681" w:type="pct"/>
            <w:vAlign w:val="center"/>
          </w:tcPr>
          <w:p w14:paraId="276190E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0.70</w:t>
            </w:r>
          </w:p>
        </w:tc>
        <w:tc>
          <w:tcPr>
            <w:tcW w:w="739" w:type="pct"/>
            <w:vAlign w:val="center"/>
          </w:tcPr>
          <w:p w14:paraId="650039D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0.79</w:t>
            </w:r>
          </w:p>
        </w:tc>
        <w:tc>
          <w:tcPr>
            <w:tcW w:w="739" w:type="pct"/>
            <w:vAlign w:val="center"/>
          </w:tcPr>
          <w:p w14:paraId="54B7E41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1.07</w:t>
            </w:r>
          </w:p>
        </w:tc>
      </w:tr>
      <w:tr w:rsidR="000A0ACD" w14:paraId="276D916E" w14:textId="77777777">
        <w:trPr>
          <w:trHeight w:val="397"/>
        </w:trPr>
        <w:tc>
          <w:tcPr>
            <w:tcW w:w="677" w:type="pct"/>
            <w:shd w:val="clear" w:color="auto" w:fill="auto"/>
            <w:vAlign w:val="center"/>
          </w:tcPr>
          <w:p w14:paraId="418D525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拓斯达</w:t>
            </w:r>
          </w:p>
        </w:tc>
        <w:tc>
          <w:tcPr>
            <w:tcW w:w="681" w:type="pct"/>
            <w:vAlign w:val="center"/>
          </w:tcPr>
          <w:p w14:paraId="659D0D3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2.19</w:t>
            </w:r>
          </w:p>
        </w:tc>
        <w:tc>
          <w:tcPr>
            <w:tcW w:w="739" w:type="pct"/>
            <w:vAlign w:val="center"/>
          </w:tcPr>
          <w:p w14:paraId="55105AC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2.58</w:t>
            </w:r>
          </w:p>
        </w:tc>
        <w:tc>
          <w:tcPr>
            <w:tcW w:w="741" w:type="pct"/>
            <w:vAlign w:val="center"/>
          </w:tcPr>
          <w:p w14:paraId="6F7885A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1.94</w:t>
            </w:r>
          </w:p>
        </w:tc>
        <w:tc>
          <w:tcPr>
            <w:tcW w:w="681" w:type="pct"/>
            <w:vAlign w:val="center"/>
          </w:tcPr>
          <w:p w14:paraId="7DAC11F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1.68</w:t>
            </w:r>
          </w:p>
        </w:tc>
        <w:tc>
          <w:tcPr>
            <w:tcW w:w="739" w:type="pct"/>
            <w:vAlign w:val="center"/>
          </w:tcPr>
          <w:p w14:paraId="4D39F07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2.34</w:t>
            </w:r>
          </w:p>
        </w:tc>
        <w:tc>
          <w:tcPr>
            <w:tcW w:w="739" w:type="pct"/>
            <w:vAlign w:val="center"/>
          </w:tcPr>
          <w:p w14:paraId="42CC01C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1.50</w:t>
            </w:r>
          </w:p>
        </w:tc>
      </w:tr>
      <w:tr w:rsidR="000A0ACD" w14:paraId="20390522" w14:textId="77777777">
        <w:trPr>
          <w:trHeight w:val="397"/>
        </w:trPr>
        <w:tc>
          <w:tcPr>
            <w:tcW w:w="677" w:type="pct"/>
            <w:shd w:val="clear" w:color="auto" w:fill="auto"/>
            <w:vAlign w:val="center"/>
          </w:tcPr>
          <w:p w14:paraId="3170E3C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永创智能</w:t>
            </w:r>
          </w:p>
        </w:tc>
        <w:tc>
          <w:tcPr>
            <w:tcW w:w="681" w:type="pct"/>
            <w:vAlign w:val="center"/>
          </w:tcPr>
          <w:p w14:paraId="52DF39A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1.70</w:t>
            </w:r>
          </w:p>
        </w:tc>
        <w:tc>
          <w:tcPr>
            <w:tcW w:w="739" w:type="pct"/>
            <w:vAlign w:val="center"/>
          </w:tcPr>
          <w:p w14:paraId="58B4DA1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1.68</w:t>
            </w:r>
          </w:p>
        </w:tc>
        <w:tc>
          <w:tcPr>
            <w:tcW w:w="741" w:type="pct"/>
            <w:vAlign w:val="center"/>
          </w:tcPr>
          <w:p w14:paraId="2D1FBDA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1.47</w:t>
            </w:r>
          </w:p>
        </w:tc>
        <w:tc>
          <w:tcPr>
            <w:tcW w:w="681" w:type="pct"/>
            <w:vAlign w:val="center"/>
          </w:tcPr>
          <w:p w14:paraId="35BBC84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0.86</w:t>
            </w:r>
          </w:p>
        </w:tc>
        <w:tc>
          <w:tcPr>
            <w:tcW w:w="739" w:type="pct"/>
            <w:vAlign w:val="center"/>
          </w:tcPr>
          <w:p w14:paraId="7FFFE58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739" w:type="pct"/>
            <w:vAlign w:val="center"/>
          </w:tcPr>
          <w:p w14:paraId="17151E5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0.73</w:t>
            </w:r>
          </w:p>
        </w:tc>
      </w:tr>
      <w:tr w:rsidR="000A0ACD" w14:paraId="50C9A297" w14:textId="77777777">
        <w:trPr>
          <w:trHeight w:val="397"/>
        </w:trPr>
        <w:tc>
          <w:tcPr>
            <w:tcW w:w="677" w:type="pct"/>
            <w:shd w:val="clear" w:color="auto" w:fill="auto"/>
            <w:vAlign w:val="center"/>
          </w:tcPr>
          <w:p w14:paraId="4686BEE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快克股份</w:t>
            </w:r>
          </w:p>
        </w:tc>
        <w:tc>
          <w:tcPr>
            <w:tcW w:w="681" w:type="pct"/>
            <w:vAlign w:val="center"/>
          </w:tcPr>
          <w:p w14:paraId="3A5727D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6.21</w:t>
            </w:r>
          </w:p>
        </w:tc>
        <w:tc>
          <w:tcPr>
            <w:tcW w:w="739" w:type="pct"/>
            <w:vAlign w:val="center"/>
          </w:tcPr>
          <w:p w14:paraId="3CA0679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6.70</w:t>
            </w:r>
          </w:p>
        </w:tc>
        <w:tc>
          <w:tcPr>
            <w:tcW w:w="741" w:type="pct"/>
            <w:vAlign w:val="center"/>
          </w:tcPr>
          <w:p w14:paraId="70B277F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5.72</w:t>
            </w:r>
          </w:p>
        </w:tc>
        <w:tc>
          <w:tcPr>
            <w:tcW w:w="681" w:type="pct"/>
            <w:vAlign w:val="center"/>
          </w:tcPr>
          <w:p w14:paraId="09B26CA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5.81</w:t>
            </w:r>
          </w:p>
        </w:tc>
        <w:tc>
          <w:tcPr>
            <w:tcW w:w="739" w:type="pct"/>
            <w:vAlign w:val="center"/>
          </w:tcPr>
          <w:p w14:paraId="1CFFBFD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6.28</w:t>
            </w:r>
          </w:p>
        </w:tc>
        <w:tc>
          <w:tcPr>
            <w:tcW w:w="739" w:type="pct"/>
            <w:vAlign w:val="center"/>
          </w:tcPr>
          <w:p w14:paraId="1A6FDEF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5.24</w:t>
            </w:r>
          </w:p>
        </w:tc>
      </w:tr>
      <w:tr w:rsidR="000A0ACD" w14:paraId="1913A3C0" w14:textId="77777777">
        <w:trPr>
          <w:trHeight w:val="397"/>
        </w:trPr>
        <w:tc>
          <w:tcPr>
            <w:tcW w:w="677" w:type="pct"/>
            <w:shd w:val="clear" w:color="auto" w:fill="auto"/>
            <w:vAlign w:val="center"/>
          </w:tcPr>
          <w:p w14:paraId="626F542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机器人</w:t>
            </w:r>
          </w:p>
        </w:tc>
        <w:tc>
          <w:tcPr>
            <w:tcW w:w="681" w:type="pct"/>
            <w:vAlign w:val="center"/>
          </w:tcPr>
          <w:p w14:paraId="63FCE33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2.56</w:t>
            </w:r>
          </w:p>
        </w:tc>
        <w:tc>
          <w:tcPr>
            <w:tcW w:w="739" w:type="pct"/>
            <w:vAlign w:val="center"/>
          </w:tcPr>
          <w:p w14:paraId="77A6916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2.49</w:t>
            </w:r>
          </w:p>
        </w:tc>
        <w:tc>
          <w:tcPr>
            <w:tcW w:w="741" w:type="pct"/>
            <w:vAlign w:val="center"/>
          </w:tcPr>
          <w:p w14:paraId="4C24C1A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2.82</w:t>
            </w:r>
          </w:p>
        </w:tc>
        <w:tc>
          <w:tcPr>
            <w:tcW w:w="681" w:type="pct"/>
            <w:vAlign w:val="center"/>
          </w:tcPr>
          <w:p w14:paraId="39262E8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1.99</w:t>
            </w:r>
          </w:p>
        </w:tc>
        <w:tc>
          <w:tcPr>
            <w:tcW w:w="739" w:type="pct"/>
            <w:vAlign w:val="center"/>
          </w:tcPr>
          <w:p w14:paraId="08D3215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1.35</w:t>
            </w:r>
          </w:p>
        </w:tc>
        <w:tc>
          <w:tcPr>
            <w:tcW w:w="739" w:type="pct"/>
            <w:vAlign w:val="center"/>
          </w:tcPr>
          <w:p w14:paraId="26B2167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1.67</w:t>
            </w:r>
          </w:p>
        </w:tc>
      </w:tr>
      <w:tr w:rsidR="000A0ACD" w14:paraId="08FF1202" w14:textId="77777777">
        <w:trPr>
          <w:trHeight w:val="397"/>
        </w:trPr>
        <w:tc>
          <w:tcPr>
            <w:tcW w:w="677" w:type="pct"/>
            <w:shd w:val="clear" w:color="auto" w:fill="auto"/>
            <w:vAlign w:val="center"/>
          </w:tcPr>
          <w:p w14:paraId="217DC728" w14:textId="77777777" w:rsidR="000A0ACD" w:rsidRDefault="00362A99">
            <w:pPr>
              <w:jc w:val="center"/>
              <w:rPr>
                <w:rFonts w:ascii="Times New Roman" w:hAnsi="Times New Roman" w:cs="Times New Roman"/>
                <w:b/>
                <w:bCs/>
                <w:snapToGrid w:val="0"/>
                <w:sz w:val="21"/>
                <w:szCs w:val="21"/>
              </w:rPr>
            </w:pPr>
            <w:r>
              <w:rPr>
                <w:rFonts w:ascii="Times New Roman" w:hAnsi="Times New Roman" w:cs="Times New Roman" w:hint="eastAsia"/>
                <w:b/>
                <w:bCs/>
                <w:snapToGrid w:val="0"/>
                <w:sz w:val="21"/>
                <w:szCs w:val="21"/>
              </w:rPr>
              <w:t>可比上市公司平均值</w:t>
            </w:r>
          </w:p>
        </w:tc>
        <w:tc>
          <w:tcPr>
            <w:tcW w:w="681" w:type="pct"/>
            <w:vAlign w:val="center"/>
          </w:tcPr>
          <w:p w14:paraId="714E0B2A"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2.74</w:t>
            </w:r>
          </w:p>
        </w:tc>
        <w:tc>
          <w:tcPr>
            <w:tcW w:w="739" w:type="pct"/>
            <w:vAlign w:val="center"/>
          </w:tcPr>
          <w:p w14:paraId="5A0F4EF4"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2.89</w:t>
            </w:r>
          </w:p>
        </w:tc>
        <w:tc>
          <w:tcPr>
            <w:tcW w:w="741" w:type="pct"/>
            <w:vAlign w:val="center"/>
          </w:tcPr>
          <w:p w14:paraId="1854DADB"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2.65</w:t>
            </w:r>
          </w:p>
        </w:tc>
        <w:tc>
          <w:tcPr>
            <w:tcW w:w="681" w:type="pct"/>
            <w:vAlign w:val="center"/>
          </w:tcPr>
          <w:p w14:paraId="0A5CD2D6"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2.21</w:t>
            </w:r>
          </w:p>
        </w:tc>
        <w:tc>
          <w:tcPr>
            <w:tcW w:w="739" w:type="pct"/>
            <w:vAlign w:val="center"/>
          </w:tcPr>
          <w:p w14:paraId="261115F7"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2.35</w:t>
            </w:r>
          </w:p>
        </w:tc>
        <w:tc>
          <w:tcPr>
            <w:tcW w:w="739" w:type="pct"/>
            <w:vAlign w:val="center"/>
          </w:tcPr>
          <w:p w14:paraId="78845D60"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2.04</w:t>
            </w:r>
          </w:p>
        </w:tc>
      </w:tr>
      <w:tr w:rsidR="000A0ACD" w14:paraId="4F71A848" w14:textId="77777777">
        <w:trPr>
          <w:trHeight w:val="397"/>
        </w:trPr>
        <w:tc>
          <w:tcPr>
            <w:tcW w:w="677" w:type="pct"/>
            <w:shd w:val="clear" w:color="auto" w:fill="auto"/>
            <w:vAlign w:val="center"/>
          </w:tcPr>
          <w:p w14:paraId="3C627A05"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项目</w:t>
            </w:r>
          </w:p>
        </w:tc>
        <w:tc>
          <w:tcPr>
            <w:tcW w:w="681" w:type="pct"/>
            <w:vAlign w:val="center"/>
          </w:tcPr>
          <w:p w14:paraId="28EFDA8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9" w:type="pct"/>
            <w:vAlign w:val="center"/>
          </w:tcPr>
          <w:p w14:paraId="149E1B5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41" w:type="pct"/>
            <w:vAlign w:val="center"/>
          </w:tcPr>
          <w:p w14:paraId="108AE2D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681" w:type="pct"/>
            <w:vAlign w:val="center"/>
          </w:tcPr>
          <w:p w14:paraId="3B2C577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9" w:type="pct"/>
            <w:vAlign w:val="center"/>
          </w:tcPr>
          <w:p w14:paraId="2F23A35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9" w:type="pct"/>
            <w:vAlign w:val="center"/>
          </w:tcPr>
          <w:p w14:paraId="053EA5F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r>
      <w:tr w:rsidR="000A0ACD" w14:paraId="4841EB4C" w14:textId="77777777">
        <w:trPr>
          <w:trHeight w:val="397"/>
        </w:trPr>
        <w:tc>
          <w:tcPr>
            <w:tcW w:w="677" w:type="pct"/>
            <w:shd w:val="clear" w:color="auto" w:fill="auto"/>
            <w:vAlign w:val="center"/>
          </w:tcPr>
          <w:p w14:paraId="5651AAC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北洋天青</w:t>
            </w:r>
          </w:p>
        </w:tc>
        <w:tc>
          <w:tcPr>
            <w:tcW w:w="681" w:type="pct"/>
            <w:vAlign w:val="center"/>
          </w:tcPr>
          <w:p w14:paraId="1612296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1.47</w:t>
            </w:r>
          </w:p>
        </w:tc>
        <w:tc>
          <w:tcPr>
            <w:tcW w:w="739" w:type="pct"/>
            <w:vAlign w:val="center"/>
          </w:tcPr>
          <w:p w14:paraId="51CA3CD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2.51</w:t>
            </w:r>
          </w:p>
        </w:tc>
        <w:tc>
          <w:tcPr>
            <w:tcW w:w="741" w:type="pct"/>
            <w:vAlign w:val="center"/>
          </w:tcPr>
          <w:p w14:paraId="568CCC5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2.26</w:t>
            </w:r>
          </w:p>
        </w:tc>
        <w:tc>
          <w:tcPr>
            <w:tcW w:w="681" w:type="pct"/>
            <w:vAlign w:val="center"/>
          </w:tcPr>
          <w:p w14:paraId="7287DCF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1.18</w:t>
            </w:r>
          </w:p>
        </w:tc>
        <w:tc>
          <w:tcPr>
            <w:tcW w:w="739" w:type="pct"/>
            <w:vAlign w:val="center"/>
          </w:tcPr>
          <w:p w14:paraId="6135459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2.03</w:t>
            </w:r>
          </w:p>
        </w:tc>
        <w:tc>
          <w:tcPr>
            <w:tcW w:w="739" w:type="pct"/>
            <w:vAlign w:val="center"/>
          </w:tcPr>
          <w:p w14:paraId="53BB01D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1.60</w:t>
            </w:r>
          </w:p>
        </w:tc>
      </w:tr>
    </w:tbl>
    <w:p w14:paraId="23EC8ED0"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sz w:val="21"/>
          <w:szCs w:val="21"/>
        </w:rPr>
        <w:t>注：</w:t>
      </w:r>
      <w:r>
        <w:rPr>
          <w:rFonts w:ascii="Times New Roman" w:hAnsi="Times New Roman" w:cs="Times New Roman" w:hint="eastAsia"/>
          <w:bCs/>
          <w:sz w:val="21"/>
          <w:szCs w:val="21"/>
        </w:rPr>
        <w:t>1</w:t>
      </w:r>
      <w:r>
        <w:rPr>
          <w:rFonts w:ascii="Times New Roman" w:hAnsi="Times New Roman" w:cs="Times New Roman" w:hint="eastAsia"/>
          <w:bCs/>
          <w:sz w:val="21"/>
          <w:szCs w:val="21"/>
        </w:rPr>
        <w:t>、</w:t>
      </w: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452F90FD" w14:textId="77777777" w:rsidR="000A0ACD" w:rsidRDefault="00362A99">
      <w:pPr>
        <w:ind w:firstLineChars="200" w:firstLine="420"/>
        <w:jc w:val="both"/>
        <w:rPr>
          <w:rFonts w:ascii="Times New Roman" w:hAnsi="Times New Roman" w:cs="Times New Roman"/>
          <w:sz w:val="21"/>
          <w:szCs w:val="21"/>
        </w:rPr>
      </w:pPr>
      <w:r>
        <w:rPr>
          <w:rFonts w:ascii="Times New Roman" w:hAnsi="Times New Roman" w:cs="Times New Roman" w:hint="eastAsia"/>
          <w:bCs/>
          <w:sz w:val="21"/>
          <w:szCs w:val="21"/>
        </w:rPr>
        <w:t>2</w:t>
      </w:r>
      <w:r>
        <w:rPr>
          <w:rFonts w:ascii="Times New Roman" w:hAnsi="Times New Roman" w:cs="Times New Roman" w:hint="eastAsia"/>
          <w:bCs/>
          <w:sz w:val="21"/>
          <w:szCs w:val="21"/>
        </w:rPr>
        <w:t>、由于可比上市公司未公布年度数据，故采用</w:t>
      </w:r>
      <w:r>
        <w:rPr>
          <w:rFonts w:ascii="Times New Roman" w:hAnsi="Times New Roman" w:cs="Times New Roman" w:hint="eastAsia"/>
          <w:bCs/>
          <w:sz w:val="21"/>
          <w:szCs w:val="21"/>
        </w:rPr>
        <w:t>2020</w:t>
      </w:r>
      <w:r>
        <w:rPr>
          <w:rFonts w:ascii="Times New Roman" w:hAnsi="Times New Roman" w:cs="Times New Roman" w:hint="eastAsia"/>
          <w:bCs/>
          <w:sz w:val="21"/>
          <w:szCs w:val="21"/>
        </w:rPr>
        <w:t>年</w:t>
      </w:r>
      <w:r>
        <w:rPr>
          <w:rFonts w:ascii="Times New Roman" w:hAnsi="Times New Roman" w:cs="Times New Roman" w:hint="eastAsia"/>
          <w:bCs/>
          <w:sz w:val="21"/>
          <w:szCs w:val="21"/>
        </w:rPr>
        <w:t>9</w:t>
      </w:r>
      <w:r>
        <w:rPr>
          <w:rFonts w:ascii="Times New Roman" w:hAnsi="Times New Roman" w:cs="Times New Roman" w:hint="eastAsia"/>
          <w:bCs/>
          <w:sz w:val="21"/>
          <w:szCs w:val="21"/>
        </w:rPr>
        <w:t>月</w:t>
      </w:r>
      <w:r>
        <w:rPr>
          <w:rFonts w:ascii="Times New Roman" w:hAnsi="Times New Roman" w:cs="Times New Roman" w:hint="eastAsia"/>
          <w:bCs/>
          <w:sz w:val="21"/>
          <w:szCs w:val="21"/>
        </w:rPr>
        <w:t>30</w:t>
      </w:r>
      <w:r>
        <w:rPr>
          <w:rFonts w:ascii="Times New Roman" w:hAnsi="Times New Roman" w:cs="Times New Roman" w:hint="eastAsia"/>
          <w:bCs/>
          <w:sz w:val="21"/>
          <w:szCs w:val="21"/>
        </w:rPr>
        <w:t>日数据进行分析。</w:t>
      </w:r>
    </w:p>
    <w:p w14:paraId="4CDA0211"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报告期内，北洋天青及同行业可比上市公司的偿债能力水平如下：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35"/>
        <w:gridCol w:w="1139"/>
        <w:gridCol w:w="1241"/>
        <w:gridCol w:w="1241"/>
        <w:gridCol w:w="1256"/>
        <w:gridCol w:w="1256"/>
        <w:gridCol w:w="1254"/>
      </w:tblGrid>
      <w:tr w:rsidR="000A0ACD" w14:paraId="580A235D" w14:textId="77777777">
        <w:trPr>
          <w:trHeight w:val="397"/>
          <w:tblHeader/>
        </w:trPr>
        <w:tc>
          <w:tcPr>
            <w:tcW w:w="666" w:type="pct"/>
            <w:vMerge w:val="restart"/>
            <w:shd w:val="clear" w:color="auto" w:fill="auto"/>
            <w:vAlign w:val="center"/>
          </w:tcPr>
          <w:p w14:paraId="628E1CF1"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2124" w:type="pct"/>
            <w:gridSpan w:val="3"/>
            <w:vAlign w:val="center"/>
          </w:tcPr>
          <w:p w14:paraId="00F9306E" w14:textId="77777777" w:rsidR="000A0ACD" w:rsidRDefault="00362A99">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资产负债率（</w:t>
            </w:r>
            <w:r>
              <w:rPr>
                <w:rFonts w:ascii="Times New Roman" w:hAnsi="Times New Roman" w:cs="Times New Roman" w:hint="eastAsia"/>
                <w:b/>
                <w:color w:val="000000"/>
                <w:sz w:val="21"/>
                <w:szCs w:val="21"/>
              </w:rPr>
              <w:t>%</w:t>
            </w:r>
            <w:r>
              <w:rPr>
                <w:rFonts w:ascii="Times New Roman" w:hAnsi="Times New Roman" w:cs="Times New Roman" w:hint="eastAsia"/>
                <w:b/>
                <w:color w:val="000000"/>
                <w:sz w:val="21"/>
                <w:szCs w:val="21"/>
              </w:rPr>
              <w:t>）</w:t>
            </w:r>
          </w:p>
        </w:tc>
        <w:tc>
          <w:tcPr>
            <w:tcW w:w="2210" w:type="pct"/>
            <w:gridSpan w:val="3"/>
            <w:vAlign w:val="center"/>
          </w:tcPr>
          <w:p w14:paraId="72C3AE7F"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color w:val="000000"/>
                <w:sz w:val="21"/>
                <w:szCs w:val="21"/>
              </w:rPr>
              <w:t>流动负债（万元）</w:t>
            </w:r>
          </w:p>
        </w:tc>
      </w:tr>
      <w:tr w:rsidR="000A0ACD" w14:paraId="447556E4" w14:textId="77777777">
        <w:trPr>
          <w:trHeight w:val="397"/>
          <w:tblHeader/>
        </w:trPr>
        <w:tc>
          <w:tcPr>
            <w:tcW w:w="666" w:type="pct"/>
            <w:vMerge/>
            <w:shd w:val="clear" w:color="auto" w:fill="auto"/>
            <w:vAlign w:val="center"/>
          </w:tcPr>
          <w:p w14:paraId="17FB9B74" w14:textId="77777777" w:rsidR="000A0ACD" w:rsidRDefault="000A0ACD">
            <w:pPr>
              <w:jc w:val="center"/>
              <w:rPr>
                <w:rFonts w:ascii="Times New Roman" w:hAnsi="Times New Roman" w:cs="Times New Roman"/>
                <w:b/>
                <w:bCs/>
                <w:sz w:val="21"/>
                <w:szCs w:val="21"/>
              </w:rPr>
            </w:pPr>
          </w:p>
        </w:tc>
        <w:tc>
          <w:tcPr>
            <w:tcW w:w="668" w:type="pct"/>
            <w:vAlign w:val="center"/>
          </w:tcPr>
          <w:p w14:paraId="2A875D80"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9</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30</w:t>
            </w:r>
            <w:r>
              <w:rPr>
                <w:rFonts w:ascii="Times New Roman" w:hAnsi="Times New Roman" w:cs="Times New Roman" w:hint="eastAsia"/>
                <w:b/>
                <w:bCs/>
                <w:snapToGrid w:val="0"/>
                <w:sz w:val="21"/>
                <w:szCs w:val="21"/>
                <w:lang w:val="en-GB"/>
              </w:rPr>
              <w:t>日</w:t>
            </w:r>
          </w:p>
        </w:tc>
        <w:tc>
          <w:tcPr>
            <w:tcW w:w="728" w:type="pct"/>
            <w:vAlign w:val="center"/>
          </w:tcPr>
          <w:p w14:paraId="261ABF5C"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lang w:val="en-GB"/>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28" w:type="pct"/>
            <w:vAlign w:val="center"/>
          </w:tcPr>
          <w:p w14:paraId="6B2BE750"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7" w:type="pct"/>
            <w:vAlign w:val="center"/>
          </w:tcPr>
          <w:p w14:paraId="0E55DF6D"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9</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30</w:t>
            </w:r>
            <w:r>
              <w:rPr>
                <w:rFonts w:ascii="Times New Roman" w:hAnsi="Times New Roman" w:cs="Times New Roman" w:hint="eastAsia"/>
                <w:b/>
                <w:bCs/>
                <w:snapToGrid w:val="0"/>
                <w:sz w:val="21"/>
                <w:szCs w:val="21"/>
                <w:lang w:val="en-GB"/>
              </w:rPr>
              <w:t>日</w:t>
            </w:r>
          </w:p>
        </w:tc>
        <w:tc>
          <w:tcPr>
            <w:tcW w:w="737" w:type="pct"/>
            <w:vAlign w:val="center"/>
          </w:tcPr>
          <w:p w14:paraId="0F6919B7"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6" w:type="pct"/>
            <w:vAlign w:val="center"/>
          </w:tcPr>
          <w:p w14:paraId="4E0C2F09"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r>
      <w:tr w:rsidR="000A0ACD" w14:paraId="66C606C2" w14:textId="77777777">
        <w:trPr>
          <w:trHeight w:val="397"/>
        </w:trPr>
        <w:tc>
          <w:tcPr>
            <w:tcW w:w="666" w:type="pct"/>
            <w:shd w:val="clear" w:color="auto" w:fill="auto"/>
            <w:vAlign w:val="center"/>
          </w:tcPr>
          <w:p w14:paraId="649354DF" w14:textId="77777777" w:rsidR="000A0ACD" w:rsidRDefault="00362A99">
            <w:pPr>
              <w:jc w:val="cente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埃斯顿</w:t>
            </w:r>
          </w:p>
        </w:tc>
        <w:tc>
          <w:tcPr>
            <w:tcW w:w="668" w:type="pct"/>
            <w:vAlign w:val="center"/>
          </w:tcPr>
          <w:p w14:paraId="032BEC5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66.62</w:t>
            </w:r>
          </w:p>
        </w:tc>
        <w:tc>
          <w:tcPr>
            <w:tcW w:w="728" w:type="pct"/>
            <w:vAlign w:val="center"/>
          </w:tcPr>
          <w:p w14:paraId="4717A79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54.61</w:t>
            </w:r>
          </w:p>
        </w:tc>
        <w:tc>
          <w:tcPr>
            <w:tcW w:w="728" w:type="pct"/>
            <w:vAlign w:val="center"/>
          </w:tcPr>
          <w:p w14:paraId="7184423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52.61</w:t>
            </w:r>
          </w:p>
        </w:tc>
        <w:tc>
          <w:tcPr>
            <w:tcW w:w="737" w:type="pct"/>
            <w:vAlign w:val="center"/>
          </w:tcPr>
          <w:p w14:paraId="79ED0EF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242,928.58</w:t>
            </w:r>
          </w:p>
        </w:tc>
        <w:tc>
          <w:tcPr>
            <w:tcW w:w="737" w:type="pct"/>
            <w:vAlign w:val="center"/>
          </w:tcPr>
          <w:p w14:paraId="16643BF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170,950.63</w:t>
            </w:r>
          </w:p>
        </w:tc>
        <w:tc>
          <w:tcPr>
            <w:tcW w:w="736" w:type="pct"/>
            <w:vAlign w:val="center"/>
          </w:tcPr>
          <w:p w14:paraId="1E5CBCD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157,633.28</w:t>
            </w:r>
          </w:p>
        </w:tc>
      </w:tr>
      <w:tr w:rsidR="000A0ACD" w14:paraId="78292FF1" w14:textId="77777777">
        <w:trPr>
          <w:trHeight w:val="397"/>
        </w:trPr>
        <w:tc>
          <w:tcPr>
            <w:tcW w:w="666" w:type="pct"/>
            <w:shd w:val="clear" w:color="auto" w:fill="auto"/>
            <w:vAlign w:val="center"/>
          </w:tcPr>
          <w:p w14:paraId="55FE1B37" w14:textId="77777777" w:rsidR="000A0ACD" w:rsidRDefault="00362A99">
            <w:pPr>
              <w:jc w:val="cente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拓斯达</w:t>
            </w:r>
          </w:p>
        </w:tc>
        <w:tc>
          <w:tcPr>
            <w:tcW w:w="668" w:type="pct"/>
            <w:vAlign w:val="center"/>
          </w:tcPr>
          <w:p w14:paraId="1066E58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43.26</w:t>
            </w:r>
          </w:p>
        </w:tc>
        <w:tc>
          <w:tcPr>
            <w:tcW w:w="728" w:type="pct"/>
            <w:vAlign w:val="center"/>
          </w:tcPr>
          <w:p w14:paraId="5680FA2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37.19</w:t>
            </w:r>
          </w:p>
        </w:tc>
        <w:tc>
          <w:tcPr>
            <w:tcW w:w="728" w:type="pct"/>
            <w:vAlign w:val="center"/>
          </w:tcPr>
          <w:p w14:paraId="2D09C99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46.56</w:t>
            </w:r>
          </w:p>
        </w:tc>
        <w:tc>
          <w:tcPr>
            <w:tcW w:w="737" w:type="pct"/>
            <w:vAlign w:val="center"/>
          </w:tcPr>
          <w:p w14:paraId="6B887A4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150,421.99</w:t>
            </w:r>
          </w:p>
        </w:tc>
        <w:tc>
          <w:tcPr>
            <w:tcW w:w="737" w:type="pct"/>
            <w:vAlign w:val="center"/>
          </w:tcPr>
          <w:p w14:paraId="6DC6F0D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86,007.92</w:t>
            </w:r>
          </w:p>
        </w:tc>
        <w:tc>
          <w:tcPr>
            <w:tcW w:w="736" w:type="pct"/>
            <w:vAlign w:val="center"/>
          </w:tcPr>
          <w:p w14:paraId="04136C2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65,740.97</w:t>
            </w:r>
          </w:p>
        </w:tc>
      </w:tr>
      <w:tr w:rsidR="000A0ACD" w14:paraId="3ACB9215" w14:textId="77777777">
        <w:trPr>
          <w:trHeight w:val="397"/>
        </w:trPr>
        <w:tc>
          <w:tcPr>
            <w:tcW w:w="666" w:type="pct"/>
            <w:shd w:val="clear" w:color="auto" w:fill="auto"/>
            <w:vAlign w:val="center"/>
          </w:tcPr>
          <w:p w14:paraId="5F212297" w14:textId="77777777" w:rsidR="000A0ACD" w:rsidRDefault="00362A99">
            <w:pPr>
              <w:jc w:val="cente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永创智能</w:t>
            </w:r>
          </w:p>
        </w:tc>
        <w:tc>
          <w:tcPr>
            <w:tcW w:w="668" w:type="pct"/>
            <w:vAlign w:val="center"/>
          </w:tcPr>
          <w:p w14:paraId="1538E66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56.46</w:t>
            </w:r>
          </w:p>
        </w:tc>
        <w:tc>
          <w:tcPr>
            <w:tcW w:w="728" w:type="pct"/>
            <w:vAlign w:val="center"/>
          </w:tcPr>
          <w:p w14:paraId="42EAE3D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59.06</w:t>
            </w:r>
          </w:p>
        </w:tc>
        <w:tc>
          <w:tcPr>
            <w:tcW w:w="728" w:type="pct"/>
            <w:vAlign w:val="center"/>
          </w:tcPr>
          <w:p w14:paraId="483294D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55.29</w:t>
            </w:r>
          </w:p>
        </w:tc>
        <w:tc>
          <w:tcPr>
            <w:tcW w:w="737" w:type="pct"/>
            <w:vAlign w:val="center"/>
          </w:tcPr>
          <w:p w14:paraId="578462E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159,125.86</w:t>
            </w:r>
          </w:p>
        </w:tc>
        <w:tc>
          <w:tcPr>
            <w:tcW w:w="737" w:type="pct"/>
            <w:vAlign w:val="center"/>
          </w:tcPr>
          <w:p w14:paraId="0CD41D1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164,926.47</w:t>
            </w:r>
          </w:p>
        </w:tc>
        <w:tc>
          <w:tcPr>
            <w:tcW w:w="736" w:type="pct"/>
            <w:vAlign w:val="center"/>
          </w:tcPr>
          <w:p w14:paraId="406D43B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147,734.40</w:t>
            </w:r>
          </w:p>
        </w:tc>
      </w:tr>
      <w:tr w:rsidR="000A0ACD" w14:paraId="0DE93F53" w14:textId="77777777">
        <w:trPr>
          <w:trHeight w:val="397"/>
        </w:trPr>
        <w:tc>
          <w:tcPr>
            <w:tcW w:w="666" w:type="pct"/>
            <w:shd w:val="clear" w:color="auto" w:fill="auto"/>
            <w:vAlign w:val="center"/>
          </w:tcPr>
          <w:p w14:paraId="2EAFF7DC" w14:textId="77777777" w:rsidR="000A0ACD" w:rsidRDefault="00362A99">
            <w:pPr>
              <w:jc w:val="cente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快克股份</w:t>
            </w:r>
          </w:p>
        </w:tc>
        <w:tc>
          <w:tcPr>
            <w:tcW w:w="668" w:type="pct"/>
            <w:vAlign w:val="center"/>
          </w:tcPr>
          <w:p w14:paraId="2FC490A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15.06</w:t>
            </w:r>
          </w:p>
        </w:tc>
        <w:tc>
          <w:tcPr>
            <w:tcW w:w="728" w:type="pct"/>
            <w:vAlign w:val="center"/>
          </w:tcPr>
          <w:p w14:paraId="22EE5FC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14.19</w:t>
            </w:r>
          </w:p>
        </w:tc>
        <w:tc>
          <w:tcPr>
            <w:tcW w:w="728" w:type="pct"/>
            <w:vAlign w:val="center"/>
          </w:tcPr>
          <w:p w14:paraId="2DDD8B4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16.24</w:t>
            </w:r>
          </w:p>
        </w:tc>
        <w:tc>
          <w:tcPr>
            <w:tcW w:w="737" w:type="pct"/>
            <w:vAlign w:val="center"/>
          </w:tcPr>
          <w:p w14:paraId="27359DF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17,825.80</w:t>
            </w:r>
          </w:p>
        </w:tc>
        <w:tc>
          <w:tcPr>
            <w:tcW w:w="737" w:type="pct"/>
            <w:vAlign w:val="center"/>
          </w:tcPr>
          <w:p w14:paraId="4EF96E1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14,907.30</w:t>
            </w:r>
          </w:p>
        </w:tc>
        <w:tc>
          <w:tcPr>
            <w:tcW w:w="736" w:type="pct"/>
            <w:vAlign w:val="center"/>
          </w:tcPr>
          <w:p w14:paraId="520110A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15,466.35</w:t>
            </w:r>
          </w:p>
        </w:tc>
      </w:tr>
      <w:tr w:rsidR="000A0ACD" w14:paraId="012860D9" w14:textId="77777777">
        <w:trPr>
          <w:trHeight w:val="397"/>
        </w:trPr>
        <w:tc>
          <w:tcPr>
            <w:tcW w:w="666" w:type="pct"/>
            <w:shd w:val="clear" w:color="auto" w:fill="auto"/>
            <w:vAlign w:val="center"/>
          </w:tcPr>
          <w:p w14:paraId="482F0667" w14:textId="77777777" w:rsidR="000A0ACD" w:rsidRDefault="00362A99">
            <w:pPr>
              <w:jc w:val="cente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机器人</w:t>
            </w:r>
          </w:p>
        </w:tc>
        <w:tc>
          <w:tcPr>
            <w:tcW w:w="668" w:type="pct"/>
            <w:vAlign w:val="center"/>
          </w:tcPr>
          <w:p w14:paraId="4F15808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37.31</w:t>
            </w:r>
          </w:p>
        </w:tc>
        <w:tc>
          <w:tcPr>
            <w:tcW w:w="728" w:type="pct"/>
            <w:vAlign w:val="center"/>
          </w:tcPr>
          <w:p w14:paraId="06F1609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33.89</w:t>
            </w:r>
          </w:p>
        </w:tc>
        <w:tc>
          <w:tcPr>
            <w:tcW w:w="728" w:type="pct"/>
            <w:vAlign w:val="center"/>
          </w:tcPr>
          <w:p w14:paraId="7514342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33.73</w:t>
            </w:r>
          </w:p>
        </w:tc>
        <w:tc>
          <w:tcPr>
            <w:tcW w:w="737" w:type="pct"/>
            <w:vAlign w:val="center"/>
          </w:tcPr>
          <w:p w14:paraId="2320F90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288,891.66</w:t>
            </w:r>
          </w:p>
        </w:tc>
        <w:tc>
          <w:tcPr>
            <w:tcW w:w="737" w:type="pct"/>
            <w:vAlign w:val="center"/>
          </w:tcPr>
          <w:p w14:paraId="42FE8B5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272,483.15</w:t>
            </w:r>
          </w:p>
        </w:tc>
        <w:tc>
          <w:tcPr>
            <w:tcW w:w="736" w:type="pct"/>
            <w:vAlign w:val="center"/>
          </w:tcPr>
          <w:p w14:paraId="3A343D8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246,074.90</w:t>
            </w:r>
          </w:p>
        </w:tc>
      </w:tr>
      <w:tr w:rsidR="000A0ACD" w14:paraId="7E50EB2B" w14:textId="77777777">
        <w:trPr>
          <w:trHeight w:val="397"/>
        </w:trPr>
        <w:tc>
          <w:tcPr>
            <w:tcW w:w="666" w:type="pct"/>
            <w:shd w:val="clear" w:color="auto" w:fill="auto"/>
            <w:vAlign w:val="center"/>
          </w:tcPr>
          <w:p w14:paraId="0518164A" w14:textId="77777777" w:rsidR="000A0ACD" w:rsidRDefault="00362A99">
            <w:pPr>
              <w:jc w:val="center"/>
              <w:rPr>
                <w:rFonts w:ascii="Times New Roman" w:hAnsi="Times New Roman" w:cs="Times New Roman"/>
                <w:b/>
                <w:bCs/>
                <w:snapToGrid w:val="0"/>
                <w:sz w:val="21"/>
                <w:szCs w:val="21"/>
              </w:rPr>
            </w:pPr>
            <w:r>
              <w:rPr>
                <w:rFonts w:ascii="Times New Roman" w:hAnsi="Times New Roman" w:cs="Times New Roman" w:hint="eastAsia"/>
                <w:b/>
                <w:bCs/>
                <w:snapToGrid w:val="0"/>
                <w:sz w:val="21"/>
                <w:szCs w:val="21"/>
              </w:rPr>
              <w:t>可比上市公司平均值</w:t>
            </w:r>
          </w:p>
        </w:tc>
        <w:tc>
          <w:tcPr>
            <w:tcW w:w="668" w:type="pct"/>
            <w:vAlign w:val="center"/>
          </w:tcPr>
          <w:p w14:paraId="081BC3DE"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43.74</w:t>
            </w:r>
          </w:p>
        </w:tc>
        <w:tc>
          <w:tcPr>
            <w:tcW w:w="728" w:type="pct"/>
            <w:vAlign w:val="center"/>
          </w:tcPr>
          <w:p w14:paraId="2C35D65A"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39.79</w:t>
            </w:r>
          </w:p>
        </w:tc>
        <w:tc>
          <w:tcPr>
            <w:tcW w:w="728" w:type="pct"/>
            <w:vAlign w:val="center"/>
          </w:tcPr>
          <w:p w14:paraId="286D05D5"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40.89</w:t>
            </w:r>
          </w:p>
        </w:tc>
        <w:tc>
          <w:tcPr>
            <w:tcW w:w="737" w:type="pct"/>
            <w:vAlign w:val="center"/>
          </w:tcPr>
          <w:p w14:paraId="79857ED6"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171,838.78</w:t>
            </w:r>
          </w:p>
        </w:tc>
        <w:tc>
          <w:tcPr>
            <w:tcW w:w="737" w:type="pct"/>
            <w:vAlign w:val="center"/>
          </w:tcPr>
          <w:p w14:paraId="115FDC5E"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141,855.09</w:t>
            </w:r>
          </w:p>
        </w:tc>
        <w:tc>
          <w:tcPr>
            <w:tcW w:w="736" w:type="pct"/>
            <w:vAlign w:val="center"/>
          </w:tcPr>
          <w:p w14:paraId="2595C91C"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126,529.98</w:t>
            </w:r>
          </w:p>
        </w:tc>
      </w:tr>
      <w:tr w:rsidR="000A0ACD" w14:paraId="3356BACE" w14:textId="77777777">
        <w:trPr>
          <w:trHeight w:val="397"/>
        </w:trPr>
        <w:tc>
          <w:tcPr>
            <w:tcW w:w="666" w:type="pct"/>
            <w:shd w:val="clear" w:color="auto" w:fill="auto"/>
            <w:vAlign w:val="center"/>
          </w:tcPr>
          <w:p w14:paraId="015AD313" w14:textId="77777777" w:rsidR="000A0ACD" w:rsidRDefault="00362A99">
            <w:pPr>
              <w:jc w:val="center"/>
              <w:rPr>
                <w:rFonts w:ascii="Times New Roman" w:hAnsi="Times New Roman" w:cs="Times New Roman"/>
                <w:snapToGrid w:val="0"/>
                <w:sz w:val="21"/>
                <w:szCs w:val="21"/>
                <w:lang w:val="en-GB"/>
              </w:rPr>
            </w:pPr>
            <w:r>
              <w:rPr>
                <w:rFonts w:ascii="Times New Roman" w:hAnsi="Times New Roman" w:cs="Times New Roman" w:hint="eastAsia"/>
                <w:b/>
                <w:bCs/>
                <w:snapToGrid w:val="0"/>
                <w:sz w:val="21"/>
                <w:szCs w:val="21"/>
                <w:lang w:val="en-GB"/>
              </w:rPr>
              <w:t>项目</w:t>
            </w:r>
          </w:p>
        </w:tc>
        <w:tc>
          <w:tcPr>
            <w:tcW w:w="668" w:type="pct"/>
            <w:vAlign w:val="center"/>
          </w:tcPr>
          <w:p w14:paraId="14603C8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28" w:type="pct"/>
            <w:vAlign w:val="center"/>
          </w:tcPr>
          <w:p w14:paraId="4AFE922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28" w:type="pct"/>
            <w:vAlign w:val="center"/>
          </w:tcPr>
          <w:p w14:paraId="2339033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7" w:type="pct"/>
            <w:vAlign w:val="center"/>
          </w:tcPr>
          <w:p w14:paraId="5D3C796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7" w:type="pct"/>
            <w:vAlign w:val="center"/>
          </w:tcPr>
          <w:p w14:paraId="740AD90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6" w:type="pct"/>
            <w:vAlign w:val="center"/>
          </w:tcPr>
          <w:p w14:paraId="5F35F07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r>
      <w:tr w:rsidR="000A0ACD" w14:paraId="2F86A878" w14:textId="77777777">
        <w:trPr>
          <w:trHeight w:val="397"/>
        </w:trPr>
        <w:tc>
          <w:tcPr>
            <w:tcW w:w="666" w:type="pct"/>
            <w:shd w:val="clear" w:color="auto" w:fill="auto"/>
            <w:vAlign w:val="center"/>
          </w:tcPr>
          <w:p w14:paraId="214945C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北洋天青</w:t>
            </w:r>
          </w:p>
        </w:tc>
        <w:tc>
          <w:tcPr>
            <w:tcW w:w="668" w:type="pct"/>
            <w:vAlign w:val="center"/>
          </w:tcPr>
          <w:p w14:paraId="1307C8E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67.78</w:t>
            </w:r>
          </w:p>
        </w:tc>
        <w:tc>
          <w:tcPr>
            <w:tcW w:w="728" w:type="pct"/>
            <w:vAlign w:val="center"/>
          </w:tcPr>
          <w:p w14:paraId="2CB404D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39.31</w:t>
            </w:r>
          </w:p>
        </w:tc>
        <w:tc>
          <w:tcPr>
            <w:tcW w:w="728" w:type="pct"/>
            <w:vAlign w:val="center"/>
          </w:tcPr>
          <w:p w14:paraId="11297BC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43.41</w:t>
            </w:r>
          </w:p>
        </w:tc>
        <w:tc>
          <w:tcPr>
            <w:tcW w:w="737" w:type="pct"/>
            <w:vAlign w:val="center"/>
          </w:tcPr>
          <w:p w14:paraId="7F7F31F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18</w:t>
            </w:r>
            <w:r>
              <w:rPr>
                <w:rFonts w:ascii="Times New Roman" w:hAnsi="Times New Roman" w:cs="Times New Roman" w:hint="eastAsia"/>
                <w:color w:val="000000"/>
                <w:sz w:val="21"/>
                <w:szCs w:val="21"/>
              </w:rPr>
              <w:t>,</w:t>
            </w:r>
            <w:r>
              <w:rPr>
                <w:rFonts w:ascii="Times New Roman" w:hAnsi="Times New Roman" w:cs="Times New Roman"/>
                <w:color w:val="000000"/>
                <w:sz w:val="21"/>
                <w:szCs w:val="21"/>
              </w:rPr>
              <w:t>169.05</w:t>
            </w:r>
          </w:p>
        </w:tc>
        <w:tc>
          <w:tcPr>
            <w:tcW w:w="737" w:type="pct"/>
            <w:vAlign w:val="center"/>
          </w:tcPr>
          <w:p w14:paraId="4DAC263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3,638.10</w:t>
            </w:r>
          </w:p>
        </w:tc>
        <w:tc>
          <w:tcPr>
            <w:tcW w:w="736" w:type="pct"/>
            <w:vAlign w:val="center"/>
          </w:tcPr>
          <w:p w14:paraId="6044192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3,405.11</w:t>
            </w:r>
          </w:p>
        </w:tc>
      </w:tr>
    </w:tbl>
    <w:p w14:paraId="5BF9C441"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sz w:val="21"/>
          <w:szCs w:val="21"/>
        </w:rPr>
        <w:t>注：</w:t>
      </w:r>
      <w:r>
        <w:rPr>
          <w:rFonts w:ascii="Times New Roman" w:hAnsi="Times New Roman" w:cs="Times New Roman" w:hint="eastAsia"/>
          <w:bCs/>
          <w:sz w:val="21"/>
          <w:szCs w:val="21"/>
        </w:rPr>
        <w:t>1</w:t>
      </w:r>
      <w:r>
        <w:rPr>
          <w:rFonts w:ascii="Times New Roman" w:hAnsi="Times New Roman" w:cs="Times New Roman" w:hint="eastAsia"/>
          <w:bCs/>
          <w:sz w:val="21"/>
          <w:szCs w:val="21"/>
        </w:rPr>
        <w:t>、</w:t>
      </w: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17EAE874" w14:textId="77777777" w:rsidR="000A0ACD" w:rsidRDefault="00362A99">
      <w:pPr>
        <w:ind w:firstLineChars="200" w:firstLine="420"/>
        <w:jc w:val="both"/>
        <w:rPr>
          <w:rFonts w:ascii="Times New Roman" w:hAnsi="Times New Roman" w:cs="Times New Roman"/>
          <w:sz w:val="21"/>
          <w:szCs w:val="21"/>
        </w:rPr>
      </w:pPr>
      <w:r>
        <w:rPr>
          <w:rFonts w:ascii="Times New Roman" w:hAnsi="Times New Roman" w:cs="Times New Roman" w:hint="eastAsia"/>
          <w:bCs/>
          <w:sz w:val="21"/>
          <w:szCs w:val="21"/>
        </w:rPr>
        <w:t>2</w:t>
      </w:r>
      <w:r>
        <w:rPr>
          <w:rFonts w:ascii="Times New Roman" w:hAnsi="Times New Roman" w:cs="Times New Roman" w:hint="eastAsia"/>
          <w:bCs/>
          <w:sz w:val="21"/>
          <w:szCs w:val="21"/>
        </w:rPr>
        <w:t>、由于可比上市公司未公布年度数据，故采用</w:t>
      </w:r>
      <w:r>
        <w:rPr>
          <w:rFonts w:ascii="Times New Roman" w:hAnsi="Times New Roman" w:cs="Times New Roman" w:hint="eastAsia"/>
          <w:bCs/>
          <w:sz w:val="21"/>
          <w:szCs w:val="21"/>
        </w:rPr>
        <w:t>2020</w:t>
      </w:r>
      <w:r>
        <w:rPr>
          <w:rFonts w:ascii="Times New Roman" w:hAnsi="Times New Roman" w:cs="Times New Roman" w:hint="eastAsia"/>
          <w:bCs/>
          <w:sz w:val="21"/>
          <w:szCs w:val="21"/>
        </w:rPr>
        <w:t>年</w:t>
      </w:r>
      <w:r>
        <w:rPr>
          <w:rFonts w:ascii="Times New Roman" w:hAnsi="Times New Roman" w:cs="Times New Roman" w:hint="eastAsia"/>
          <w:bCs/>
          <w:sz w:val="21"/>
          <w:szCs w:val="21"/>
        </w:rPr>
        <w:t>9</w:t>
      </w:r>
      <w:r>
        <w:rPr>
          <w:rFonts w:ascii="Times New Roman" w:hAnsi="Times New Roman" w:cs="Times New Roman" w:hint="eastAsia"/>
          <w:bCs/>
          <w:sz w:val="21"/>
          <w:szCs w:val="21"/>
        </w:rPr>
        <w:t>月</w:t>
      </w:r>
      <w:r>
        <w:rPr>
          <w:rFonts w:ascii="Times New Roman" w:hAnsi="Times New Roman" w:cs="Times New Roman" w:hint="eastAsia"/>
          <w:bCs/>
          <w:sz w:val="21"/>
          <w:szCs w:val="21"/>
        </w:rPr>
        <w:t>30</w:t>
      </w:r>
      <w:r>
        <w:rPr>
          <w:rFonts w:ascii="Times New Roman" w:hAnsi="Times New Roman" w:cs="Times New Roman" w:hint="eastAsia"/>
          <w:bCs/>
          <w:sz w:val="21"/>
          <w:szCs w:val="21"/>
        </w:rPr>
        <w:t>日数据进行分析。</w:t>
      </w:r>
    </w:p>
    <w:p w14:paraId="29E460C4" w14:textId="77777777" w:rsidR="000A0ACD" w:rsidRDefault="00362A99">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由上表可知，北洋天青与同行业可比公司和行业平均水平存在一定差异，主要系标的公司业务规模快速上升，致使应付票据、应付账款、合同负债大幅增加所致。因此，北洋天青不存在较高的财务风险。</w:t>
      </w:r>
    </w:p>
    <w:p w14:paraId="396102A4" w14:textId="77777777" w:rsidR="000A0ACD" w:rsidRDefault="00362A99">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（二）应对措施</w:t>
      </w:r>
    </w:p>
    <w:p w14:paraId="59AF1356"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标的公司将通过建立预算管理制度、资金计划管理制度、筹资管理制度等制度制定相对完善的内控措施，以应对未来可能存在的财务风险。</w:t>
      </w:r>
    </w:p>
    <w:p w14:paraId="2C85A834"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三、补充披露情况</w:t>
      </w:r>
    </w:p>
    <w:p w14:paraId="1E92A431"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管理层讨论与分析”之“三、标的公司报告期财务状况和经营成果的讨论分析”之“（一）财务情况分析”进行了补充披露。</w:t>
      </w:r>
    </w:p>
    <w:p w14:paraId="7AB1A258"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四、中介机构核查意见</w:t>
      </w:r>
    </w:p>
    <w:p w14:paraId="0BAE132A"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核查，独立财务顾问和会计师认为：标的公司流动负债增长较快、偿债能力减弱的原因主要系业务规模迅速增长，应付票据、应付账款及合同负债增加所致。标的公司的流动负债情况与偿债能力水平与同行业可比公司和行业平均水平存在一定差异，主要系标的公司业务规模快速上升，致使应付票据、应付账款及合同负债大幅增加所致，北洋天青不存在较高的财务风险。</w:t>
      </w:r>
    </w:p>
    <w:p w14:paraId="3021FC37" w14:textId="77777777" w:rsidR="000A0ACD" w:rsidRDefault="000A0ACD">
      <w:pPr>
        <w:pStyle w:val="afffff"/>
        <w:sectPr w:rsidR="000A0ACD">
          <w:pgSz w:w="11906" w:h="16838"/>
          <w:pgMar w:top="1440" w:right="1800" w:bottom="1440" w:left="1800" w:header="851" w:footer="992" w:gutter="0"/>
          <w:cols w:space="425"/>
          <w:docGrid w:type="lines" w:linePitch="312"/>
        </w:sectPr>
      </w:pPr>
      <w:bookmarkStart w:id="74" w:name="_Toc69256876"/>
      <w:bookmarkStart w:id="75" w:name="_Toc69256858"/>
    </w:p>
    <w:p w14:paraId="22D5882C" w14:textId="77777777" w:rsidR="000A0ACD" w:rsidRDefault="00362A99">
      <w:pPr>
        <w:pStyle w:val="afffff"/>
      </w:pPr>
      <w:r>
        <w:rPr>
          <w:rFonts w:hint="eastAsia"/>
        </w:rPr>
        <w:t>第十一题</w:t>
      </w:r>
      <w:bookmarkEnd w:id="74"/>
      <w:bookmarkEnd w:id="75"/>
    </w:p>
    <w:p w14:paraId="74D5D0AE"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申请文件显示，报告期各期末，标的资产的应收账款账面价值分别为</w:t>
      </w:r>
      <w:r>
        <w:rPr>
          <w:rFonts w:ascii="Times New Roman" w:eastAsia="黑体" w:hAnsi="Times New Roman" w:cs="Times New Roman" w:hint="eastAsia"/>
          <w:b/>
          <w:color w:val="000000"/>
          <w:szCs w:val="21"/>
        </w:rPr>
        <w:t>1,422.65</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3,126.26</w:t>
      </w:r>
      <w:r>
        <w:rPr>
          <w:rFonts w:ascii="Times New Roman" w:eastAsia="黑体" w:hAnsi="Times New Roman" w:cs="Times New Roman" w:hint="eastAsia"/>
          <w:b/>
          <w:color w:val="000000"/>
          <w:szCs w:val="21"/>
        </w:rPr>
        <w:t>万元和</w:t>
      </w:r>
      <w:r>
        <w:rPr>
          <w:rFonts w:ascii="Times New Roman" w:eastAsia="黑体" w:hAnsi="Times New Roman" w:cs="Times New Roman" w:hint="eastAsia"/>
          <w:b/>
          <w:color w:val="000000"/>
          <w:szCs w:val="21"/>
        </w:rPr>
        <w:t>4,994.25</w:t>
      </w:r>
      <w:r>
        <w:rPr>
          <w:rFonts w:ascii="Times New Roman" w:eastAsia="黑体" w:hAnsi="Times New Roman" w:cs="Times New Roman" w:hint="eastAsia"/>
          <w:b/>
          <w:color w:val="000000"/>
          <w:szCs w:val="21"/>
        </w:rPr>
        <w:t>万元，占总资产的比例分别为</w:t>
      </w:r>
      <w:r>
        <w:rPr>
          <w:rFonts w:ascii="Times New Roman" w:eastAsia="黑体" w:hAnsi="Times New Roman" w:cs="Times New Roman" w:hint="eastAsia"/>
          <w:b/>
          <w:color w:val="000000"/>
          <w:szCs w:val="21"/>
        </w:rPr>
        <w:t>18.14%</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32.79%</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24.94%</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年标的资产应收账款相较于</w:t>
      </w:r>
      <w:r>
        <w:rPr>
          <w:rFonts w:ascii="Times New Roman" w:eastAsia="黑体" w:hAnsi="Times New Roman" w:cs="Times New Roman" w:hint="eastAsia"/>
          <w:b/>
          <w:color w:val="000000"/>
          <w:szCs w:val="21"/>
        </w:rPr>
        <w:t>2018</w:t>
      </w:r>
      <w:r>
        <w:rPr>
          <w:rFonts w:ascii="Times New Roman" w:eastAsia="黑体" w:hAnsi="Times New Roman" w:cs="Times New Roman" w:hint="eastAsia"/>
          <w:b/>
          <w:color w:val="000000"/>
          <w:szCs w:val="21"/>
        </w:rPr>
        <w:t>年大幅增加</w:t>
      </w:r>
      <w:r>
        <w:rPr>
          <w:rFonts w:ascii="Times New Roman" w:eastAsia="黑体" w:hAnsi="Times New Roman" w:cs="Times New Roman" w:hint="eastAsia"/>
          <w:b/>
          <w:color w:val="000000"/>
          <w:szCs w:val="21"/>
        </w:rPr>
        <w:t>119.75%</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9</w:t>
      </w:r>
      <w:r>
        <w:rPr>
          <w:rFonts w:ascii="Times New Roman" w:eastAsia="黑体" w:hAnsi="Times New Roman" w:cs="Times New Roman" w:hint="eastAsia"/>
          <w:b/>
          <w:color w:val="000000"/>
          <w:szCs w:val="21"/>
        </w:rPr>
        <w:t>月末，标的资产应收账款相较于</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年末增加</w:t>
      </w:r>
      <w:r>
        <w:rPr>
          <w:rFonts w:ascii="Times New Roman" w:eastAsia="黑体" w:hAnsi="Times New Roman" w:cs="Times New Roman" w:hint="eastAsia"/>
          <w:b/>
          <w:color w:val="000000"/>
          <w:szCs w:val="21"/>
        </w:rPr>
        <w:t>59.75%</w:t>
      </w:r>
      <w:r>
        <w:rPr>
          <w:rFonts w:ascii="Times New Roman" w:eastAsia="黑体" w:hAnsi="Times New Roman" w:cs="Times New Roman" w:hint="eastAsia"/>
          <w:b/>
          <w:color w:val="000000"/>
          <w:szCs w:val="21"/>
        </w:rPr>
        <w:t>。标的资产应收账款中</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年内到期（含</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年）的占比分别为</w:t>
      </w:r>
      <w:r>
        <w:rPr>
          <w:rFonts w:ascii="Times New Roman" w:eastAsia="黑体" w:hAnsi="Times New Roman" w:cs="Times New Roman" w:hint="eastAsia"/>
          <w:b/>
          <w:color w:val="000000"/>
          <w:szCs w:val="21"/>
        </w:rPr>
        <w:t>92.88%</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92.44%</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76.94%</w:t>
      </w:r>
      <w:r>
        <w:rPr>
          <w:rFonts w:ascii="Times New Roman" w:eastAsia="黑体" w:hAnsi="Times New Roman" w:cs="Times New Roman" w:hint="eastAsia"/>
          <w:b/>
          <w:color w:val="000000"/>
          <w:szCs w:val="21"/>
        </w:rPr>
        <w:t>，账龄</w:t>
      </w:r>
      <w:r>
        <w:rPr>
          <w:rFonts w:ascii="Times New Roman" w:eastAsia="黑体" w:hAnsi="Times New Roman" w:cs="Times New Roman" w:hint="eastAsia"/>
          <w:b/>
          <w:color w:val="000000"/>
          <w:szCs w:val="21"/>
        </w:rPr>
        <w:t>1-2</w:t>
      </w:r>
      <w:r>
        <w:rPr>
          <w:rFonts w:ascii="Times New Roman" w:eastAsia="黑体" w:hAnsi="Times New Roman" w:cs="Times New Roman" w:hint="eastAsia"/>
          <w:b/>
          <w:color w:val="000000"/>
          <w:szCs w:val="21"/>
        </w:rPr>
        <w:t>年的应收账款增长较快。请你公司：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）结合应收账款应收方、具体信用政策、坏账计提政策、截至目前回款情况、逾期应收账款情况，补充披露北洋天青应收账款水平较高的原因及坏账准备计提的充分性。</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）补充披露客户回款的及时性、对北洋天青现金流的影响。请独立财务顾问和会计师核查并发表明确意见。</w:t>
      </w:r>
    </w:p>
    <w:p w14:paraId="49B3951A" w14:textId="77777777" w:rsidR="000A0ACD" w:rsidRDefault="00362A99">
      <w:pPr>
        <w:pStyle w:val="affffd"/>
        <w:spacing w:before="156"/>
        <w:ind w:firstLine="482"/>
        <w:rPr>
          <w:b/>
        </w:rPr>
      </w:pPr>
      <w:r>
        <w:rPr>
          <w:rFonts w:hint="eastAsia"/>
          <w:b/>
        </w:rPr>
        <w:t>【回复说明】</w:t>
      </w:r>
    </w:p>
    <w:p w14:paraId="096BE3E2"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结合应收账款应收方、具体信用政策、坏账计提政策、截至目前回款情况、逾期应收账款情况，补充披露北洋天青应收账款水平较高的原因及坏账准备计提的充分性。</w:t>
      </w:r>
    </w:p>
    <w:p w14:paraId="0B121BFD"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一、应收账款应收方、具体信用政策</w:t>
      </w:r>
    </w:p>
    <w:p w14:paraId="50C865F1"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北洋天青客户集中度较高，最近三年来自海尔、澳柯玛、海信三大客户的收入占比均超过</w:t>
      </w:r>
      <w:r>
        <w:rPr>
          <w:rFonts w:ascii="Times New Roman" w:hAnsi="Times New Roman" w:cs="Times New Roman"/>
        </w:rPr>
        <w:t>90%</w:t>
      </w:r>
      <w:r>
        <w:rPr>
          <w:rFonts w:ascii="Times New Roman" w:hAnsi="Times New Roman" w:cs="Times New Roman" w:hint="eastAsia"/>
        </w:rPr>
        <w:t>。应收账款应收方主要由上述三家构成。</w:t>
      </w:r>
    </w:p>
    <w:p w14:paraId="32FBAEC3"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北洋天青与客户签订的销售合同的主要收款模式为“</w:t>
      </w:r>
      <w:r>
        <w:rPr>
          <w:rFonts w:ascii="Times New Roman" w:hAnsi="Times New Roman" w:cs="Times New Roman"/>
        </w:rPr>
        <w:t>30%</w:t>
      </w:r>
      <w:r>
        <w:rPr>
          <w:rFonts w:ascii="Times New Roman" w:hAnsi="Times New Roman" w:cs="Times New Roman" w:hint="eastAsia"/>
        </w:rPr>
        <w:t>预付款</w:t>
      </w:r>
      <w:r>
        <w:rPr>
          <w:rFonts w:ascii="Times New Roman" w:hAnsi="Times New Roman" w:cs="Times New Roman"/>
        </w:rPr>
        <w:t>+30%</w:t>
      </w:r>
      <w:r>
        <w:rPr>
          <w:rFonts w:ascii="Times New Roman" w:hAnsi="Times New Roman" w:cs="Times New Roman" w:hint="eastAsia"/>
        </w:rPr>
        <w:t>发货款</w:t>
      </w:r>
      <w:r>
        <w:rPr>
          <w:rFonts w:ascii="Times New Roman" w:hAnsi="Times New Roman" w:cs="Times New Roman"/>
        </w:rPr>
        <w:t>+30%</w:t>
      </w:r>
      <w:r>
        <w:rPr>
          <w:rFonts w:ascii="Times New Roman" w:hAnsi="Times New Roman" w:cs="Times New Roman" w:hint="eastAsia"/>
        </w:rPr>
        <w:t>验收款</w:t>
      </w:r>
      <w:r>
        <w:rPr>
          <w:rFonts w:ascii="Times New Roman" w:hAnsi="Times New Roman" w:cs="Times New Roman"/>
        </w:rPr>
        <w:t>+10%</w:t>
      </w:r>
      <w:r>
        <w:rPr>
          <w:rFonts w:ascii="Times New Roman" w:hAnsi="Times New Roman" w:cs="Times New Roman" w:hint="eastAsia"/>
        </w:rPr>
        <w:t>质保金”，具体政策如下：</w:t>
      </w:r>
    </w:p>
    <w:p w14:paraId="7C6C2B01"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、签订合同之日起</w:t>
      </w:r>
      <w:r>
        <w:rPr>
          <w:rFonts w:ascii="Times New Roman" w:hAnsi="Times New Roman" w:cs="Times New Roman"/>
        </w:rPr>
        <w:t>15-30</w:t>
      </w:r>
      <w:r>
        <w:rPr>
          <w:rFonts w:ascii="Times New Roman" w:hAnsi="Times New Roman" w:cs="Times New Roman" w:hint="eastAsia"/>
        </w:rPr>
        <w:t>日内，客户向标的公司预付合同总金额的</w:t>
      </w:r>
      <w:r>
        <w:rPr>
          <w:rFonts w:ascii="Times New Roman" w:hAnsi="Times New Roman" w:cs="Times New Roman"/>
        </w:rPr>
        <w:t>30%</w:t>
      </w:r>
      <w:r>
        <w:rPr>
          <w:rFonts w:ascii="Times New Roman" w:hAnsi="Times New Roman" w:cs="Times New Roman" w:hint="eastAsia"/>
        </w:rPr>
        <w:t>，收到预付款后标的公司开始组织生产；</w:t>
      </w:r>
    </w:p>
    <w:p w14:paraId="5CBAC018"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、设备发出后</w:t>
      </w:r>
      <w:r>
        <w:rPr>
          <w:rFonts w:ascii="Times New Roman" w:hAnsi="Times New Roman" w:cs="Times New Roman"/>
        </w:rPr>
        <w:t>15-30</w:t>
      </w:r>
      <w:r>
        <w:rPr>
          <w:rFonts w:ascii="Times New Roman" w:hAnsi="Times New Roman" w:cs="Times New Roman" w:hint="eastAsia"/>
        </w:rPr>
        <w:t>日内或设备发货期客户向标的公司支付合同金额的</w:t>
      </w:r>
      <w:r>
        <w:rPr>
          <w:rFonts w:ascii="Times New Roman" w:hAnsi="Times New Roman" w:cs="Times New Roman"/>
        </w:rPr>
        <w:t>30%</w:t>
      </w:r>
      <w:r>
        <w:rPr>
          <w:rFonts w:ascii="Times New Roman" w:hAnsi="Times New Roman" w:cs="Times New Roman" w:hint="eastAsia"/>
        </w:rPr>
        <w:t>；</w:t>
      </w:r>
    </w:p>
    <w:p w14:paraId="036846F1"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、设备安装完成后，于最终验收合格日并经客户确认货物后</w:t>
      </w:r>
      <w:r>
        <w:rPr>
          <w:rFonts w:ascii="Times New Roman" w:hAnsi="Times New Roman" w:cs="Times New Roman"/>
        </w:rPr>
        <w:t>15-30</w:t>
      </w:r>
      <w:r>
        <w:rPr>
          <w:rFonts w:ascii="Times New Roman" w:hAnsi="Times New Roman" w:cs="Times New Roman" w:hint="eastAsia"/>
        </w:rPr>
        <w:t>日内，客户向标的公司支付合同金额的</w:t>
      </w:r>
      <w:r>
        <w:rPr>
          <w:rFonts w:ascii="Times New Roman" w:hAnsi="Times New Roman" w:cs="Times New Roman"/>
        </w:rPr>
        <w:t>30%</w:t>
      </w:r>
      <w:r>
        <w:rPr>
          <w:rFonts w:ascii="Times New Roman" w:hAnsi="Times New Roman" w:cs="Times New Roman" w:hint="eastAsia"/>
        </w:rPr>
        <w:t>；</w:t>
      </w:r>
    </w:p>
    <w:p w14:paraId="52764672"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、设备质保期结束并通过验收后的</w:t>
      </w:r>
      <w:r>
        <w:rPr>
          <w:rFonts w:ascii="Times New Roman" w:hAnsi="Times New Roman" w:cs="Times New Roman"/>
        </w:rPr>
        <w:t>10</w:t>
      </w:r>
      <w:r>
        <w:rPr>
          <w:rFonts w:ascii="Times New Roman" w:hAnsi="Times New Roman" w:cs="Times New Roman" w:hint="eastAsia"/>
        </w:rPr>
        <w:t>日内，客户向标的公司支付合同金额的</w:t>
      </w:r>
      <w:r>
        <w:rPr>
          <w:rFonts w:ascii="Times New Roman" w:hAnsi="Times New Roman" w:cs="Times New Roman"/>
        </w:rPr>
        <w:t>10%</w:t>
      </w:r>
      <w:r>
        <w:rPr>
          <w:rFonts w:ascii="Times New Roman" w:hAnsi="Times New Roman" w:cs="Times New Roman" w:hint="eastAsia"/>
        </w:rPr>
        <w:t>。</w:t>
      </w:r>
    </w:p>
    <w:p w14:paraId="1E79546A"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对于部分小额合同，北洋天青与客户签订的销售合同也会采用“</w:t>
      </w:r>
      <w:r>
        <w:rPr>
          <w:rFonts w:ascii="Times New Roman" w:hAnsi="Times New Roman" w:cs="Times New Roman"/>
        </w:rPr>
        <w:t>30%</w:t>
      </w:r>
      <w:r>
        <w:rPr>
          <w:rFonts w:ascii="Times New Roman" w:hAnsi="Times New Roman" w:cs="Times New Roman" w:hint="eastAsia"/>
        </w:rPr>
        <w:t>预付款</w:t>
      </w:r>
      <w:r>
        <w:rPr>
          <w:rFonts w:ascii="Times New Roman" w:hAnsi="Times New Roman" w:cs="Times New Roman"/>
        </w:rPr>
        <w:t>+70%</w:t>
      </w:r>
      <w:r>
        <w:rPr>
          <w:rFonts w:ascii="Times New Roman" w:hAnsi="Times New Roman" w:cs="Times New Roman" w:hint="eastAsia"/>
        </w:rPr>
        <w:t>发货款”或“</w:t>
      </w:r>
      <w:r>
        <w:rPr>
          <w:rFonts w:ascii="Times New Roman" w:hAnsi="Times New Roman" w:cs="Times New Roman"/>
        </w:rPr>
        <w:t>80%</w:t>
      </w:r>
      <w:r>
        <w:rPr>
          <w:rFonts w:ascii="Times New Roman" w:hAnsi="Times New Roman" w:cs="Times New Roman" w:hint="eastAsia"/>
        </w:rPr>
        <w:t>验收款</w:t>
      </w:r>
      <w:r>
        <w:rPr>
          <w:rFonts w:ascii="Times New Roman" w:hAnsi="Times New Roman" w:cs="Times New Roman"/>
        </w:rPr>
        <w:t>+20%</w:t>
      </w:r>
      <w:r>
        <w:rPr>
          <w:rFonts w:ascii="Times New Roman" w:hAnsi="Times New Roman" w:cs="Times New Roman" w:hint="eastAsia"/>
        </w:rPr>
        <w:t>质保款”的收款模式。</w:t>
      </w:r>
    </w:p>
    <w:p w14:paraId="2FA8278C"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按照合同规定，在设备安装前北洋天青应收到客户</w:t>
      </w:r>
      <w:r>
        <w:rPr>
          <w:rFonts w:ascii="Times New Roman" w:hAnsi="Times New Roman" w:cs="Times New Roman"/>
        </w:rPr>
        <w:t>60%</w:t>
      </w:r>
      <w:r>
        <w:rPr>
          <w:rFonts w:ascii="Times New Roman" w:hAnsi="Times New Roman" w:cs="Times New Roman" w:hint="eastAsia"/>
        </w:rPr>
        <w:t>左右的款项，在验收后应当收到客户</w:t>
      </w:r>
      <w:r>
        <w:rPr>
          <w:rFonts w:ascii="Times New Roman" w:hAnsi="Times New Roman" w:cs="Times New Roman"/>
        </w:rPr>
        <w:t>90%</w:t>
      </w:r>
      <w:r>
        <w:rPr>
          <w:rFonts w:ascii="Times New Roman" w:hAnsi="Times New Roman" w:cs="Times New Roman" w:hint="eastAsia"/>
        </w:rPr>
        <w:t>的款项。标的公司大部分应收账款账龄小于一年。北洋天青通过上述合同收款模式进行客户信用政策管理。</w:t>
      </w:r>
    </w:p>
    <w:p w14:paraId="6101F2CF"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二、北洋天青坏账计提政策</w:t>
      </w:r>
    </w:p>
    <w:p w14:paraId="22CCDDF2"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自</w:t>
      </w:r>
      <w:r>
        <w:rPr>
          <w:rFonts w:ascii="Times New Roman" w:hAnsi="Times New Roman" w:cs="Times New Roman"/>
        </w:rPr>
        <w:t>2018</w:t>
      </w:r>
      <w:r>
        <w:rPr>
          <w:rFonts w:ascii="Times New Roman" w:hAnsi="Times New Roman" w:cs="Times New Roman" w:hint="eastAsia"/>
        </w:rPr>
        <w:t>年</w:t>
      </w:r>
      <w:r>
        <w:rPr>
          <w:rFonts w:ascii="Times New Roman" w:hAnsi="Times New Roman" w:cs="Times New Roman"/>
        </w:rPr>
        <w:t>1</w:t>
      </w:r>
      <w:r>
        <w:rPr>
          <w:rFonts w:ascii="Times New Roman" w:hAnsi="Times New Roman" w:cs="Times New Roman" w:hint="eastAsia"/>
        </w:rPr>
        <w:t>月</w:t>
      </w:r>
      <w:r>
        <w:rPr>
          <w:rFonts w:ascii="Times New Roman" w:hAnsi="Times New Roman" w:cs="Times New Roman"/>
        </w:rPr>
        <w:t>1</w:t>
      </w:r>
      <w:r>
        <w:rPr>
          <w:rFonts w:ascii="Times New Roman" w:hAnsi="Times New Roman" w:cs="Times New Roman" w:hint="eastAsia"/>
        </w:rPr>
        <w:t>日起适用的会计政策：对于《企业会计准则第</w:t>
      </w:r>
      <w:r>
        <w:rPr>
          <w:rFonts w:ascii="Times New Roman" w:hAnsi="Times New Roman" w:cs="Times New Roman"/>
        </w:rPr>
        <w:t>14</w:t>
      </w:r>
      <w:r>
        <w:rPr>
          <w:rFonts w:ascii="Times New Roman" w:hAnsi="Times New Roman" w:cs="Times New Roman" w:hint="eastAsia"/>
        </w:rPr>
        <w:t>号</w:t>
      </w:r>
      <w:r>
        <w:rPr>
          <w:rFonts w:ascii="Times New Roman" w:hAnsi="Times New Roman" w:cs="Times New Roman"/>
        </w:rPr>
        <w:t>-</w:t>
      </w:r>
      <w:r>
        <w:rPr>
          <w:rFonts w:ascii="Times New Roman" w:hAnsi="Times New Roman" w:cs="Times New Roman" w:hint="eastAsia"/>
        </w:rPr>
        <w:t>收入》准则规范的交易形成且不含重大融资成分的应收账款，始终按照相当于整个存续期内预期信用损失的金额计量其损失准备。</w:t>
      </w:r>
    </w:p>
    <w:p w14:paraId="286B5239"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标的公司将应收账款按信用风险特征（账龄）进行组合，并基于合理且有依据的信息，包括前瞻性信息等，对应收账款的预期信用损失进行估计如下：</w:t>
      </w:r>
    </w:p>
    <w:tbl>
      <w:tblPr>
        <w:tblStyle w:val="1b"/>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199"/>
        <w:gridCol w:w="1529"/>
        <w:gridCol w:w="1258"/>
        <w:gridCol w:w="1536"/>
      </w:tblGrid>
      <w:tr w:rsidR="000A0ACD" w14:paraId="02FA3552" w14:textId="77777777">
        <w:trPr>
          <w:trHeight w:val="397"/>
          <w:tblHeader/>
          <w:jc w:val="center"/>
        </w:trPr>
        <w:tc>
          <w:tcPr>
            <w:tcW w:w="2464" w:type="pct"/>
            <w:vMerge w:val="restart"/>
            <w:vAlign w:val="center"/>
          </w:tcPr>
          <w:p w14:paraId="383E2F39" w14:textId="77777777" w:rsidR="000A0ACD" w:rsidRDefault="00362A99">
            <w:pPr>
              <w:keepNext/>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账龄</w:t>
            </w:r>
          </w:p>
        </w:tc>
        <w:tc>
          <w:tcPr>
            <w:tcW w:w="897" w:type="pct"/>
            <w:vAlign w:val="center"/>
          </w:tcPr>
          <w:p w14:paraId="44A6615E" w14:textId="77777777" w:rsidR="000A0ACD" w:rsidRDefault="00362A99">
            <w:pPr>
              <w:keepNext/>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2018</w:t>
            </w:r>
            <w:r>
              <w:rPr>
                <w:rFonts w:ascii="Times New Roman" w:hAnsi="Times New Roman" w:cs="Times New Roman" w:hint="eastAsia"/>
                <w:b/>
                <w:bCs/>
                <w:snapToGrid w:val="0"/>
                <w:sz w:val="21"/>
                <w:szCs w:val="21"/>
                <w:lang w:val="en-GB"/>
              </w:rPr>
              <w:t>年</w:t>
            </w:r>
          </w:p>
        </w:tc>
        <w:tc>
          <w:tcPr>
            <w:tcW w:w="738" w:type="pct"/>
            <w:vAlign w:val="center"/>
          </w:tcPr>
          <w:p w14:paraId="3DF22DD0" w14:textId="77777777" w:rsidR="000A0ACD" w:rsidRDefault="00362A99">
            <w:pPr>
              <w:keepNext/>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2019</w:t>
            </w:r>
            <w:r>
              <w:rPr>
                <w:rFonts w:ascii="Times New Roman" w:hAnsi="Times New Roman" w:cs="Times New Roman" w:hint="eastAsia"/>
                <w:b/>
                <w:bCs/>
                <w:snapToGrid w:val="0"/>
                <w:sz w:val="21"/>
                <w:szCs w:val="21"/>
                <w:lang w:val="en-GB"/>
              </w:rPr>
              <w:t>年</w:t>
            </w:r>
          </w:p>
        </w:tc>
        <w:tc>
          <w:tcPr>
            <w:tcW w:w="901" w:type="pct"/>
            <w:vAlign w:val="center"/>
          </w:tcPr>
          <w:p w14:paraId="0ED4562A" w14:textId="77777777" w:rsidR="000A0ACD" w:rsidRDefault="00362A99">
            <w:pPr>
              <w:keepNext/>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lang w:val="en-GB"/>
              </w:rPr>
              <w:t>年</w:t>
            </w:r>
          </w:p>
        </w:tc>
      </w:tr>
      <w:tr w:rsidR="000A0ACD" w14:paraId="7CF45E33" w14:textId="77777777">
        <w:trPr>
          <w:trHeight w:val="397"/>
          <w:tblHeader/>
          <w:jc w:val="center"/>
        </w:trPr>
        <w:tc>
          <w:tcPr>
            <w:tcW w:w="2464" w:type="pct"/>
            <w:vMerge/>
            <w:vAlign w:val="center"/>
          </w:tcPr>
          <w:p w14:paraId="53DC36C5" w14:textId="77777777" w:rsidR="000A0ACD" w:rsidRDefault="000A0ACD">
            <w:pPr>
              <w:jc w:val="center"/>
              <w:rPr>
                <w:rFonts w:ascii="Times New Roman" w:hAnsi="Times New Roman" w:cs="Times New Roman"/>
                <w:b/>
                <w:bCs/>
                <w:snapToGrid w:val="0"/>
                <w:sz w:val="21"/>
                <w:szCs w:val="21"/>
                <w:lang w:val="en-GB"/>
              </w:rPr>
            </w:pPr>
          </w:p>
        </w:tc>
        <w:tc>
          <w:tcPr>
            <w:tcW w:w="2536" w:type="pct"/>
            <w:gridSpan w:val="3"/>
            <w:vAlign w:val="center"/>
          </w:tcPr>
          <w:p w14:paraId="422E154F"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预期信用损失率（</w:t>
            </w:r>
            <w:r>
              <w:rPr>
                <w:rFonts w:ascii="Times New Roman" w:hAnsi="Times New Roman" w:cs="Times New Roman" w:hint="eastAsia"/>
                <w:b/>
                <w:bCs/>
                <w:snapToGrid w:val="0"/>
                <w:sz w:val="21"/>
                <w:szCs w:val="21"/>
                <w:lang w:val="en-GB"/>
              </w:rPr>
              <w:t>%</w:t>
            </w:r>
            <w:r>
              <w:rPr>
                <w:rFonts w:ascii="Times New Roman" w:hAnsi="Times New Roman" w:cs="Times New Roman" w:hint="eastAsia"/>
                <w:b/>
                <w:bCs/>
                <w:snapToGrid w:val="0"/>
                <w:sz w:val="21"/>
                <w:szCs w:val="21"/>
                <w:lang w:val="en-GB"/>
              </w:rPr>
              <w:t>）</w:t>
            </w:r>
          </w:p>
        </w:tc>
      </w:tr>
      <w:tr w:rsidR="000A0ACD" w14:paraId="3C074528" w14:textId="77777777">
        <w:trPr>
          <w:trHeight w:val="397"/>
          <w:jc w:val="center"/>
        </w:trPr>
        <w:tc>
          <w:tcPr>
            <w:tcW w:w="2464" w:type="pct"/>
            <w:vAlign w:val="center"/>
          </w:tcPr>
          <w:p w14:paraId="45CEB6F3" w14:textId="77777777" w:rsidR="000A0ACD" w:rsidRDefault="00362A99">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1</w:t>
            </w:r>
            <w:r>
              <w:rPr>
                <w:rFonts w:ascii="Times New Roman" w:hAnsi="Times New Roman" w:cs="Times New Roman" w:hint="eastAsia"/>
                <w:snapToGrid w:val="0"/>
                <w:sz w:val="21"/>
                <w:szCs w:val="21"/>
                <w:lang w:val="en-GB"/>
              </w:rPr>
              <w:t>年以内（含</w:t>
            </w:r>
            <w:r>
              <w:rPr>
                <w:rFonts w:ascii="Times New Roman" w:hAnsi="Times New Roman" w:cs="Times New Roman" w:hint="eastAsia"/>
                <w:snapToGrid w:val="0"/>
                <w:sz w:val="21"/>
                <w:szCs w:val="21"/>
                <w:lang w:val="en-GB"/>
              </w:rPr>
              <w:t>1</w:t>
            </w:r>
            <w:r>
              <w:rPr>
                <w:rFonts w:ascii="Times New Roman" w:hAnsi="Times New Roman" w:cs="Times New Roman" w:hint="eastAsia"/>
                <w:snapToGrid w:val="0"/>
                <w:sz w:val="21"/>
                <w:szCs w:val="21"/>
                <w:lang w:val="en-GB"/>
              </w:rPr>
              <w:t>年）</w:t>
            </w:r>
          </w:p>
        </w:tc>
        <w:tc>
          <w:tcPr>
            <w:tcW w:w="897" w:type="pct"/>
            <w:vAlign w:val="center"/>
          </w:tcPr>
          <w:p w14:paraId="264D5BD3" w14:textId="77777777" w:rsidR="000A0ACD" w:rsidRDefault="00362A99">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0.93</w:t>
            </w:r>
          </w:p>
        </w:tc>
        <w:tc>
          <w:tcPr>
            <w:tcW w:w="738" w:type="pct"/>
            <w:vAlign w:val="center"/>
          </w:tcPr>
          <w:p w14:paraId="00C87570" w14:textId="77777777" w:rsidR="000A0ACD" w:rsidRDefault="00362A99">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1.61</w:t>
            </w:r>
          </w:p>
        </w:tc>
        <w:tc>
          <w:tcPr>
            <w:tcW w:w="901" w:type="pct"/>
            <w:vAlign w:val="center"/>
          </w:tcPr>
          <w:p w14:paraId="254DFD9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1.61</w:t>
            </w:r>
          </w:p>
        </w:tc>
      </w:tr>
      <w:tr w:rsidR="000A0ACD" w14:paraId="2715814D" w14:textId="77777777">
        <w:trPr>
          <w:trHeight w:val="397"/>
          <w:jc w:val="center"/>
        </w:trPr>
        <w:tc>
          <w:tcPr>
            <w:tcW w:w="2464" w:type="pct"/>
            <w:vAlign w:val="center"/>
          </w:tcPr>
          <w:p w14:paraId="7DF4DBB1" w14:textId="77777777" w:rsidR="000A0ACD" w:rsidRDefault="00362A99">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1-2</w:t>
            </w:r>
            <w:r>
              <w:rPr>
                <w:rFonts w:ascii="Times New Roman" w:hAnsi="Times New Roman" w:cs="Times New Roman" w:hint="eastAsia"/>
                <w:snapToGrid w:val="0"/>
                <w:sz w:val="21"/>
                <w:szCs w:val="21"/>
                <w:lang w:val="en-GB"/>
              </w:rPr>
              <w:t>年</w:t>
            </w:r>
          </w:p>
        </w:tc>
        <w:tc>
          <w:tcPr>
            <w:tcW w:w="897" w:type="pct"/>
            <w:vAlign w:val="center"/>
          </w:tcPr>
          <w:p w14:paraId="359D1AD3" w14:textId="77777777" w:rsidR="000A0ACD" w:rsidRDefault="00362A99">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7.74</w:t>
            </w:r>
          </w:p>
        </w:tc>
        <w:tc>
          <w:tcPr>
            <w:tcW w:w="738" w:type="pct"/>
            <w:vAlign w:val="center"/>
          </w:tcPr>
          <w:p w14:paraId="671ADE80" w14:textId="77777777" w:rsidR="000A0ACD" w:rsidRDefault="00362A99">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17.91</w:t>
            </w:r>
          </w:p>
        </w:tc>
        <w:tc>
          <w:tcPr>
            <w:tcW w:w="901" w:type="pct"/>
            <w:vAlign w:val="center"/>
          </w:tcPr>
          <w:p w14:paraId="0CD6CA2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17.91</w:t>
            </w:r>
          </w:p>
        </w:tc>
      </w:tr>
      <w:tr w:rsidR="000A0ACD" w14:paraId="0EFCA1F0" w14:textId="77777777">
        <w:trPr>
          <w:trHeight w:val="397"/>
          <w:jc w:val="center"/>
        </w:trPr>
        <w:tc>
          <w:tcPr>
            <w:tcW w:w="2464" w:type="pct"/>
            <w:vAlign w:val="center"/>
          </w:tcPr>
          <w:p w14:paraId="7F0E1F9D" w14:textId="77777777" w:rsidR="000A0ACD" w:rsidRDefault="00362A99">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2-3</w:t>
            </w:r>
            <w:r>
              <w:rPr>
                <w:rFonts w:ascii="Times New Roman" w:hAnsi="Times New Roman" w:cs="Times New Roman" w:hint="eastAsia"/>
                <w:snapToGrid w:val="0"/>
                <w:sz w:val="21"/>
                <w:szCs w:val="21"/>
                <w:lang w:val="en-GB"/>
              </w:rPr>
              <w:t>年</w:t>
            </w:r>
          </w:p>
        </w:tc>
        <w:tc>
          <w:tcPr>
            <w:tcW w:w="897" w:type="pct"/>
            <w:vAlign w:val="center"/>
          </w:tcPr>
          <w:p w14:paraId="5BDFD686" w14:textId="77777777" w:rsidR="000A0ACD" w:rsidRDefault="00362A99">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15.80</w:t>
            </w:r>
          </w:p>
        </w:tc>
        <w:tc>
          <w:tcPr>
            <w:tcW w:w="738" w:type="pct"/>
            <w:vAlign w:val="center"/>
          </w:tcPr>
          <w:p w14:paraId="3535C2B3" w14:textId="77777777" w:rsidR="000A0ACD" w:rsidRDefault="00362A99">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30.33</w:t>
            </w:r>
          </w:p>
        </w:tc>
        <w:tc>
          <w:tcPr>
            <w:tcW w:w="901" w:type="pct"/>
            <w:vAlign w:val="center"/>
          </w:tcPr>
          <w:p w14:paraId="6A7B15B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30.33</w:t>
            </w:r>
          </w:p>
        </w:tc>
      </w:tr>
      <w:tr w:rsidR="000A0ACD" w14:paraId="2134508F" w14:textId="77777777">
        <w:trPr>
          <w:trHeight w:val="397"/>
          <w:jc w:val="center"/>
        </w:trPr>
        <w:tc>
          <w:tcPr>
            <w:tcW w:w="2464" w:type="pct"/>
            <w:vAlign w:val="center"/>
          </w:tcPr>
          <w:p w14:paraId="0CDD3E38" w14:textId="77777777" w:rsidR="000A0ACD" w:rsidRDefault="00362A99">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3-4</w:t>
            </w:r>
            <w:r>
              <w:rPr>
                <w:rFonts w:ascii="Times New Roman" w:hAnsi="Times New Roman" w:cs="Times New Roman" w:hint="eastAsia"/>
                <w:snapToGrid w:val="0"/>
                <w:sz w:val="21"/>
                <w:szCs w:val="21"/>
                <w:lang w:val="en-GB"/>
              </w:rPr>
              <w:t>年</w:t>
            </w:r>
          </w:p>
        </w:tc>
        <w:tc>
          <w:tcPr>
            <w:tcW w:w="897" w:type="pct"/>
            <w:vAlign w:val="center"/>
          </w:tcPr>
          <w:p w14:paraId="1EA8AF81" w14:textId="77777777" w:rsidR="000A0ACD" w:rsidRDefault="00362A99">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38.40</w:t>
            </w:r>
          </w:p>
        </w:tc>
        <w:tc>
          <w:tcPr>
            <w:tcW w:w="738" w:type="pct"/>
            <w:vAlign w:val="center"/>
          </w:tcPr>
          <w:p w14:paraId="4861B471" w14:textId="77777777" w:rsidR="000A0ACD" w:rsidRDefault="00362A99">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59.07</w:t>
            </w:r>
          </w:p>
        </w:tc>
        <w:tc>
          <w:tcPr>
            <w:tcW w:w="901" w:type="pct"/>
            <w:vAlign w:val="center"/>
          </w:tcPr>
          <w:p w14:paraId="67541EF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59.07</w:t>
            </w:r>
          </w:p>
        </w:tc>
      </w:tr>
      <w:tr w:rsidR="000A0ACD" w14:paraId="1971E1B7" w14:textId="77777777">
        <w:trPr>
          <w:trHeight w:val="397"/>
          <w:jc w:val="center"/>
        </w:trPr>
        <w:tc>
          <w:tcPr>
            <w:tcW w:w="2464" w:type="pct"/>
            <w:vAlign w:val="center"/>
          </w:tcPr>
          <w:p w14:paraId="6F033039" w14:textId="77777777" w:rsidR="000A0ACD" w:rsidRDefault="00362A99">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4-5</w:t>
            </w:r>
            <w:r>
              <w:rPr>
                <w:rFonts w:ascii="Times New Roman" w:hAnsi="Times New Roman" w:cs="Times New Roman" w:hint="eastAsia"/>
                <w:snapToGrid w:val="0"/>
                <w:sz w:val="21"/>
                <w:szCs w:val="21"/>
                <w:lang w:val="en-GB"/>
              </w:rPr>
              <w:t>年</w:t>
            </w:r>
          </w:p>
        </w:tc>
        <w:tc>
          <w:tcPr>
            <w:tcW w:w="897" w:type="pct"/>
            <w:vAlign w:val="center"/>
          </w:tcPr>
          <w:p w14:paraId="685DF656" w14:textId="77777777" w:rsidR="000A0ACD" w:rsidRDefault="00362A99">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67.63</w:t>
            </w:r>
          </w:p>
        </w:tc>
        <w:tc>
          <w:tcPr>
            <w:tcW w:w="738" w:type="pct"/>
            <w:vAlign w:val="center"/>
          </w:tcPr>
          <w:p w14:paraId="77C0365A" w14:textId="77777777" w:rsidR="000A0ACD" w:rsidRDefault="00362A99">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82.96</w:t>
            </w:r>
          </w:p>
        </w:tc>
        <w:tc>
          <w:tcPr>
            <w:tcW w:w="901" w:type="pct"/>
            <w:vAlign w:val="center"/>
          </w:tcPr>
          <w:p w14:paraId="23F2173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82.96</w:t>
            </w:r>
          </w:p>
        </w:tc>
      </w:tr>
      <w:tr w:rsidR="000A0ACD" w14:paraId="27A446F4" w14:textId="77777777">
        <w:trPr>
          <w:trHeight w:val="397"/>
          <w:jc w:val="center"/>
        </w:trPr>
        <w:tc>
          <w:tcPr>
            <w:tcW w:w="2464" w:type="pct"/>
            <w:vAlign w:val="center"/>
          </w:tcPr>
          <w:p w14:paraId="40ECF48F" w14:textId="77777777" w:rsidR="000A0ACD" w:rsidRDefault="00362A99">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5</w:t>
            </w:r>
            <w:r>
              <w:rPr>
                <w:rFonts w:ascii="Times New Roman" w:hAnsi="Times New Roman" w:cs="Times New Roman" w:hint="eastAsia"/>
                <w:snapToGrid w:val="0"/>
                <w:sz w:val="21"/>
                <w:szCs w:val="21"/>
                <w:lang w:val="en-GB"/>
              </w:rPr>
              <w:t>年以上</w:t>
            </w:r>
          </w:p>
        </w:tc>
        <w:tc>
          <w:tcPr>
            <w:tcW w:w="897" w:type="pct"/>
            <w:vAlign w:val="center"/>
          </w:tcPr>
          <w:p w14:paraId="5D6EEBF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738" w:type="pct"/>
            <w:vAlign w:val="center"/>
          </w:tcPr>
          <w:p w14:paraId="035E35C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901" w:type="pct"/>
            <w:vAlign w:val="center"/>
          </w:tcPr>
          <w:p w14:paraId="5042A44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bl>
    <w:p w14:paraId="6442C359"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如果有客观证据表明某项应收账款已经发生信用减值，则标的公司对该应收账款单项计提坏账准备并确认预期信用损失。</w:t>
      </w:r>
    </w:p>
    <w:p w14:paraId="704D1CD3"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三、截至目前回款情况、逾期应收账款情况</w:t>
      </w:r>
    </w:p>
    <w:p w14:paraId="5957AF48"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截至本回复出具日，北洋天青</w:t>
      </w:r>
      <w:r>
        <w:rPr>
          <w:rFonts w:ascii="Times New Roman" w:hAnsi="Times New Roman" w:cs="Times New Roman"/>
        </w:rPr>
        <w:t>2020</w:t>
      </w:r>
      <w:r>
        <w:rPr>
          <w:rFonts w:ascii="Times New Roman" w:hAnsi="Times New Roman" w:cs="Times New Roman" w:hint="eastAsia"/>
        </w:rPr>
        <w:t>年末余额较大的应收账款回款情况具体如下表所示：</w:t>
      </w:r>
    </w:p>
    <w:p w14:paraId="13EC34E6"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226"/>
        <w:gridCol w:w="1573"/>
        <w:gridCol w:w="1309"/>
        <w:gridCol w:w="873"/>
        <w:gridCol w:w="1541"/>
      </w:tblGrid>
      <w:tr w:rsidR="000A0ACD" w14:paraId="5AC992F9" w14:textId="77777777">
        <w:trPr>
          <w:trHeight w:val="397"/>
          <w:tblHeader/>
        </w:trPr>
        <w:tc>
          <w:tcPr>
            <w:tcW w:w="1893" w:type="pct"/>
            <w:shd w:val="clear" w:color="auto" w:fill="auto"/>
            <w:vAlign w:val="center"/>
          </w:tcPr>
          <w:p w14:paraId="67B629ED" w14:textId="77777777" w:rsidR="000A0ACD" w:rsidRDefault="00362A99">
            <w:pPr>
              <w:jc w:val="center"/>
              <w:rPr>
                <w:rFonts w:ascii="Times New Roman" w:hAnsi="Times New Roman" w:cs="Times New Roman"/>
                <w:b/>
                <w:bCs/>
                <w:sz w:val="21"/>
                <w:szCs w:val="21"/>
              </w:rPr>
            </w:pPr>
            <w:bookmarkStart w:id="76" w:name="OLE_LINK43"/>
            <w:bookmarkStart w:id="77" w:name="OLE_LINK42"/>
            <w:r>
              <w:rPr>
                <w:rFonts w:ascii="Times New Roman" w:hAnsi="Times New Roman" w:cs="Times New Roman" w:hint="eastAsia"/>
                <w:b/>
                <w:bCs/>
                <w:sz w:val="21"/>
                <w:szCs w:val="21"/>
              </w:rPr>
              <w:t>客户名称</w:t>
            </w:r>
          </w:p>
        </w:tc>
        <w:tc>
          <w:tcPr>
            <w:tcW w:w="923" w:type="pct"/>
            <w:vAlign w:val="center"/>
          </w:tcPr>
          <w:p w14:paraId="52736926"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2020</w:t>
            </w:r>
            <w:r>
              <w:rPr>
                <w:rFonts w:ascii="Times New Roman" w:hAnsi="Times New Roman" w:cs="Times New Roman" w:hint="eastAsia"/>
                <w:b/>
                <w:bCs/>
                <w:snapToGrid w:val="0"/>
                <w:sz w:val="21"/>
                <w:szCs w:val="21"/>
                <w:lang w:val="en-GB"/>
              </w:rPr>
              <w:t>年</w:t>
            </w:r>
            <w:r>
              <w:rPr>
                <w:rFonts w:ascii="Times New Roman" w:hAnsi="Times New Roman" w:cs="Times New Roman" w:hint="eastAsia"/>
                <w:b/>
                <w:bCs/>
                <w:snapToGrid w:val="0"/>
                <w:sz w:val="21"/>
                <w:szCs w:val="21"/>
                <w:lang w:val="en-GB"/>
              </w:rPr>
              <w:t>12</w:t>
            </w:r>
            <w:r>
              <w:rPr>
                <w:rFonts w:ascii="Times New Roman" w:hAnsi="Times New Roman" w:cs="Times New Roman" w:hint="eastAsia"/>
                <w:b/>
                <w:bCs/>
                <w:snapToGrid w:val="0"/>
                <w:sz w:val="21"/>
                <w:szCs w:val="21"/>
                <w:lang w:val="en-GB"/>
              </w:rPr>
              <w:t>月</w:t>
            </w:r>
            <w:r>
              <w:rPr>
                <w:rFonts w:ascii="Times New Roman" w:hAnsi="Times New Roman" w:cs="Times New Roman" w:hint="eastAsia"/>
                <w:b/>
                <w:bCs/>
                <w:snapToGrid w:val="0"/>
                <w:sz w:val="21"/>
                <w:szCs w:val="21"/>
                <w:lang w:val="en-GB"/>
              </w:rPr>
              <w:t>31</w:t>
            </w:r>
            <w:r>
              <w:rPr>
                <w:rFonts w:ascii="Times New Roman" w:hAnsi="Times New Roman" w:cs="Times New Roman" w:hint="eastAsia"/>
                <w:b/>
                <w:bCs/>
                <w:snapToGrid w:val="0"/>
                <w:sz w:val="21"/>
                <w:szCs w:val="21"/>
                <w:lang w:val="en-GB"/>
              </w:rPr>
              <w:t>日应收账款账面余额</w:t>
            </w:r>
          </w:p>
        </w:tc>
        <w:tc>
          <w:tcPr>
            <w:tcW w:w="768" w:type="pct"/>
            <w:vAlign w:val="center"/>
          </w:tcPr>
          <w:p w14:paraId="3095C0E8"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占应收账款总账面余额比例</w:t>
            </w:r>
          </w:p>
        </w:tc>
        <w:tc>
          <w:tcPr>
            <w:tcW w:w="512" w:type="pct"/>
            <w:vAlign w:val="center"/>
          </w:tcPr>
          <w:p w14:paraId="7C163F8C"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napToGrid w:val="0"/>
                <w:sz w:val="21"/>
                <w:szCs w:val="21"/>
              </w:rPr>
              <w:t>期后</w:t>
            </w:r>
            <w:r>
              <w:rPr>
                <w:rFonts w:ascii="Times New Roman" w:hAnsi="Times New Roman" w:cs="Times New Roman" w:hint="eastAsia"/>
                <w:b/>
                <w:bCs/>
                <w:snapToGrid w:val="0"/>
                <w:sz w:val="21"/>
                <w:szCs w:val="21"/>
                <w:lang w:val="en-GB"/>
              </w:rPr>
              <w:t>累计回款金额</w:t>
            </w:r>
          </w:p>
        </w:tc>
        <w:tc>
          <w:tcPr>
            <w:tcW w:w="904" w:type="pct"/>
            <w:vAlign w:val="center"/>
          </w:tcPr>
          <w:p w14:paraId="7C90D1B2"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对应合同验收时间</w:t>
            </w:r>
          </w:p>
        </w:tc>
      </w:tr>
      <w:tr w:rsidR="000A0ACD" w14:paraId="7A3FA034" w14:textId="77777777">
        <w:trPr>
          <w:trHeight w:val="397"/>
        </w:trPr>
        <w:tc>
          <w:tcPr>
            <w:tcW w:w="1893" w:type="pct"/>
            <w:shd w:val="clear" w:color="auto" w:fill="auto"/>
            <w:vAlign w:val="center"/>
          </w:tcPr>
          <w:p w14:paraId="0218374C" w14:textId="77777777" w:rsidR="000A0ACD" w:rsidRDefault="00362A99">
            <w:pPr>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青岛胶南海尔洗衣机有限公司</w:t>
            </w:r>
          </w:p>
        </w:tc>
        <w:tc>
          <w:tcPr>
            <w:tcW w:w="923" w:type="pct"/>
            <w:vAlign w:val="center"/>
          </w:tcPr>
          <w:p w14:paraId="760E141B"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870.92</w:t>
            </w:r>
          </w:p>
        </w:tc>
        <w:tc>
          <w:tcPr>
            <w:tcW w:w="768" w:type="pct"/>
            <w:vAlign w:val="center"/>
          </w:tcPr>
          <w:p w14:paraId="1526442D" w14:textId="77777777" w:rsidR="000A0ACD" w:rsidRDefault="00362A99">
            <w:pPr>
              <w:jc w:val="right"/>
              <w:rPr>
                <w:rFonts w:ascii="Times New Roman" w:hAnsi="Times New Roman" w:cs="Times New Roman"/>
                <w:sz w:val="21"/>
                <w:szCs w:val="21"/>
              </w:rPr>
            </w:pPr>
            <w:r>
              <w:rPr>
                <w:rFonts w:ascii="Times New Roman" w:eastAsia="等线" w:hAnsi="Times New Roman" w:cs="Times New Roman"/>
                <w:color w:val="000000"/>
                <w:sz w:val="21"/>
                <w:szCs w:val="21"/>
              </w:rPr>
              <w:t>17.28%</w:t>
            </w:r>
          </w:p>
        </w:tc>
        <w:tc>
          <w:tcPr>
            <w:tcW w:w="512" w:type="pct"/>
            <w:vAlign w:val="center"/>
          </w:tcPr>
          <w:p w14:paraId="78124032"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241.67</w:t>
            </w:r>
          </w:p>
        </w:tc>
        <w:tc>
          <w:tcPr>
            <w:tcW w:w="904" w:type="pct"/>
            <w:vAlign w:val="center"/>
          </w:tcPr>
          <w:p w14:paraId="6F35B3CD" w14:textId="77777777" w:rsidR="000A0ACD" w:rsidRDefault="00362A99">
            <w:pPr>
              <w:jc w:val="center"/>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多个项目</w:t>
            </w:r>
          </w:p>
        </w:tc>
      </w:tr>
      <w:tr w:rsidR="000A0ACD" w14:paraId="3CF279BF" w14:textId="77777777">
        <w:trPr>
          <w:trHeight w:val="397"/>
        </w:trPr>
        <w:tc>
          <w:tcPr>
            <w:tcW w:w="1893" w:type="pct"/>
            <w:shd w:val="clear" w:color="auto" w:fill="auto"/>
            <w:vAlign w:val="center"/>
          </w:tcPr>
          <w:p w14:paraId="75F1D7E9" w14:textId="77777777" w:rsidR="000A0ACD" w:rsidRDefault="00362A99">
            <w:pPr>
              <w:rPr>
                <w:rFonts w:ascii="Times New Roman" w:hAnsi="Times New Roman" w:cs="Times New Roman"/>
                <w:color w:val="000000"/>
                <w:sz w:val="21"/>
                <w:szCs w:val="21"/>
              </w:rPr>
            </w:pPr>
            <w:bookmarkStart w:id="78" w:name="OLE_LINK41"/>
            <w:bookmarkStart w:id="79" w:name="OLE_LINK40"/>
            <w:r>
              <w:rPr>
                <w:rFonts w:ascii="Times New Roman" w:hAnsi="Times New Roman" w:cs="Times New Roman" w:hint="eastAsia"/>
                <w:color w:val="000000"/>
                <w:sz w:val="21"/>
                <w:szCs w:val="21"/>
              </w:rPr>
              <w:t>青岛海尔</w:t>
            </w:r>
            <w:bookmarkEnd w:id="78"/>
            <w:bookmarkEnd w:id="79"/>
            <w:r>
              <w:rPr>
                <w:rFonts w:ascii="Times New Roman" w:hAnsi="Times New Roman" w:cs="Times New Roman" w:hint="eastAsia"/>
                <w:color w:val="000000"/>
                <w:sz w:val="21"/>
                <w:szCs w:val="21"/>
              </w:rPr>
              <w:t>空调电子有限公司</w:t>
            </w:r>
          </w:p>
        </w:tc>
        <w:tc>
          <w:tcPr>
            <w:tcW w:w="923" w:type="pct"/>
            <w:vAlign w:val="center"/>
          </w:tcPr>
          <w:p w14:paraId="59F4EA9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528.00</w:t>
            </w:r>
          </w:p>
        </w:tc>
        <w:tc>
          <w:tcPr>
            <w:tcW w:w="768" w:type="pct"/>
            <w:vAlign w:val="center"/>
          </w:tcPr>
          <w:p w14:paraId="23D7D6A8" w14:textId="77777777" w:rsidR="000A0ACD" w:rsidRDefault="00362A99">
            <w:pPr>
              <w:jc w:val="right"/>
              <w:rPr>
                <w:rFonts w:ascii="Times New Roman" w:hAnsi="Times New Roman" w:cs="Times New Roman"/>
                <w:sz w:val="21"/>
                <w:szCs w:val="21"/>
              </w:rPr>
            </w:pPr>
            <w:r>
              <w:rPr>
                <w:rFonts w:ascii="Times New Roman" w:eastAsia="等线" w:hAnsi="Times New Roman" w:cs="Times New Roman"/>
                <w:color w:val="000000"/>
                <w:sz w:val="21"/>
                <w:szCs w:val="21"/>
              </w:rPr>
              <w:t>10.48%</w:t>
            </w:r>
          </w:p>
        </w:tc>
        <w:tc>
          <w:tcPr>
            <w:tcW w:w="512" w:type="pct"/>
            <w:vAlign w:val="center"/>
          </w:tcPr>
          <w:p w14:paraId="2A52A8EC"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402740EC" w14:textId="77777777" w:rsidR="000A0ACD" w:rsidRDefault="00362A99">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12</w:t>
            </w:r>
            <w:r>
              <w:rPr>
                <w:rFonts w:ascii="Times New Roman" w:hAnsi="Times New Roman" w:cs="Times New Roman" w:hint="eastAsia"/>
                <w:color w:val="000000"/>
                <w:sz w:val="21"/>
                <w:szCs w:val="21"/>
                <w:lang w:bidi="ar"/>
              </w:rPr>
              <w:t>月</w:t>
            </w:r>
          </w:p>
        </w:tc>
      </w:tr>
      <w:tr w:rsidR="000A0ACD" w14:paraId="5560EA14" w14:textId="77777777">
        <w:trPr>
          <w:trHeight w:val="397"/>
        </w:trPr>
        <w:tc>
          <w:tcPr>
            <w:tcW w:w="1893" w:type="pct"/>
            <w:shd w:val="clear" w:color="auto" w:fill="auto"/>
            <w:vAlign w:val="center"/>
          </w:tcPr>
          <w:p w14:paraId="3D357053" w14:textId="77777777" w:rsidR="000A0ACD" w:rsidRDefault="00362A99">
            <w:pPr>
              <w:rPr>
                <w:rFonts w:ascii="Times New Roman" w:hAnsi="Times New Roman" w:cs="Times New Roman"/>
                <w:color w:val="000000"/>
                <w:sz w:val="21"/>
                <w:szCs w:val="21"/>
              </w:rPr>
            </w:pPr>
            <w:bookmarkStart w:id="80" w:name="OLE_LINK38"/>
            <w:bookmarkStart w:id="81" w:name="OLE_LINK39"/>
            <w:r>
              <w:rPr>
                <w:rFonts w:ascii="Times New Roman" w:hAnsi="Times New Roman" w:cs="Times New Roman" w:hint="eastAsia"/>
                <w:color w:val="000000"/>
                <w:sz w:val="21"/>
                <w:szCs w:val="21"/>
              </w:rPr>
              <w:t>合肥海尔电冰箱有限公司</w:t>
            </w:r>
            <w:bookmarkEnd w:id="80"/>
            <w:bookmarkEnd w:id="81"/>
          </w:p>
        </w:tc>
        <w:tc>
          <w:tcPr>
            <w:tcW w:w="923" w:type="pct"/>
            <w:vAlign w:val="center"/>
          </w:tcPr>
          <w:p w14:paraId="4622F51F"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480.28</w:t>
            </w:r>
          </w:p>
        </w:tc>
        <w:tc>
          <w:tcPr>
            <w:tcW w:w="768" w:type="pct"/>
            <w:vAlign w:val="center"/>
          </w:tcPr>
          <w:p w14:paraId="46227F5A" w14:textId="77777777" w:rsidR="000A0ACD" w:rsidRDefault="00362A99">
            <w:pPr>
              <w:jc w:val="right"/>
              <w:rPr>
                <w:rFonts w:ascii="Times New Roman" w:hAnsi="Times New Roman" w:cs="Times New Roman"/>
                <w:sz w:val="21"/>
                <w:szCs w:val="21"/>
              </w:rPr>
            </w:pPr>
            <w:r>
              <w:rPr>
                <w:rFonts w:ascii="Times New Roman" w:eastAsia="等线" w:hAnsi="Times New Roman" w:cs="Times New Roman"/>
                <w:color w:val="000000"/>
                <w:sz w:val="21"/>
                <w:szCs w:val="21"/>
              </w:rPr>
              <w:t>9.53%</w:t>
            </w:r>
          </w:p>
        </w:tc>
        <w:tc>
          <w:tcPr>
            <w:tcW w:w="512" w:type="pct"/>
            <w:vAlign w:val="center"/>
          </w:tcPr>
          <w:p w14:paraId="347C7869"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26243062" w14:textId="77777777" w:rsidR="000A0ACD" w:rsidRDefault="00362A99">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11</w:t>
            </w:r>
            <w:r>
              <w:rPr>
                <w:rFonts w:ascii="Times New Roman" w:hAnsi="Times New Roman" w:cs="Times New Roman" w:hint="eastAsia"/>
                <w:color w:val="000000"/>
                <w:sz w:val="21"/>
                <w:szCs w:val="21"/>
                <w:lang w:bidi="ar"/>
              </w:rPr>
              <w:t>月</w:t>
            </w:r>
          </w:p>
        </w:tc>
      </w:tr>
      <w:tr w:rsidR="000A0ACD" w14:paraId="1F7F510E" w14:textId="77777777">
        <w:trPr>
          <w:trHeight w:val="397"/>
        </w:trPr>
        <w:tc>
          <w:tcPr>
            <w:tcW w:w="1893" w:type="pct"/>
            <w:shd w:val="clear" w:color="auto" w:fill="auto"/>
            <w:vAlign w:val="center"/>
          </w:tcPr>
          <w:p w14:paraId="0200F03D" w14:textId="77777777" w:rsidR="000A0ACD" w:rsidRDefault="00362A99">
            <w:pPr>
              <w:rPr>
                <w:rFonts w:ascii="Times New Roman" w:hAnsi="Times New Roman" w:cs="Times New Roman"/>
                <w:color w:val="000000"/>
                <w:sz w:val="21"/>
                <w:szCs w:val="21"/>
              </w:rPr>
            </w:pPr>
            <w:bookmarkStart w:id="82" w:name="_Hlk68320017"/>
            <w:r>
              <w:rPr>
                <w:rFonts w:ascii="Times New Roman" w:hAnsi="Times New Roman" w:cs="Times New Roman" w:hint="eastAsia"/>
                <w:color w:val="000000"/>
                <w:sz w:val="21"/>
                <w:szCs w:val="21"/>
              </w:rPr>
              <w:t>青岛海尔机器人有限公司</w:t>
            </w:r>
          </w:p>
        </w:tc>
        <w:tc>
          <w:tcPr>
            <w:tcW w:w="923" w:type="pct"/>
            <w:vAlign w:val="center"/>
          </w:tcPr>
          <w:p w14:paraId="790D080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346.34</w:t>
            </w:r>
          </w:p>
        </w:tc>
        <w:tc>
          <w:tcPr>
            <w:tcW w:w="768" w:type="pct"/>
            <w:vAlign w:val="center"/>
          </w:tcPr>
          <w:p w14:paraId="03F9293F" w14:textId="77777777" w:rsidR="000A0ACD" w:rsidRDefault="00362A99">
            <w:pPr>
              <w:jc w:val="right"/>
              <w:rPr>
                <w:rFonts w:ascii="Times New Roman" w:hAnsi="Times New Roman" w:cs="Times New Roman"/>
                <w:sz w:val="21"/>
                <w:szCs w:val="21"/>
              </w:rPr>
            </w:pPr>
            <w:r>
              <w:rPr>
                <w:rFonts w:ascii="Times New Roman" w:eastAsia="等线" w:hAnsi="Times New Roman" w:cs="Times New Roman"/>
                <w:color w:val="000000"/>
                <w:sz w:val="21"/>
                <w:szCs w:val="21"/>
              </w:rPr>
              <w:t>6.87%</w:t>
            </w:r>
          </w:p>
        </w:tc>
        <w:tc>
          <w:tcPr>
            <w:tcW w:w="512" w:type="pct"/>
            <w:vAlign w:val="center"/>
          </w:tcPr>
          <w:p w14:paraId="08B00B50"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109.56</w:t>
            </w:r>
          </w:p>
        </w:tc>
        <w:tc>
          <w:tcPr>
            <w:tcW w:w="904" w:type="pct"/>
            <w:vAlign w:val="center"/>
          </w:tcPr>
          <w:p w14:paraId="64AEC318" w14:textId="77777777" w:rsidR="000A0ACD" w:rsidRDefault="00362A99">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8</w:t>
            </w:r>
            <w:r>
              <w:rPr>
                <w:rFonts w:ascii="Times New Roman" w:hAnsi="Times New Roman" w:cs="Times New Roman" w:hint="eastAsia"/>
                <w:color w:val="000000"/>
                <w:sz w:val="21"/>
                <w:szCs w:val="21"/>
                <w:lang w:bidi="ar"/>
              </w:rPr>
              <w:t>月</w:t>
            </w:r>
          </w:p>
        </w:tc>
      </w:tr>
      <w:bookmarkEnd w:id="82"/>
      <w:tr w:rsidR="000A0ACD" w14:paraId="6DB7C6DB" w14:textId="77777777">
        <w:trPr>
          <w:trHeight w:val="397"/>
        </w:trPr>
        <w:tc>
          <w:tcPr>
            <w:tcW w:w="1893" w:type="pct"/>
            <w:shd w:val="clear" w:color="auto" w:fill="auto"/>
            <w:vAlign w:val="center"/>
          </w:tcPr>
          <w:p w14:paraId="725537B0"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沈阳海尔电冰箱有限公司</w:t>
            </w:r>
          </w:p>
        </w:tc>
        <w:tc>
          <w:tcPr>
            <w:tcW w:w="923" w:type="pct"/>
            <w:vAlign w:val="center"/>
          </w:tcPr>
          <w:p w14:paraId="4A463E38"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318.00</w:t>
            </w:r>
          </w:p>
        </w:tc>
        <w:tc>
          <w:tcPr>
            <w:tcW w:w="768" w:type="pct"/>
            <w:vAlign w:val="center"/>
          </w:tcPr>
          <w:p w14:paraId="03CDB7C0" w14:textId="77777777" w:rsidR="000A0ACD" w:rsidRDefault="00362A99">
            <w:pPr>
              <w:jc w:val="right"/>
              <w:rPr>
                <w:rFonts w:ascii="Times New Roman" w:hAnsi="Times New Roman" w:cs="Times New Roman"/>
                <w:sz w:val="21"/>
                <w:szCs w:val="21"/>
              </w:rPr>
            </w:pPr>
            <w:r>
              <w:rPr>
                <w:rFonts w:ascii="Times New Roman" w:eastAsia="等线" w:hAnsi="Times New Roman" w:cs="Times New Roman"/>
                <w:color w:val="000000"/>
                <w:sz w:val="21"/>
                <w:szCs w:val="21"/>
              </w:rPr>
              <w:t>6.31%</w:t>
            </w:r>
          </w:p>
        </w:tc>
        <w:tc>
          <w:tcPr>
            <w:tcW w:w="512" w:type="pct"/>
            <w:vAlign w:val="center"/>
          </w:tcPr>
          <w:p w14:paraId="060EE638"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238.50</w:t>
            </w:r>
          </w:p>
        </w:tc>
        <w:tc>
          <w:tcPr>
            <w:tcW w:w="904" w:type="pct"/>
            <w:vAlign w:val="center"/>
          </w:tcPr>
          <w:p w14:paraId="04A29EEE" w14:textId="77777777" w:rsidR="000A0ACD" w:rsidRDefault="00362A99">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11</w:t>
            </w:r>
            <w:r>
              <w:rPr>
                <w:rFonts w:ascii="Times New Roman" w:hAnsi="Times New Roman" w:cs="Times New Roman" w:hint="eastAsia"/>
                <w:color w:val="000000"/>
                <w:sz w:val="21"/>
                <w:szCs w:val="21"/>
                <w:lang w:bidi="ar"/>
              </w:rPr>
              <w:t>月</w:t>
            </w:r>
          </w:p>
        </w:tc>
      </w:tr>
      <w:tr w:rsidR="000A0ACD" w14:paraId="04724814" w14:textId="77777777">
        <w:trPr>
          <w:trHeight w:val="397"/>
        </w:trPr>
        <w:tc>
          <w:tcPr>
            <w:tcW w:w="1893" w:type="pct"/>
            <w:shd w:val="clear" w:color="auto" w:fill="auto"/>
            <w:vAlign w:val="center"/>
          </w:tcPr>
          <w:p w14:paraId="3E54BAD1"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佛山海尔电冰柜有限公司</w:t>
            </w:r>
          </w:p>
        </w:tc>
        <w:tc>
          <w:tcPr>
            <w:tcW w:w="923" w:type="pct"/>
            <w:vAlign w:val="center"/>
          </w:tcPr>
          <w:p w14:paraId="538FB61F"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318.00</w:t>
            </w:r>
          </w:p>
        </w:tc>
        <w:tc>
          <w:tcPr>
            <w:tcW w:w="768" w:type="pct"/>
            <w:vAlign w:val="center"/>
          </w:tcPr>
          <w:p w14:paraId="4B4AA711" w14:textId="77777777" w:rsidR="000A0ACD" w:rsidRDefault="00362A99">
            <w:pPr>
              <w:jc w:val="right"/>
              <w:rPr>
                <w:rFonts w:ascii="Times New Roman" w:hAnsi="Times New Roman" w:cs="Times New Roman"/>
                <w:sz w:val="21"/>
                <w:szCs w:val="21"/>
              </w:rPr>
            </w:pPr>
            <w:r>
              <w:rPr>
                <w:rFonts w:ascii="Times New Roman" w:eastAsia="等线" w:hAnsi="Times New Roman" w:cs="Times New Roman"/>
                <w:color w:val="000000"/>
                <w:sz w:val="21"/>
                <w:szCs w:val="21"/>
              </w:rPr>
              <w:t>6.31%</w:t>
            </w:r>
          </w:p>
        </w:tc>
        <w:tc>
          <w:tcPr>
            <w:tcW w:w="512" w:type="pct"/>
            <w:vAlign w:val="center"/>
          </w:tcPr>
          <w:p w14:paraId="09F80EEC"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0C611BC0" w14:textId="77777777" w:rsidR="000A0ACD" w:rsidRDefault="00362A99">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10</w:t>
            </w:r>
            <w:r>
              <w:rPr>
                <w:rFonts w:ascii="Times New Roman" w:hAnsi="Times New Roman" w:cs="Times New Roman" w:hint="eastAsia"/>
                <w:color w:val="000000"/>
                <w:sz w:val="21"/>
                <w:szCs w:val="21"/>
                <w:lang w:bidi="ar"/>
              </w:rPr>
              <w:t>月</w:t>
            </w:r>
          </w:p>
        </w:tc>
      </w:tr>
      <w:tr w:rsidR="000A0ACD" w14:paraId="3DA69579" w14:textId="77777777">
        <w:trPr>
          <w:trHeight w:val="397"/>
        </w:trPr>
        <w:tc>
          <w:tcPr>
            <w:tcW w:w="1893" w:type="pct"/>
            <w:shd w:val="clear" w:color="auto" w:fill="auto"/>
            <w:vAlign w:val="center"/>
          </w:tcPr>
          <w:p w14:paraId="2F43EB01" w14:textId="77777777" w:rsidR="000A0ACD" w:rsidRDefault="00362A99">
            <w:pPr>
              <w:rPr>
                <w:rFonts w:ascii="Times New Roman" w:hAnsi="Times New Roman" w:cs="Times New Roman"/>
                <w:color w:val="000000"/>
                <w:sz w:val="21"/>
                <w:szCs w:val="21"/>
              </w:rPr>
            </w:pPr>
            <w:bookmarkStart w:id="83" w:name="OLE_LINK50"/>
            <w:bookmarkStart w:id="84" w:name="OLE_LINK33"/>
            <w:bookmarkStart w:id="85" w:name="OLE_LINK32"/>
            <w:r>
              <w:rPr>
                <w:rFonts w:ascii="Times New Roman" w:hAnsi="Times New Roman" w:cs="Times New Roman" w:hint="eastAsia"/>
                <w:color w:val="000000"/>
                <w:sz w:val="21"/>
                <w:szCs w:val="21"/>
              </w:rPr>
              <w:t>青岛海尔特种电冰箱有限公司</w:t>
            </w:r>
            <w:bookmarkEnd w:id="83"/>
            <w:bookmarkEnd w:id="84"/>
            <w:bookmarkEnd w:id="85"/>
          </w:p>
        </w:tc>
        <w:tc>
          <w:tcPr>
            <w:tcW w:w="923" w:type="pct"/>
            <w:vAlign w:val="center"/>
          </w:tcPr>
          <w:p w14:paraId="5B9B40A1"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315.60</w:t>
            </w:r>
          </w:p>
        </w:tc>
        <w:tc>
          <w:tcPr>
            <w:tcW w:w="768" w:type="pct"/>
            <w:vAlign w:val="center"/>
          </w:tcPr>
          <w:p w14:paraId="6E0B5453" w14:textId="77777777" w:rsidR="000A0ACD" w:rsidRDefault="00362A99">
            <w:pPr>
              <w:jc w:val="right"/>
              <w:rPr>
                <w:rFonts w:ascii="Times New Roman" w:hAnsi="Times New Roman" w:cs="Times New Roman"/>
                <w:sz w:val="21"/>
                <w:szCs w:val="21"/>
              </w:rPr>
            </w:pPr>
            <w:r>
              <w:rPr>
                <w:rFonts w:ascii="Times New Roman" w:eastAsia="等线" w:hAnsi="Times New Roman" w:cs="Times New Roman"/>
                <w:color w:val="000000"/>
                <w:sz w:val="21"/>
                <w:szCs w:val="21"/>
              </w:rPr>
              <w:t>6.26%</w:t>
            </w:r>
          </w:p>
        </w:tc>
        <w:tc>
          <w:tcPr>
            <w:tcW w:w="512" w:type="pct"/>
            <w:vAlign w:val="center"/>
          </w:tcPr>
          <w:p w14:paraId="43AEED50"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28D2E4F7" w14:textId="77777777" w:rsidR="000A0ACD" w:rsidRDefault="00362A99">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8</w:t>
            </w:r>
            <w:r>
              <w:rPr>
                <w:rFonts w:ascii="Times New Roman" w:hAnsi="Times New Roman" w:cs="Times New Roman" w:hint="eastAsia"/>
                <w:color w:val="000000"/>
                <w:sz w:val="21"/>
                <w:szCs w:val="21"/>
                <w:lang w:bidi="ar"/>
              </w:rPr>
              <w:t>月</w:t>
            </w:r>
          </w:p>
        </w:tc>
      </w:tr>
      <w:tr w:rsidR="000A0ACD" w14:paraId="6ED585A8" w14:textId="77777777">
        <w:trPr>
          <w:trHeight w:val="397"/>
        </w:trPr>
        <w:tc>
          <w:tcPr>
            <w:tcW w:w="1893" w:type="pct"/>
            <w:shd w:val="clear" w:color="auto" w:fill="auto"/>
            <w:vAlign w:val="center"/>
          </w:tcPr>
          <w:p w14:paraId="3AC11035" w14:textId="77777777" w:rsidR="000A0ACD" w:rsidRDefault="00362A99">
            <w:pPr>
              <w:rPr>
                <w:rFonts w:ascii="Times New Roman" w:hAnsi="Times New Roman" w:cs="Times New Roman"/>
                <w:color w:val="000000"/>
                <w:sz w:val="21"/>
                <w:szCs w:val="21"/>
              </w:rPr>
            </w:pPr>
            <w:bookmarkStart w:id="86" w:name="OLE_LINK34"/>
            <w:bookmarkStart w:id="87" w:name="OLE_LINK35"/>
            <w:r>
              <w:rPr>
                <w:rFonts w:ascii="Times New Roman" w:hAnsi="Times New Roman" w:cs="Times New Roman" w:hint="eastAsia"/>
                <w:color w:val="000000"/>
                <w:sz w:val="21"/>
                <w:szCs w:val="21"/>
              </w:rPr>
              <w:t>青岛蓝鲸科技有限公司</w:t>
            </w:r>
            <w:bookmarkEnd w:id="86"/>
            <w:bookmarkEnd w:id="87"/>
          </w:p>
        </w:tc>
        <w:tc>
          <w:tcPr>
            <w:tcW w:w="923" w:type="pct"/>
            <w:vAlign w:val="center"/>
          </w:tcPr>
          <w:p w14:paraId="1B97A583"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300.00</w:t>
            </w:r>
          </w:p>
        </w:tc>
        <w:tc>
          <w:tcPr>
            <w:tcW w:w="768" w:type="pct"/>
            <w:vAlign w:val="center"/>
          </w:tcPr>
          <w:p w14:paraId="23B5476B" w14:textId="77777777" w:rsidR="000A0ACD" w:rsidRDefault="00362A99">
            <w:pPr>
              <w:jc w:val="right"/>
              <w:rPr>
                <w:rFonts w:ascii="Times New Roman" w:hAnsi="Times New Roman" w:cs="Times New Roman"/>
                <w:sz w:val="21"/>
                <w:szCs w:val="21"/>
              </w:rPr>
            </w:pPr>
            <w:r>
              <w:rPr>
                <w:rFonts w:ascii="Times New Roman" w:eastAsia="等线" w:hAnsi="Times New Roman" w:cs="Times New Roman"/>
                <w:color w:val="000000"/>
                <w:sz w:val="21"/>
                <w:szCs w:val="21"/>
              </w:rPr>
              <w:t>5.95%</w:t>
            </w:r>
          </w:p>
        </w:tc>
        <w:tc>
          <w:tcPr>
            <w:tcW w:w="512" w:type="pct"/>
            <w:vAlign w:val="center"/>
          </w:tcPr>
          <w:p w14:paraId="7C818984"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10858F42" w14:textId="77777777" w:rsidR="000A0ACD" w:rsidRDefault="00362A99">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12</w:t>
            </w:r>
            <w:r>
              <w:rPr>
                <w:rFonts w:ascii="Times New Roman" w:hAnsi="Times New Roman" w:cs="Times New Roman" w:hint="eastAsia"/>
                <w:color w:val="000000"/>
                <w:sz w:val="21"/>
                <w:szCs w:val="21"/>
                <w:lang w:bidi="ar"/>
              </w:rPr>
              <w:t>月</w:t>
            </w:r>
          </w:p>
        </w:tc>
      </w:tr>
      <w:tr w:rsidR="000A0ACD" w14:paraId="273AAE94" w14:textId="77777777">
        <w:trPr>
          <w:trHeight w:val="397"/>
        </w:trPr>
        <w:tc>
          <w:tcPr>
            <w:tcW w:w="1893" w:type="pct"/>
            <w:shd w:val="clear" w:color="auto" w:fill="auto"/>
            <w:vAlign w:val="center"/>
          </w:tcPr>
          <w:p w14:paraId="10755E18" w14:textId="77777777" w:rsidR="000A0ACD" w:rsidRDefault="00362A99">
            <w:pPr>
              <w:rPr>
                <w:rFonts w:ascii="Times New Roman" w:hAnsi="Times New Roman" w:cs="Times New Roman"/>
                <w:b/>
                <w:bCs/>
                <w:color w:val="000000"/>
                <w:sz w:val="21"/>
                <w:szCs w:val="21"/>
              </w:rPr>
            </w:pPr>
            <w:bookmarkStart w:id="88" w:name="OLE_LINK37"/>
            <w:bookmarkStart w:id="89" w:name="OLE_LINK56"/>
            <w:bookmarkStart w:id="90" w:name="OLE_LINK53"/>
            <w:bookmarkStart w:id="91" w:name="OLE_LINK36"/>
            <w:r>
              <w:rPr>
                <w:rFonts w:ascii="Times New Roman" w:hAnsi="Times New Roman" w:cs="Times New Roman" w:hint="eastAsia"/>
                <w:color w:val="000000"/>
                <w:sz w:val="21"/>
                <w:szCs w:val="21"/>
              </w:rPr>
              <w:t>澳柯玛股份有限公司制造分公司</w:t>
            </w:r>
            <w:bookmarkEnd w:id="88"/>
            <w:bookmarkEnd w:id="89"/>
            <w:bookmarkEnd w:id="90"/>
            <w:bookmarkEnd w:id="91"/>
          </w:p>
        </w:tc>
        <w:tc>
          <w:tcPr>
            <w:tcW w:w="923" w:type="pct"/>
            <w:vAlign w:val="center"/>
          </w:tcPr>
          <w:p w14:paraId="01A76D1A"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265.85</w:t>
            </w:r>
          </w:p>
        </w:tc>
        <w:tc>
          <w:tcPr>
            <w:tcW w:w="768" w:type="pct"/>
            <w:vAlign w:val="center"/>
          </w:tcPr>
          <w:p w14:paraId="0F1142A2" w14:textId="77777777" w:rsidR="000A0ACD" w:rsidRDefault="00362A99">
            <w:pPr>
              <w:jc w:val="right"/>
              <w:rPr>
                <w:rFonts w:ascii="Times New Roman" w:hAnsi="Times New Roman" w:cs="Times New Roman"/>
                <w:sz w:val="21"/>
                <w:szCs w:val="21"/>
              </w:rPr>
            </w:pPr>
            <w:r>
              <w:rPr>
                <w:rFonts w:ascii="Times New Roman" w:eastAsia="等线" w:hAnsi="Times New Roman" w:cs="Times New Roman"/>
                <w:color w:val="000000"/>
                <w:sz w:val="21"/>
                <w:szCs w:val="21"/>
              </w:rPr>
              <w:t>5.28%</w:t>
            </w:r>
          </w:p>
        </w:tc>
        <w:tc>
          <w:tcPr>
            <w:tcW w:w="512" w:type="pct"/>
            <w:vAlign w:val="center"/>
          </w:tcPr>
          <w:p w14:paraId="2435FF92"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469A444A" w14:textId="77777777" w:rsidR="000A0ACD" w:rsidRDefault="00362A99">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9</w:t>
            </w:r>
            <w:r>
              <w:rPr>
                <w:rFonts w:ascii="Times New Roman" w:hAnsi="Times New Roman" w:cs="Times New Roman" w:hint="eastAsia"/>
                <w:color w:val="000000"/>
                <w:sz w:val="21"/>
                <w:szCs w:val="21"/>
                <w:lang w:bidi="ar"/>
              </w:rPr>
              <w:t>月</w:t>
            </w:r>
          </w:p>
        </w:tc>
      </w:tr>
      <w:tr w:rsidR="000A0ACD" w14:paraId="03DC4415" w14:textId="77777777">
        <w:trPr>
          <w:trHeight w:val="397"/>
        </w:trPr>
        <w:tc>
          <w:tcPr>
            <w:tcW w:w="1893" w:type="pct"/>
            <w:shd w:val="clear" w:color="auto" w:fill="auto"/>
            <w:vAlign w:val="center"/>
          </w:tcPr>
          <w:p w14:paraId="11481DEA" w14:textId="77777777" w:rsidR="000A0ACD" w:rsidRDefault="00362A99">
            <w:pPr>
              <w:rPr>
                <w:rFonts w:ascii="Times New Roman" w:hAnsi="Times New Roman" w:cs="Times New Roman"/>
                <w:color w:val="000000"/>
                <w:sz w:val="21"/>
                <w:szCs w:val="21"/>
              </w:rPr>
            </w:pPr>
            <w:bookmarkStart w:id="92" w:name="OLE_LINK54"/>
            <w:bookmarkStart w:id="93" w:name="OLE_LINK55"/>
            <w:bookmarkStart w:id="94" w:name="OLE_LINK57"/>
            <w:r>
              <w:rPr>
                <w:rFonts w:ascii="Times New Roman" w:hAnsi="Times New Roman" w:cs="Times New Roman" w:hint="eastAsia"/>
                <w:color w:val="000000"/>
                <w:sz w:val="21"/>
                <w:szCs w:val="21"/>
              </w:rPr>
              <w:t>青岛海尔智慧电器设备有限公司</w:t>
            </w:r>
            <w:bookmarkEnd w:id="92"/>
            <w:bookmarkEnd w:id="93"/>
            <w:bookmarkEnd w:id="94"/>
          </w:p>
        </w:tc>
        <w:tc>
          <w:tcPr>
            <w:tcW w:w="923" w:type="pct"/>
            <w:vAlign w:val="center"/>
          </w:tcPr>
          <w:p w14:paraId="16B04BB0"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243.83</w:t>
            </w:r>
          </w:p>
        </w:tc>
        <w:tc>
          <w:tcPr>
            <w:tcW w:w="768" w:type="pct"/>
            <w:vAlign w:val="center"/>
          </w:tcPr>
          <w:p w14:paraId="045462D4" w14:textId="77777777" w:rsidR="000A0ACD" w:rsidRDefault="00362A99">
            <w:pPr>
              <w:jc w:val="right"/>
              <w:rPr>
                <w:rFonts w:ascii="Times New Roman" w:hAnsi="Times New Roman" w:cs="Times New Roman"/>
                <w:sz w:val="21"/>
                <w:szCs w:val="21"/>
              </w:rPr>
            </w:pPr>
            <w:r>
              <w:rPr>
                <w:rFonts w:ascii="Times New Roman" w:eastAsia="等线" w:hAnsi="Times New Roman" w:cs="Times New Roman"/>
                <w:color w:val="000000"/>
                <w:sz w:val="21"/>
                <w:szCs w:val="21"/>
              </w:rPr>
              <w:t>4.84%</w:t>
            </w:r>
          </w:p>
        </w:tc>
        <w:tc>
          <w:tcPr>
            <w:tcW w:w="512" w:type="pct"/>
            <w:vAlign w:val="center"/>
          </w:tcPr>
          <w:p w14:paraId="346001DC" w14:textId="77777777" w:rsidR="000A0ACD" w:rsidRDefault="00362A99">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62341A27" w14:textId="77777777" w:rsidR="000A0ACD" w:rsidRDefault="00362A99">
            <w:pPr>
              <w:jc w:val="center"/>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多个项目</w:t>
            </w:r>
          </w:p>
        </w:tc>
      </w:tr>
      <w:tr w:rsidR="000A0ACD" w14:paraId="7D4F6E8C" w14:textId="77777777">
        <w:trPr>
          <w:trHeight w:val="397"/>
        </w:trPr>
        <w:tc>
          <w:tcPr>
            <w:tcW w:w="1893" w:type="pct"/>
            <w:shd w:val="clear" w:color="auto" w:fill="auto"/>
            <w:vAlign w:val="center"/>
          </w:tcPr>
          <w:p w14:paraId="342C7B0C"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923" w:type="pct"/>
            <w:vAlign w:val="center"/>
          </w:tcPr>
          <w:p w14:paraId="297955A6" w14:textId="77777777" w:rsidR="000A0ACD" w:rsidRDefault="00362A99">
            <w:pPr>
              <w:jc w:val="right"/>
              <w:rPr>
                <w:rFonts w:ascii="Times New Roman" w:hAnsi="Times New Roman" w:cs="Times New Roman"/>
                <w:b/>
                <w:bCs/>
                <w:color w:val="000000"/>
                <w:sz w:val="21"/>
                <w:szCs w:val="21"/>
              </w:rPr>
            </w:pPr>
            <w:bookmarkStart w:id="95" w:name="OLE_LINK29"/>
            <w:bookmarkStart w:id="96" w:name="OLE_LINK30"/>
            <w:r>
              <w:rPr>
                <w:rFonts w:ascii="Times New Roman" w:hAnsi="Times New Roman" w:cs="Times New Roman"/>
                <w:b/>
                <w:bCs/>
                <w:color w:val="000000"/>
                <w:sz w:val="21"/>
                <w:szCs w:val="21"/>
              </w:rPr>
              <w:t>3,986.82</w:t>
            </w:r>
            <w:bookmarkEnd w:id="95"/>
            <w:bookmarkEnd w:id="96"/>
          </w:p>
        </w:tc>
        <w:tc>
          <w:tcPr>
            <w:tcW w:w="768" w:type="pct"/>
            <w:vAlign w:val="center"/>
          </w:tcPr>
          <w:p w14:paraId="2ED7966D" w14:textId="77777777" w:rsidR="000A0ACD" w:rsidRDefault="00362A99">
            <w:pPr>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79.12%</w:t>
            </w:r>
          </w:p>
        </w:tc>
        <w:tc>
          <w:tcPr>
            <w:tcW w:w="512" w:type="pct"/>
            <w:vAlign w:val="center"/>
          </w:tcPr>
          <w:p w14:paraId="1FB29443" w14:textId="77777777" w:rsidR="000A0ACD" w:rsidRDefault="00362A99">
            <w:pPr>
              <w:jc w:val="right"/>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lang w:bidi="ar"/>
              </w:rPr>
              <w:t>589.73</w:t>
            </w:r>
          </w:p>
        </w:tc>
        <w:tc>
          <w:tcPr>
            <w:tcW w:w="904" w:type="pct"/>
            <w:vAlign w:val="center"/>
          </w:tcPr>
          <w:p w14:paraId="20EE9ED1" w14:textId="77777777" w:rsidR="000A0ACD" w:rsidRDefault="00362A99">
            <w:pPr>
              <w:jc w:val="center"/>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r>
    </w:tbl>
    <w:bookmarkEnd w:id="76"/>
    <w:bookmarkEnd w:id="77"/>
    <w:p w14:paraId="6B50DAA8"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2020</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日，标的公司前十大应收账款客户金额合计</w:t>
      </w:r>
      <w:r>
        <w:rPr>
          <w:rFonts w:ascii="Times New Roman" w:hAnsi="Times New Roman" w:cs="Times New Roman"/>
        </w:rPr>
        <w:t>3,986.82</w:t>
      </w:r>
      <w:r>
        <w:rPr>
          <w:rFonts w:ascii="Times New Roman" w:hAnsi="Times New Roman" w:cs="Times New Roman" w:hint="eastAsia"/>
        </w:rPr>
        <w:t>万元，截至本回复出具日回款金额合计为</w:t>
      </w:r>
      <w:r>
        <w:rPr>
          <w:rFonts w:ascii="Times New Roman" w:hAnsi="Times New Roman" w:cs="Times New Roman"/>
        </w:rPr>
        <w:t>589.73</w:t>
      </w:r>
      <w:r>
        <w:rPr>
          <w:rFonts w:ascii="Times New Roman" w:hAnsi="Times New Roman" w:cs="Times New Roman" w:hint="eastAsia"/>
        </w:rPr>
        <w:t>万元。由上表可见，标的公司大部分应收账款客户完成验收并确认收入的时间段在</w:t>
      </w:r>
      <w:r>
        <w:rPr>
          <w:rFonts w:ascii="Times New Roman" w:hAnsi="Times New Roman" w:cs="Times New Roman"/>
        </w:rPr>
        <w:t>2020</w:t>
      </w:r>
      <w:r>
        <w:rPr>
          <w:rFonts w:ascii="Times New Roman" w:hAnsi="Times New Roman" w:cs="Times New Roman" w:hint="eastAsia"/>
        </w:rPr>
        <w:t>年三、四季度，账龄均为</w:t>
      </w:r>
      <w:r>
        <w:rPr>
          <w:rFonts w:ascii="Times New Roman" w:hAnsi="Times New Roman" w:cs="Times New Roman"/>
        </w:rPr>
        <w:t>6</w:t>
      </w:r>
      <w:r>
        <w:rPr>
          <w:rFonts w:ascii="Times New Roman" w:hAnsi="Times New Roman" w:cs="Times New Roman" w:hint="eastAsia"/>
        </w:rPr>
        <w:t>个月以内；青岛胶南海尔洗衣机有限公司应收账款由多个项目构成，已于</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1</w:t>
      </w:r>
      <w:r>
        <w:rPr>
          <w:rFonts w:ascii="Times New Roman" w:hAnsi="Times New Roman" w:cs="Times New Roman" w:hint="eastAsia"/>
        </w:rPr>
        <w:t>月回款</w:t>
      </w:r>
      <w:r>
        <w:rPr>
          <w:rFonts w:ascii="Times New Roman" w:hAnsi="Times New Roman" w:cs="Times New Roman"/>
        </w:rPr>
        <w:t>241.67</w:t>
      </w:r>
      <w:r>
        <w:rPr>
          <w:rFonts w:ascii="Times New Roman" w:hAnsi="Times New Roman" w:cs="Times New Roman" w:hint="eastAsia"/>
        </w:rPr>
        <w:t>万元，预计将于</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6</w:t>
      </w:r>
      <w:r>
        <w:rPr>
          <w:rFonts w:ascii="Times New Roman" w:hAnsi="Times New Roman" w:cs="Times New Roman" w:hint="eastAsia"/>
        </w:rPr>
        <w:t>月增加回款</w:t>
      </w:r>
      <w:r>
        <w:rPr>
          <w:rFonts w:ascii="Times New Roman" w:hAnsi="Times New Roman" w:cs="Times New Roman"/>
        </w:rPr>
        <w:t>87.6</w:t>
      </w:r>
      <w:r>
        <w:rPr>
          <w:rFonts w:ascii="Times New Roman" w:hAnsi="Times New Roman" w:cs="Times New Roman" w:hint="eastAsia"/>
        </w:rPr>
        <w:t>万元，其余款项将在</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10</w:t>
      </w:r>
      <w:r>
        <w:rPr>
          <w:rFonts w:ascii="Times New Roman" w:hAnsi="Times New Roman" w:cs="Times New Roman" w:hint="eastAsia"/>
        </w:rPr>
        <w:t>月前回款完毕；除项目验收款外，由于青岛海尔机器人有限公司、澳柯玛股份有限公司制造分公司、青岛海尔智慧电器设备有限公司与北洋天青就多个项目进行合作，针对这些客户的应收账款中还包含部分其他项目的质保金。</w:t>
      </w:r>
    </w:p>
    <w:p w14:paraId="17E14B28"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综上所述，北洋天青截至本回复出具日回款状况良好，暂无较大金额的逾期应收账款。</w:t>
      </w:r>
    </w:p>
    <w:p w14:paraId="390CF534"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四、北洋天青应收账款水平较高的原因</w:t>
      </w:r>
    </w:p>
    <w:p w14:paraId="4127A428"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报告期各期末，标的公司的应收账款余额分别为</w:t>
      </w:r>
      <w:r>
        <w:rPr>
          <w:rFonts w:ascii="Times New Roman" w:hAnsi="Times New Roman" w:cs="Times New Roman"/>
          <w:color w:val="000000"/>
          <w:lang w:val="en-GB"/>
        </w:rPr>
        <w:t>1,422.65</w:t>
      </w:r>
      <w:r>
        <w:rPr>
          <w:rFonts w:ascii="Times New Roman" w:hAnsi="Times New Roman" w:cs="Times New Roman" w:hint="eastAsia"/>
          <w:color w:val="000000"/>
          <w:lang w:val="en-GB"/>
        </w:rPr>
        <w:t>万元、</w:t>
      </w:r>
      <w:r>
        <w:rPr>
          <w:rFonts w:ascii="Times New Roman" w:hAnsi="Times New Roman" w:cs="Times New Roman"/>
          <w:color w:val="000000"/>
          <w:lang w:val="en-GB"/>
        </w:rPr>
        <w:t>3,126.26</w:t>
      </w:r>
      <w:r>
        <w:rPr>
          <w:rFonts w:ascii="Times New Roman" w:hAnsi="Times New Roman" w:cs="Times New Roman" w:hint="eastAsia"/>
          <w:color w:val="000000"/>
          <w:lang w:val="en-GB"/>
        </w:rPr>
        <w:t>万元和</w:t>
      </w:r>
      <w:r>
        <w:rPr>
          <w:rFonts w:ascii="Times New Roman" w:hAnsi="Times New Roman" w:cs="Times New Roman"/>
          <w:color w:val="000000"/>
          <w:lang w:val="en-GB"/>
        </w:rPr>
        <w:t>4,</w:t>
      </w:r>
      <w:r>
        <w:rPr>
          <w:rFonts w:ascii="Times New Roman" w:hAnsi="Times New Roman" w:cs="Times New Roman"/>
          <w:color w:val="000000"/>
        </w:rPr>
        <w:t>745.91</w:t>
      </w:r>
      <w:r>
        <w:rPr>
          <w:rFonts w:ascii="Times New Roman" w:hAnsi="Times New Roman" w:cs="Times New Roman" w:hint="eastAsia"/>
          <w:color w:val="000000"/>
          <w:lang w:val="en-GB"/>
        </w:rPr>
        <w:t>万元，占总资产的比例分别为</w:t>
      </w:r>
      <w:r>
        <w:rPr>
          <w:rFonts w:ascii="Times New Roman" w:hAnsi="Times New Roman" w:cs="Times New Roman"/>
          <w:color w:val="000000"/>
          <w:lang w:val="en-GB"/>
        </w:rPr>
        <w:t>18.14%</w:t>
      </w:r>
      <w:r>
        <w:rPr>
          <w:rFonts w:ascii="Times New Roman" w:hAnsi="Times New Roman" w:cs="Times New Roman" w:hint="eastAsia"/>
          <w:color w:val="000000"/>
          <w:lang w:val="en-GB"/>
        </w:rPr>
        <w:t>、</w:t>
      </w:r>
      <w:r>
        <w:rPr>
          <w:rFonts w:ascii="Times New Roman" w:hAnsi="Times New Roman" w:cs="Times New Roman"/>
          <w:color w:val="000000"/>
          <w:lang w:val="en-GB"/>
        </w:rPr>
        <w:t>32.79%</w:t>
      </w:r>
      <w:r>
        <w:rPr>
          <w:rFonts w:ascii="Times New Roman" w:hAnsi="Times New Roman" w:cs="Times New Roman" w:hint="eastAsia"/>
          <w:color w:val="000000"/>
          <w:lang w:val="en-GB"/>
        </w:rPr>
        <w:t>和</w:t>
      </w:r>
      <w:r>
        <w:rPr>
          <w:rFonts w:ascii="Times New Roman" w:hAnsi="Times New Roman" w:cs="Times New Roman"/>
          <w:color w:val="000000"/>
          <w:lang w:val="en-GB"/>
        </w:rPr>
        <w:t>17.49%</w:t>
      </w:r>
      <w:r>
        <w:rPr>
          <w:rFonts w:ascii="Times New Roman" w:hAnsi="Times New Roman" w:cs="Times New Roman" w:hint="eastAsia"/>
          <w:color w:val="000000"/>
          <w:lang w:val="en-GB"/>
        </w:rPr>
        <w:t>。</w:t>
      </w:r>
      <w:r>
        <w:rPr>
          <w:rFonts w:ascii="Times New Roman" w:hAnsi="Times New Roman" w:cs="Times New Roman"/>
          <w:color w:val="000000"/>
          <w:lang w:val="en-GB"/>
        </w:rPr>
        <w:t>2019</w:t>
      </w:r>
      <w:r>
        <w:rPr>
          <w:rFonts w:ascii="Times New Roman" w:hAnsi="Times New Roman" w:cs="Times New Roman" w:hint="eastAsia"/>
          <w:color w:val="000000"/>
          <w:lang w:val="en-GB"/>
        </w:rPr>
        <w:t>年标的公司应收账款相较于</w:t>
      </w:r>
      <w:r>
        <w:rPr>
          <w:rFonts w:ascii="Times New Roman" w:hAnsi="Times New Roman" w:cs="Times New Roman"/>
          <w:color w:val="000000"/>
          <w:lang w:val="en-GB"/>
        </w:rPr>
        <w:t>2018</w:t>
      </w:r>
      <w:r>
        <w:rPr>
          <w:rFonts w:ascii="Times New Roman" w:hAnsi="Times New Roman" w:cs="Times New Roman" w:hint="eastAsia"/>
          <w:color w:val="000000"/>
          <w:lang w:val="en-GB"/>
        </w:rPr>
        <w:t>年大幅增加</w:t>
      </w:r>
      <w:r>
        <w:rPr>
          <w:rFonts w:ascii="Times New Roman" w:hAnsi="Times New Roman" w:cs="Times New Roman"/>
          <w:color w:val="000000"/>
          <w:lang w:val="en-GB"/>
        </w:rPr>
        <w:t>119.75%</w:t>
      </w:r>
      <w:r>
        <w:rPr>
          <w:rFonts w:ascii="Times New Roman" w:hAnsi="Times New Roman" w:cs="Times New Roman" w:hint="eastAsia"/>
          <w:color w:val="000000"/>
          <w:lang w:val="en-GB"/>
        </w:rPr>
        <w:t>，主要系标的公司经营状况良好，业务规模持续扩大，营业收入持续上升，从而导致应收账款规模相应增长所致。</w:t>
      </w:r>
      <w:r>
        <w:rPr>
          <w:rFonts w:ascii="Times New Roman" w:hAnsi="Times New Roman" w:cs="Times New Roman"/>
          <w:color w:val="000000"/>
          <w:lang w:val="en-GB"/>
        </w:rPr>
        <w:t>2020</w:t>
      </w:r>
      <w:r>
        <w:rPr>
          <w:rFonts w:ascii="Times New Roman" w:hAnsi="Times New Roman" w:cs="Times New Roman" w:hint="eastAsia"/>
          <w:color w:val="000000"/>
          <w:lang w:val="en-GB"/>
        </w:rPr>
        <w:t>年末，标的公司应收账款相较于</w:t>
      </w:r>
      <w:r>
        <w:rPr>
          <w:rFonts w:ascii="Times New Roman" w:hAnsi="Times New Roman" w:cs="Times New Roman"/>
          <w:color w:val="000000"/>
          <w:lang w:val="en-GB"/>
        </w:rPr>
        <w:t>2019</w:t>
      </w:r>
      <w:r>
        <w:rPr>
          <w:rFonts w:ascii="Times New Roman" w:hAnsi="Times New Roman" w:cs="Times New Roman" w:hint="eastAsia"/>
          <w:color w:val="000000"/>
          <w:lang w:val="en-GB"/>
        </w:rPr>
        <w:t>年末增加</w:t>
      </w:r>
      <w:r>
        <w:rPr>
          <w:rFonts w:ascii="Times New Roman" w:hAnsi="Times New Roman" w:cs="Times New Roman"/>
          <w:color w:val="000000"/>
          <w:lang w:val="en-GB"/>
        </w:rPr>
        <w:t>5</w:t>
      </w:r>
      <w:r>
        <w:rPr>
          <w:rFonts w:ascii="Times New Roman" w:hAnsi="Times New Roman" w:cs="Times New Roman"/>
          <w:color w:val="000000"/>
        </w:rPr>
        <w:t>1.81</w:t>
      </w:r>
      <w:r>
        <w:rPr>
          <w:rFonts w:ascii="Times New Roman" w:hAnsi="Times New Roman" w:cs="Times New Roman"/>
          <w:color w:val="000000"/>
          <w:lang w:val="en-GB"/>
        </w:rPr>
        <w:t>%</w:t>
      </w:r>
      <w:r>
        <w:rPr>
          <w:rFonts w:ascii="Times New Roman" w:hAnsi="Times New Roman" w:cs="Times New Roman" w:hint="eastAsia"/>
          <w:color w:val="000000"/>
          <w:lang w:val="en-GB"/>
        </w:rPr>
        <w:t>，主要系受疫情影响，客户回款较慢所致。</w:t>
      </w:r>
    </w:p>
    <w:p w14:paraId="28D16B53"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各期末，标的公司无单项金额重大并单项计提坏账准备的应收账款，无单项金额不重大但单项计提坏账准备的应收账款，应收账款全部为按账龄分析组合计提坏账准备的应收账款，标的公司的应收账款余额分类情况如下所示：</w:t>
      </w:r>
    </w:p>
    <w:p w14:paraId="050F0BFF"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87"/>
        <w:gridCol w:w="1018"/>
        <w:gridCol w:w="1134"/>
        <w:gridCol w:w="1276"/>
        <w:gridCol w:w="1659"/>
        <w:gridCol w:w="1288"/>
      </w:tblGrid>
      <w:tr w:rsidR="000A0ACD" w14:paraId="7C7C3A16" w14:textId="77777777">
        <w:trPr>
          <w:cantSplit/>
          <w:trHeight w:val="397"/>
          <w:tblHeader/>
        </w:trPr>
        <w:tc>
          <w:tcPr>
            <w:tcW w:w="1188" w:type="pct"/>
            <w:vMerge w:val="restart"/>
            <w:tcMar>
              <w:left w:w="28" w:type="dxa"/>
              <w:right w:w="28" w:type="dxa"/>
            </w:tcMar>
            <w:vAlign w:val="center"/>
          </w:tcPr>
          <w:p w14:paraId="2D4BFBFF" w14:textId="77777777" w:rsidR="000A0ACD" w:rsidRDefault="00362A99">
            <w:pPr>
              <w:spacing w:line="360" w:lineRule="exact"/>
              <w:jc w:val="center"/>
              <w:rPr>
                <w:rFonts w:ascii="Times New Roman" w:hAnsi="Times New Roman" w:cs="Times New Roman"/>
                <w:b/>
                <w:sz w:val="21"/>
                <w:szCs w:val="21"/>
              </w:rPr>
            </w:pPr>
            <w:bookmarkStart w:id="97" w:name="OLE_LINK1"/>
            <w:r>
              <w:rPr>
                <w:rFonts w:ascii="Times New Roman" w:hAnsi="Times New Roman" w:cs="Times New Roman" w:hint="eastAsia"/>
                <w:b/>
                <w:sz w:val="21"/>
                <w:szCs w:val="21"/>
              </w:rPr>
              <w:t>类别</w:t>
            </w:r>
          </w:p>
        </w:tc>
        <w:tc>
          <w:tcPr>
            <w:tcW w:w="3812" w:type="pct"/>
            <w:gridSpan w:val="5"/>
            <w:tcMar>
              <w:left w:w="28" w:type="dxa"/>
              <w:right w:w="28" w:type="dxa"/>
            </w:tcMar>
            <w:vAlign w:val="center"/>
          </w:tcPr>
          <w:p w14:paraId="570F2E9E"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color w:val="000000"/>
                <w:sz w:val="21"/>
                <w:szCs w:val="21"/>
              </w:rPr>
              <w:t>2020</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12</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31</w:t>
            </w:r>
            <w:r>
              <w:rPr>
                <w:rFonts w:ascii="Times New Roman" w:hAnsi="Times New Roman" w:cs="Times New Roman" w:hint="eastAsia"/>
                <w:b/>
                <w:color w:val="000000"/>
                <w:sz w:val="21"/>
                <w:szCs w:val="21"/>
              </w:rPr>
              <w:t>日</w:t>
            </w:r>
          </w:p>
        </w:tc>
      </w:tr>
      <w:tr w:rsidR="000A0ACD" w14:paraId="15087869" w14:textId="77777777">
        <w:trPr>
          <w:cantSplit/>
          <w:trHeight w:val="397"/>
          <w:tblHeader/>
        </w:trPr>
        <w:tc>
          <w:tcPr>
            <w:tcW w:w="1188" w:type="pct"/>
            <w:vMerge/>
            <w:tcMar>
              <w:left w:w="28" w:type="dxa"/>
              <w:right w:w="28" w:type="dxa"/>
            </w:tcMar>
            <w:vAlign w:val="center"/>
          </w:tcPr>
          <w:p w14:paraId="44CD6444" w14:textId="77777777" w:rsidR="000A0ACD" w:rsidRDefault="000A0ACD">
            <w:pPr>
              <w:spacing w:line="360" w:lineRule="exact"/>
              <w:jc w:val="center"/>
              <w:rPr>
                <w:rFonts w:ascii="Times New Roman" w:hAnsi="Times New Roman" w:cs="Times New Roman"/>
                <w:b/>
                <w:sz w:val="21"/>
                <w:szCs w:val="21"/>
              </w:rPr>
            </w:pPr>
          </w:p>
        </w:tc>
        <w:tc>
          <w:tcPr>
            <w:tcW w:w="1287" w:type="pct"/>
            <w:gridSpan w:val="2"/>
            <w:tcMar>
              <w:left w:w="28" w:type="dxa"/>
              <w:right w:w="28" w:type="dxa"/>
            </w:tcMar>
            <w:vAlign w:val="center"/>
          </w:tcPr>
          <w:p w14:paraId="168C4B5D"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账面余额</w:t>
            </w:r>
          </w:p>
        </w:tc>
        <w:tc>
          <w:tcPr>
            <w:tcW w:w="1755" w:type="pct"/>
            <w:gridSpan w:val="2"/>
            <w:tcMar>
              <w:left w:w="28" w:type="dxa"/>
              <w:right w:w="28" w:type="dxa"/>
            </w:tcMar>
            <w:vAlign w:val="center"/>
          </w:tcPr>
          <w:p w14:paraId="1F33ED47"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坏账准备</w:t>
            </w:r>
          </w:p>
        </w:tc>
        <w:tc>
          <w:tcPr>
            <w:tcW w:w="770" w:type="pct"/>
            <w:vMerge w:val="restart"/>
            <w:tcMar>
              <w:left w:w="28" w:type="dxa"/>
              <w:right w:w="28" w:type="dxa"/>
            </w:tcMar>
            <w:vAlign w:val="center"/>
          </w:tcPr>
          <w:p w14:paraId="26228301"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账面价值</w:t>
            </w:r>
          </w:p>
        </w:tc>
      </w:tr>
      <w:tr w:rsidR="000A0ACD" w14:paraId="255D5073" w14:textId="77777777">
        <w:trPr>
          <w:cantSplit/>
          <w:trHeight w:val="397"/>
          <w:tblHeader/>
        </w:trPr>
        <w:tc>
          <w:tcPr>
            <w:tcW w:w="1188" w:type="pct"/>
            <w:vMerge/>
            <w:tcMar>
              <w:left w:w="28" w:type="dxa"/>
              <w:right w:w="28" w:type="dxa"/>
            </w:tcMar>
            <w:vAlign w:val="center"/>
          </w:tcPr>
          <w:p w14:paraId="01000CB8" w14:textId="77777777" w:rsidR="000A0ACD" w:rsidRDefault="000A0ACD">
            <w:pPr>
              <w:spacing w:line="360" w:lineRule="exact"/>
              <w:jc w:val="center"/>
              <w:rPr>
                <w:rFonts w:ascii="Times New Roman" w:hAnsi="Times New Roman" w:cs="Times New Roman"/>
                <w:b/>
                <w:sz w:val="21"/>
                <w:szCs w:val="21"/>
              </w:rPr>
            </w:pPr>
          </w:p>
        </w:tc>
        <w:tc>
          <w:tcPr>
            <w:tcW w:w="609" w:type="pct"/>
            <w:tcMar>
              <w:left w:w="28" w:type="dxa"/>
              <w:right w:w="28" w:type="dxa"/>
            </w:tcMar>
            <w:vAlign w:val="center"/>
          </w:tcPr>
          <w:p w14:paraId="79F4A7A3"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金额</w:t>
            </w:r>
          </w:p>
        </w:tc>
        <w:tc>
          <w:tcPr>
            <w:tcW w:w="678" w:type="pct"/>
            <w:tcMar>
              <w:left w:w="28" w:type="dxa"/>
              <w:right w:w="28" w:type="dxa"/>
            </w:tcMar>
            <w:vAlign w:val="center"/>
          </w:tcPr>
          <w:p w14:paraId="39D00C48"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比例（</w:t>
            </w:r>
            <w:r>
              <w:rPr>
                <w:rFonts w:ascii="Times New Roman" w:hAnsi="Times New Roman" w:cs="Times New Roman" w:hint="eastAsia"/>
                <w:b/>
                <w:sz w:val="21"/>
                <w:szCs w:val="21"/>
              </w:rPr>
              <w:t>%</w:t>
            </w:r>
            <w:r>
              <w:rPr>
                <w:rFonts w:ascii="Times New Roman" w:hAnsi="Times New Roman" w:cs="Times New Roman" w:hint="eastAsia"/>
                <w:b/>
                <w:sz w:val="21"/>
                <w:szCs w:val="21"/>
              </w:rPr>
              <w:t>）</w:t>
            </w:r>
          </w:p>
        </w:tc>
        <w:tc>
          <w:tcPr>
            <w:tcW w:w="763" w:type="pct"/>
            <w:tcMar>
              <w:left w:w="28" w:type="dxa"/>
              <w:right w:w="28" w:type="dxa"/>
            </w:tcMar>
            <w:vAlign w:val="center"/>
          </w:tcPr>
          <w:p w14:paraId="7D73F31B"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金额</w:t>
            </w:r>
          </w:p>
        </w:tc>
        <w:tc>
          <w:tcPr>
            <w:tcW w:w="992" w:type="pct"/>
            <w:tcMar>
              <w:left w:w="28" w:type="dxa"/>
              <w:right w:w="28" w:type="dxa"/>
            </w:tcMar>
            <w:vAlign w:val="center"/>
          </w:tcPr>
          <w:p w14:paraId="6442418D"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计提比例（</w:t>
            </w:r>
            <w:r>
              <w:rPr>
                <w:rFonts w:ascii="Times New Roman" w:hAnsi="Times New Roman" w:cs="Times New Roman" w:hint="eastAsia"/>
                <w:b/>
                <w:sz w:val="21"/>
                <w:szCs w:val="21"/>
              </w:rPr>
              <w:t>%</w:t>
            </w:r>
            <w:r>
              <w:rPr>
                <w:rFonts w:ascii="Times New Roman" w:hAnsi="Times New Roman" w:cs="Times New Roman" w:hint="eastAsia"/>
                <w:b/>
                <w:sz w:val="21"/>
                <w:szCs w:val="21"/>
              </w:rPr>
              <w:t>）</w:t>
            </w:r>
          </w:p>
        </w:tc>
        <w:tc>
          <w:tcPr>
            <w:tcW w:w="770" w:type="pct"/>
            <w:vMerge/>
            <w:tcMar>
              <w:left w:w="28" w:type="dxa"/>
              <w:right w:w="28" w:type="dxa"/>
            </w:tcMar>
            <w:vAlign w:val="center"/>
          </w:tcPr>
          <w:p w14:paraId="5CD9AA0B" w14:textId="77777777" w:rsidR="000A0ACD" w:rsidRDefault="000A0ACD">
            <w:pPr>
              <w:spacing w:line="360" w:lineRule="exact"/>
              <w:jc w:val="center"/>
              <w:rPr>
                <w:rFonts w:ascii="Times New Roman" w:hAnsi="Times New Roman" w:cs="Times New Roman"/>
                <w:b/>
                <w:sz w:val="21"/>
                <w:szCs w:val="21"/>
              </w:rPr>
            </w:pPr>
          </w:p>
        </w:tc>
      </w:tr>
      <w:tr w:rsidR="000A0ACD" w14:paraId="0FD855F8" w14:textId="77777777">
        <w:trPr>
          <w:cantSplit/>
          <w:trHeight w:val="397"/>
        </w:trPr>
        <w:tc>
          <w:tcPr>
            <w:tcW w:w="1188" w:type="pct"/>
            <w:tcMar>
              <w:left w:w="28" w:type="dxa"/>
              <w:right w:w="28" w:type="dxa"/>
            </w:tcMar>
            <w:vAlign w:val="center"/>
          </w:tcPr>
          <w:p w14:paraId="07E40733" w14:textId="77777777" w:rsidR="000A0ACD" w:rsidRDefault="00362A99">
            <w:pPr>
              <w:spacing w:line="360" w:lineRule="exact"/>
              <w:rPr>
                <w:rFonts w:ascii="Times New Roman" w:hAnsi="Times New Roman" w:cs="Times New Roman"/>
                <w:b/>
                <w:sz w:val="21"/>
                <w:szCs w:val="21"/>
              </w:rPr>
            </w:pPr>
            <w:r>
              <w:rPr>
                <w:rFonts w:ascii="Times New Roman" w:hAnsi="Times New Roman" w:cs="Times New Roman" w:hint="eastAsia"/>
                <w:sz w:val="21"/>
                <w:szCs w:val="21"/>
              </w:rPr>
              <w:t>按组合计提坏账准备</w:t>
            </w:r>
          </w:p>
        </w:tc>
        <w:tc>
          <w:tcPr>
            <w:tcW w:w="609" w:type="pct"/>
            <w:tcMar>
              <w:left w:w="28" w:type="dxa"/>
              <w:right w:w="28" w:type="dxa"/>
            </w:tcMar>
            <w:vAlign w:val="center"/>
          </w:tcPr>
          <w:p w14:paraId="51F4E493" w14:textId="77777777" w:rsidR="000A0ACD" w:rsidRDefault="00362A99">
            <w:pPr>
              <w:spacing w:line="360" w:lineRule="exact"/>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5,039.19</w:t>
            </w:r>
          </w:p>
        </w:tc>
        <w:tc>
          <w:tcPr>
            <w:tcW w:w="678" w:type="pct"/>
            <w:tcMar>
              <w:left w:w="28" w:type="dxa"/>
              <w:right w:w="28" w:type="dxa"/>
            </w:tcMar>
            <w:vAlign w:val="center"/>
          </w:tcPr>
          <w:p w14:paraId="3AF1CC52" w14:textId="77777777" w:rsidR="000A0ACD" w:rsidRDefault="00362A99">
            <w:pPr>
              <w:spacing w:line="360" w:lineRule="exact"/>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100.00</w:t>
            </w:r>
          </w:p>
        </w:tc>
        <w:tc>
          <w:tcPr>
            <w:tcW w:w="763" w:type="pct"/>
            <w:tcMar>
              <w:left w:w="28" w:type="dxa"/>
              <w:right w:w="28" w:type="dxa"/>
            </w:tcMar>
            <w:vAlign w:val="center"/>
          </w:tcPr>
          <w:p w14:paraId="6938355C" w14:textId="77777777" w:rsidR="000A0ACD" w:rsidRDefault="00362A99">
            <w:pPr>
              <w:spacing w:line="360" w:lineRule="exact"/>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293.28</w:t>
            </w:r>
          </w:p>
        </w:tc>
        <w:tc>
          <w:tcPr>
            <w:tcW w:w="992" w:type="pct"/>
            <w:tcMar>
              <w:left w:w="28" w:type="dxa"/>
              <w:right w:w="28" w:type="dxa"/>
            </w:tcMar>
            <w:vAlign w:val="center"/>
          </w:tcPr>
          <w:p w14:paraId="2C6406E1" w14:textId="77777777" w:rsidR="000A0ACD" w:rsidRDefault="00362A99">
            <w:pPr>
              <w:spacing w:line="360" w:lineRule="exact"/>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5.82</w:t>
            </w:r>
          </w:p>
        </w:tc>
        <w:tc>
          <w:tcPr>
            <w:tcW w:w="770" w:type="pct"/>
            <w:tcMar>
              <w:left w:w="28" w:type="dxa"/>
              <w:right w:w="28" w:type="dxa"/>
            </w:tcMar>
            <w:vAlign w:val="center"/>
          </w:tcPr>
          <w:p w14:paraId="1468B444" w14:textId="77777777" w:rsidR="000A0ACD" w:rsidRDefault="00362A99">
            <w:pPr>
              <w:spacing w:line="360" w:lineRule="exact"/>
              <w:jc w:val="right"/>
              <w:rPr>
                <w:rFonts w:ascii="Times New Roman" w:eastAsia="等线" w:hAnsi="Times New Roman" w:cs="Times New Roman"/>
                <w:color w:val="000000"/>
                <w:spacing w:val="-10"/>
                <w:sz w:val="21"/>
                <w:szCs w:val="21"/>
              </w:rPr>
            </w:pPr>
            <w:r>
              <w:rPr>
                <w:rFonts w:ascii="Times New Roman" w:eastAsia="等线" w:hAnsi="Times New Roman" w:cs="Times New Roman"/>
                <w:color w:val="000000"/>
                <w:sz w:val="21"/>
                <w:szCs w:val="21"/>
              </w:rPr>
              <w:t>4,745.91</w:t>
            </w:r>
          </w:p>
        </w:tc>
      </w:tr>
      <w:bookmarkEnd w:id="97"/>
      <w:tr w:rsidR="000A0ACD" w14:paraId="228E39E2" w14:textId="77777777">
        <w:trPr>
          <w:cantSplit/>
          <w:trHeight w:val="397"/>
          <w:tblHeader/>
        </w:trPr>
        <w:tc>
          <w:tcPr>
            <w:tcW w:w="1188" w:type="pct"/>
            <w:vMerge w:val="restart"/>
            <w:tcMar>
              <w:left w:w="28" w:type="dxa"/>
              <w:right w:w="28" w:type="dxa"/>
            </w:tcMar>
            <w:vAlign w:val="center"/>
          </w:tcPr>
          <w:p w14:paraId="7966C695"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类别</w:t>
            </w:r>
          </w:p>
        </w:tc>
        <w:tc>
          <w:tcPr>
            <w:tcW w:w="3812" w:type="pct"/>
            <w:gridSpan w:val="5"/>
            <w:tcMar>
              <w:left w:w="28" w:type="dxa"/>
              <w:right w:w="28" w:type="dxa"/>
            </w:tcMar>
          </w:tcPr>
          <w:p w14:paraId="76DD4ADF" w14:textId="77777777" w:rsidR="000A0ACD" w:rsidRDefault="00362A99">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2019</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12</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31</w:t>
            </w:r>
            <w:r>
              <w:rPr>
                <w:rFonts w:ascii="Times New Roman" w:hAnsi="Times New Roman" w:cs="Times New Roman" w:hint="eastAsia"/>
                <w:b/>
                <w:color w:val="000000"/>
                <w:sz w:val="21"/>
                <w:szCs w:val="21"/>
              </w:rPr>
              <w:t>日</w:t>
            </w:r>
          </w:p>
        </w:tc>
      </w:tr>
      <w:tr w:rsidR="000A0ACD" w14:paraId="5DC13E6E" w14:textId="77777777">
        <w:trPr>
          <w:cantSplit/>
          <w:trHeight w:val="397"/>
          <w:tblHeader/>
        </w:trPr>
        <w:tc>
          <w:tcPr>
            <w:tcW w:w="1188" w:type="pct"/>
            <w:vMerge/>
            <w:tcMar>
              <w:left w:w="28" w:type="dxa"/>
              <w:right w:w="28" w:type="dxa"/>
            </w:tcMar>
            <w:vAlign w:val="center"/>
          </w:tcPr>
          <w:p w14:paraId="454F6A18" w14:textId="77777777" w:rsidR="000A0ACD" w:rsidRDefault="000A0ACD">
            <w:pPr>
              <w:spacing w:line="360" w:lineRule="exact"/>
              <w:jc w:val="center"/>
              <w:rPr>
                <w:rFonts w:ascii="Times New Roman" w:hAnsi="Times New Roman" w:cs="Times New Roman"/>
                <w:b/>
                <w:sz w:val="21"/>
                <w:szCs w:val="21"/>
              </w:rPr>
            </w:pPr>
          </w:p>
        </w:tc>
        <w:tc>
          <w:tcPr>
            <w:tcW w:w="1287" w:type="pct"/>
            <w:gridSpan w:val="2"/>
            <w:tcMar>
              <w:left w:w="28" w:type="dxa"/>
              <w:right w:w="28" w:type="dxa"/>
            </w:tcMar>
          </w:tcPr>
          <w:p w14:paraId="12A5F024" w14:textId="77777777" w:rsidR="000A0ACD" w:rsidRDefault="00362A99">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账面余额</w:t>
            </w:r>
          </w:p>
        </w:tc>
        <w:tc>
          <w:tcPr>
            <w:tcW w:w="1755" w:type="pct"/>
            <w:gridSpan w:val="2"/>
            <w:tcMar>
              <w:left w:w="28" w:type="dxa"/>
              <w:right w:w="28" w:type="dxa"/>
            </w:tcMar>
          </w:tcPr>
          <w:p w14:paraId="02FA4B41" w14:textId="77777777" w:rsidR="000A0ACD" w:rsidRDefault="00362A99">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坏账准备</w:t>
            </w:r>
          </w:p>
        </w:tc>
        <w:tc>
          <w:tcPr>
            <w:tcW w:w="770" w:type="pct"/>
            <w:vMerge w:val="restart"/>
            <w:tcMar>
              <w:left w:w="28" w:type="dxa"/>
              <w:right w:w="28" w:type="dxa"/>
            </w:tcMar>
            <w:vAlign w:val="center"/>
          </w:tcPr>
          <w:p w14:paraId="5725BC9A" w14:textId="77777777" w:rsidR="000A0ACD" w:rsidRDefault="00362A99">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账面价值</w:t>
            </w:r>
          </w:p>
        </w:tc>
      </w:tr>
      <w:tr w:rsidR="000A0ACD" w14:paraId="08D0226B" w14:textId="77777777">
        <w:trPr>
          <w:cantSplit/>
          <w:trHeight w:val="397"/>
          <w:tblHeader/>
        </w:trPr>
        <w:tc>
          <w:tcPr>
            <w:tcW w:w="1188" w:type="pct"/>
            <w:vMerge/>
            <w:tcMar>
              <w:left w:w="28" w:type="dxa"/>
              <w:right w:w="28" w:type="dxa"/>
            </w:tcMar>
            <w:vAlign w:val="center"/>
          </w:tcPr>
          <w:p w14:paraId="5984F4AD" w14:textId="77777777" w:rsidR="000A0ACD" w:rsidRDefault="000A0ACD">
            <w:pPr>
              <w:spacing w:line="360" w:lineRule="exact"/>
              <w:jc w:val="center"/>
              <w:rPr>
                <w:rFonts w:ascii="Times New Roman" w:hAnsi="Times New Roman" w:cs="Times New Roman"/>
                <w:b/>
                <w:sz w:val="21"/>
                <w:szCs w:val="21"/>
              </w:rPr>
            </w:pPr>
          </w:p>
        </w:tc>
        <w:tc>
          <w:tcPr>
            <w:tcW w:w="609" w:type="pct"/>
            <w:tcMar>
              <w:left w:w="28" w:type="dxa"/>
              <w:right w:w="28" w:type="dxa"/>
            </w:tcMar>
            <w:vAlign w:val="center"/>
          </w:tcPr>
          <w:p w14:paraId="5CAB6E35" w14:textId="77777777" w:rsidR="000A0ACD" w:rsidRDefault="00362A99">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金额</w:t>
            </w:r>
          </w:p>
        </w:tc>
        <w:tc>
          <w:tcPr>
            <w:tcW w:w="678" w:type="pct"/>
            <w:tcMar>
              <w:left w:w="28" w:type="dxa"/>
              <w:right w:w="28" w:type="dxa"/>
            </w:tcMar>
            <w:vAlign w:val="center"/>
          </w:tcPr>
          <w:p w14:paraId="37AFCD88" w14:textId="77777777" w:rsidR="000A0ACD" w:rsidRDefault="00362A99">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比例</w:t>
            </w:r>
            <w:r>
              <w:rPr>
                <w:rFonts w:ascii="Times New Roman" w:hAnsi="Times New Roman" w:cs="Times New Roman" w:hint="eastAsia"/>
                <w:b/>
                <w:sz w:val="21"/>
                <w:szCs w:val="21"/>
              </w:rPr>
              <w:t>（</w:t>
            </w:r>
            <w:r>
              <w:rPr>
                <w:rFonts w:ascii="Times New Roman" w:hAnsi="Times New Roman" w:cs="Times New Roman" w:hint="eastAsia"/>
                <w:b/>
                <w:sz w:val="21"/>
                <w:szCs w:val="21"/>
              </w:rPr>
              <w:t>%</w:t>
            </w:r>
            <w:r>
              <w:rPr>
                <w:rFonts w:ascii="Times New Roman" w:hAnsi="Times New Roman" w:cs="Times New Roman" w:hint="eastAsia"/>
                <w:b/>
                <w:sz w:val="21"/>
                <w:szCs w:val="21"/>
              </w:rPr>
              <w:t>）</w:t>
            </w:r>
          </w:p>
        </w:tc>
        <w:tc>
          <w:tcPr>
            <w:tcW w:w="763" w:type="pct"/>
            <w:tcMar>
              <w:left w:w="28" w:type="dxa"/>
              <w:right w:w="28" w:type="dxa"/>
            </w:tcMar>
            <w:vAlign w:val="center"/>
          </w:tcPr>
          <w:p w14:paraId="6E6CB1EC" w14:textId="77777777" w:rsidR="000A0ACD" w:rsidRDefault="00362A99">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金额</w:t>
            </w:r>
          </w:p>
        </w:tc>
        <w:tc>
          <w:tcPr>
            <w:tcW w:w="992" w:type="pct"/>
            <w:tcMar>
              <w:left w:w="28" w:type="dxa"/>
              <w:right w:w="28" w:type="dxa"/>
            </w:tcMar>
            <w:vAlign w:val="center"/>
          </w:tcPr>
          <w:p w14:paraId="5AF28A91" w14:textId="77777777" w:rsidR="000A0ACD" w:rsidRDefault="00362A99">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计提比例</w:t>
            </w:r>
            <w:r>
              <w:rPr>
                <w:rFonts w:ascii="Times New Roman" w:hAnsi="Times New Roman" w:cs="Times New Roman" w:hint="eastAsia"/>
                <w:b/>
                <w:sz w:val="21"/>
                <w:szCs w:val="21"/>
              </w:rPr>
              <w:t>（</w:t>
            </w:r>
            <w:r>
              <w:rPr>
                <w:rFonts w:ascii="Times New Roman" w:hAnsi="Times New Roman" w:cs="Times New Roman" w:hint="eastAsia"/>
                <w:b/>
                <w:sz w:val="21"/>
                <w:szCs w:val="21"/>
              </w:rPr>
              <w:t>%</w:t>
            </w:r>
            <w:r>
              <w:rPr>
                <w:rFonts w:ascii="Times New Roman" w:hAnsi="Times New Roman" w:cs="Times New Roman" w:hint="eastAsia"/>
                <w:b/>
                <w:sz w:val="21"/>
                <w:szCs w:val="21"/>
              </w:rPr>
              <w:t>）</w:t>
            </w:r>
          </w:p>
        </w:tc>
        <w:tc>
          <w:tcPr>
            <w:tcW w:w="770" w:type="pct"/>
            <w:vMerge/>
            <w:tcMar>
              <w:left w:w="28" w:type="dxa"/>
              <w:right w:w="28" w:type="dxa"/>
            </w:tcMar>
          </w:tcPr>
          <w:p w14:paraId="25BAC2CE" w14:textId="77777777" w:rsidR="000A0ACD" w:rsidRDefault="000A0ACD">
            <w:pPr>
              <w:spacing w:line="360" w:lineRule="exact"/>
              <w:jc w:val="center"/>
              <w:rPr>
                <w:rFonts w:ascii="Times New Roman" w:hAnsi="Times New Roman" w:cs="Times New Roman"/>
                <w:b/>
                <w:color w:val="000000"/>
                <w:sz w:val="21"/>
                <w:szCs w:val="21"/>
              </w:rPr>
            </w:pPr>
          </w:p>
        </w:tc>
      </w:tr>
      <w:tr w:rsidR="000A0ACD" w14:paraId="3DDE2449" w14:textId="77777777">
        <w:trPr>
          <w:cantSplit/>
          <w:trHeight w:val="397"/>
        </w:trPr>
        <w:tc>
          <w:tcPr>
            <w:tcW w:w="1188" w:type="pct"/>
            <w:tcMar>
              <w:left w:w="28" w:type="dxa"/>
              <w:right w:w="28" w:type="dxa"/>
            </w:tcMar>
            <w:vAlign w:val="center"/>
          </w:tcPr>
          <w:p w14:paraId="33C52496" w14:textId="77777777" w:rsidR="000A0ACD" w:rsidRDefault="00362A99">
            <w:pPr>
              <w:spacing w:line="360" w:lineRule="exact"/>
              <w:rPr>
                <w:rFonts w:ascii="Times New Roman" w:hAnsi="Times New Roman" w:cs="Times New Roman"/>
                <w:b/>
                <w:sz w:val="21"/>
                <w:szCs w:val="21"/>
              </w:rPr>
            </w:pPr>
            <w:r>
              <w:rPr>
                <w:rFonts w:ascii="Times New Roman" w:hAnsi="Times New Roman" w:cs="Times New Roman" w:hint="eastAsia"/>
                <w:sz w:val="21"/>
                <w:szCs w:val="21"/>
              </w:rPr>
              <w:t>按组合计提坏账准备</w:t>
            </w:r>
          </w:p>
        </w:tc>
        <w:tc>
          <w:tcPr>
            <w:tcW w:w="609" w:type="pct"/>
            <w:tcMar>
              <w:left w:w="28" w:type="dxa"/>
              <w:right w:w="28" w:type="dxa"/>
            </w:tcMar>
            <w:vAlign w:val="center"/>
          </w:tcPr>
          <w:p w14:paraId="2D194D6F" w14:textId="77777777" w:rsidR="000A0ACD" w:rsidRDefault="00362A99">
            <w:pPr>
              <w:spacing w:line="360" w:lineRule="exact"/>
              <w:jc w:val="right"/>
              <w:rPr>
                <w:rFonts w:ascii="Times New Roman" w:hAnsi="Times New Roman" w:cs="Times New Roman"/>
                <w:b/>
                <w:color w:val="000000"/>
                <w:sz w:val="21"/>
                <w:szCs w:val="21"/>
              </w:rPr>
            </w:pPr>
            <w:r>
              <w:rPr>
                <w:rFonts w:ascii="Times New Roman" w:eastAsia="等线" w:hAnsi="Times New Roman" w:cs="Times New Roman"/>
                <w:sz w:val="21"/>
                <w:szCs w:val="21"/>
              </w:rPr>
              <w:t>3,219.58</w:t>
            </w:r>
          </w:p>
        </w:tc>
        <w:tc>
          <w:tcPr>
            <w:tcW w:w="678" w:type="pct"/>
            <w:tcMar>
              <w:left w:w="28" w:type="dxa"/>
              <w:right w:w="28" w:type="dxa"/>
            </w:tcMar>
            <w:vAlign w:val="center"/>
          </w:tcPr>
          <w:p w14:paraId="3EBC64FB" w14:textId="77777777" w:rsidR="000A0ACD" w:rsidRDefault="00362A99">
            <w:pPr>
              <w:spacing w:line="360" w:lineRule="exact"/>
              <w:jc w:val="right"/>
              <w:rPr>
                <w:rFonts w:ascii="Times New Roman" w:hAnsi="Times New Roman" w:cs="Times New Roman"/>
                <w:b/>
                <w:color w:val="000000"/>
                <w:sz w:val="21"/>
                <w:szCs w:val="21"/>
              </w:rPr>
            </w:pPr>
            <w:r>
              <w:rPr>
                <w:rFonts w:ascii="Times New Roman" w:eastAsia="等线" w:hAnsi="Times New Roman" w:cs="Times New Roman"/>
                <w:sz w:val="21"/>
                <w:szCs w:val="21"/>
              </w:rPr>
              <w:t>100.00</w:t>
            </w:r>
          </w:p>
        </w:tc>
        <w:tc>
          <w:tcPr>
            <w:tcW w:w="763" w:type="pct"/>
            <w:tcMar>
              <w:left w:w="28" w:type="dxa"/>
              <w:right w:w="28" w:type="dxa"/>
            </w:tcMar>
            <w:vAlign w:val="center"/>
          </w:tcPr>
          <w:p w14:paraId="5C7AB9DD" w14:textId="77777777" w:rsidR="000A0ACD" w:rsidRDefault="00362A99">
            <w:pPr>
              <w:spacing w:line="360" w:lineRule="exact"/>
              <w:jc w:val="right"/>
              <w:rPr>
                <w:rFonts w:ascii="Times New Roman" w:hAnsi="Times New Roman" w:cs="Times New Roman"/>
                <w:b/>
                <w:color w:val="000000"/>
                <w:sz w:val="21"/>
                <w:szCs w:val="21"/>
              </w:rPr>
            </w:pPr>
            <w:r>
              <w:rPr>
                <w:rFonts w:ascii="Times New Roman" w:eastAsia="等线" w:hAnsi="Times New Roman" w:cs="Times New Roman"/>
                <w:sz w:val="21"/>
                <w:szCs w:val="21"/>
              </w:rPr>
              <w:t>93.31</w:t>
            </w:r>
          </w:p>
        </w:tc>
        <w:tc>
          <w:tcPr>
            <w:tcW w:w="992" w:type="pct"/>
            <w:tcMar>
              <w:left w:w="28" w:type="dxa"/>
              <w:right w:w="28" w:type="dxa"/>
            </w:tcMar>
            <w:vAlign w:val="center"/>
          </w:tcPr>
          <w:p w14:paraId="6B393477" w14:textId="77777777" w:rsidR="000A0ACD" w:rsidRDefault="00362A99">
            <w:pPr>
              <w:spacing w:line="360" w:lineRule="exact"/>
              <w:jc w:val="right"/>
              <w:rPr>
                <w:rFonts w:ascii="Times New Roman" w:hAnsi="Times New Roman" w:cs="Times New Roman"/>
                <w:b/>
                <w:color w:val="000000"/>
                <w:sz w:val="21"/>
                <w:szCs w:val="21"/>
              </w:rPr>
            </w:pPr>
            <w:r>
              <w:rPr>
                <w:rFonts w:ascii="Times New Roman" w:eastAsia="等线" w:hAnsi="Times New Roman" w:cs="Times New Roman"/>
                <w:sz w:val="21"/>
                <w:szCs w:val="21"/>
              </w:rPr>
              <w:t>2.90</w:t>
            </w:r>
          </w:p>
        </w:tc>
        <w:tc>
          <w:tcPr>
            <w:tcW w:w="770" w:type="pct"/>
            <w:tcMar>
              <w:left w:w="28" w:type="dxa"/>
              <w:right w:w="28" w:type="dxa"/>
            </w:tcMar>
            <w:vAlign w:val="center"/>
          </w:tcPr>
          <w:p w14:paraId="0C9EA9A0" w14:textId="77777777" w:rsidR="000A0ACD" w:rsidRDefault="00362A99">
            <w:pPr>
              <w:spacing w:line="360" w:lineRule="exact"/>
              <w:jc w:val="right"/>
              <w:rPr>
                <w:rFonts w:ascii="Times New Roman" w:hAnsi="Times New Roman" w:cs="Times New Roman"/>
                <w:b/>
                <w:color w:val="000000"/>
                <w:sz w:val="21"/>
                <w:szCs w:val="21"/>
              </w:rPr>
            </w:pPr>
            <w:r>
              <w:rPr>
                <w:rFonts w:ascii="Times New Roman" w:eastAsia="等线" w:hAnsi="Times New Roman" w:cs="Times New Roman"/>
                <w:sz w:val="21"/>
                <w:szCs w:val="21"/>
              </w:rPr>
              <w:t>3,126.26</w:t>
            </w:r>
          </w:p>
        </w:tc>
      </w:tr>
      <w:tr w:rsidR="000A0ACD" w14:paraId="2153D877" w14:textId="77777777">
        <w:trPr>
          <w:cantSplit/>
          <w:trHeight w:val="397"/>
          <w:tblHeader/>
        </w:trPr>
        <w:tc>
          <w:tcPr>
            <w:tcW w:w="1188" w:type="pct"/>
            <w:vMerge w:val="restart"/>
            <w:tcMar>
              <w:left w:w="28" w:type="dxa"/>
              <w:right w:w="28" w:type="dxa"/>
            </w:tcMar>
            <w:vAlign w:val="center"/>
          </w:tcPr>
          <w:p w14:paraId="0E22D11A"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类别</w:t>
            </w:r>
          </w:p>
        </w:tc>
        <w:tc>
          <w:tcPr>
            <w:tcW w:w="3812" w:type="pct"/>
            <w:gridSpan w:val="5"/>
            <w:tcMar>
              <w:left w:w="28" w:type="dxa"/>
              <w:right w:w="28" w:type="dxa"/>
            </w:tcMar>
            <w:vAlign w:val="center"/>
          </w:tcPr>
          <w:p w14:paraId="68BC77FB"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color w:val="000000"/>
                <w:sz w:val="21"/>
                <w:szCs w:val="21"/>
              </w:rPr>
              <w:t>2018</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12</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31</w:t>
            </w:r>
            <w:r>
              <w:rPr>
                <w:rFonts w:ascii="Times New Roman" w:hAnsi="Times New Roman" w:cs="Times New Roman" w:hint="eastAsia"/>
                <w:b/>
                <w:color w:val="000000"/>
                <w:sz w:val="21"/>
                <w:szCs w:val="21"/>
              </w:rPr>
              <w:t>日</w:t>
            </w:r>
          </w:p>
        </w:tc>
      </w:tr>
      <w:tr w:rsidR="000A0ACD" w14:paraId="49943F90" w14:textId="77777777">
        <w:trPr>
          <w:cantSplit/>
          <w:trHeight w:val="397"/>
          <w:tblHeader/>
        </w:trPr>
        <w:tc>
          <w:tcPr>
            <w:tcW w:w="1188" w:type="pct"/>
            <w:vMerge/>
            <w:tcMar>
              <w:left w:w="28" w:type="dxa"/>
              <w:right w:w="28" w:type="dxa"/>
            </w:tcMar>
            <w:vAlign w:val="center"/>
          </w:tcPr>
          <w:p w14:paraId="28A3FF82" w14:textId="77777777" w:rsidR="000A0ACD" w:rsidRDefault="000A0ACD">
            <w:pPr>
              <w:spacing w:line="360" w:lineRule="exact"/>
              <w:jc w:val="center"/>
              <w:rPr>
                <w:rFonts w:ascii="Times New Roman" w:hAnsi="Times New Roman" w:cs="Times New Roman"/>
                <w:b/>
                <w:sz w:val="21"/>
                <w:szCs w:val="21"/>
              </w:rPr>
            </w:pPr>
          </w:p>
        </w:tc>
        <w:tc>
          <w:tcPr>
            <w:tcW w:w="1287" w:type="pct"/>
            <w:gridSpan w:val="2"/>
            <w:tcMar>
              <w:left w:w="28" w:type="dxa"/>
              <w:right w:w="28" w:type="dxa"/>
            </w:tcMar>
            <w:vAlign w:val="center"/>
          </w:tcPr>
          <w:p w14:paraId="368DF37F"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账面余额</w:t>
            </w:r>
          </w:p>
        </w:tc>
        <w:tc>
          <w:tcPr>
            <w:tcW w:w="1755" w:type="pct"/>
            <w:gridSpan w:val="2"/>
            <w:tcMar>
              <w:left w:w="28" w:type="dxa"/>
              <w:right w:w="28" w:type="dxa"/>
            </w:tcMar>
            <w:vAlign w:val="center"/>
          </w:tcPr>
          <w:p w14:paraId="7EC31DBC"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坏账准备</w:t>
            </w:r>
          </w:p>
        </w:tc>
        <w:tc>
          <w:tcPr>
            <w:tcW w:w="770" w:type="pct"/>
            <w:tcMar>
              <w:left w:w="28" w:type="dxa"/>
              <w:right w:w="28" w:type="dxa"/>
            </w:tcMar>
            <w:vAlign w:val="center"/>
          </w:tcPr>
          <w:p w14:paraId="1E58A3E5" w14:textId="77777777" w:rsidR="000A0ACD" w:rsidRDefault="00362A99">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账面价值</w:t>
            </w:r>
          </w:p>
        </w:tc>
      </w:tr>
      <w:tr w:rsidR="000A0ACD" w14:paraId="07787853" w14:textId="77777777">
        <w:trPr>
          <w:cantSplit/>
          <w:trHeight w:val="397"/>
        </w:trPr>
        <w:tc>
          <w:tcPr>
            <w:tcW w:w="1188" w:type="pct"/>
            <w:tcMar>
              <w:left w:w="28" w:type="dxa"/>
              <w:right w:w="28" w:type="dxa"/>
            </w:tcMar>
            <w:vAlign w:val="center"/>
          </w:tcPr>
          <w:p w14:paraId="57575A11" w14:textId="77777777" w:rsidR="000A0ACD" w:rsidRDefault="00362A99">
            <w:pPr>
              <w:spacing w:line="360" w:lineRule="exact"/>
              <w:rPr>
                <w:rFonts w:ascii="Times New Roman" w:hAnsi="Times New Roman" w:cs="Times New Roman"/>
                <w:b/>
                <w:sz w:val="21"/>
                <w:szCs w:val="21"/>
              </w:rPr>
            </w:pPr>
            <w:r>
              <w:rPr>
                <w:rFonts w:ascii="Times New Roman" w:hAnsi="Times New Roman" w:cs="Times New Roman" w:hint="eastAsia"/>
                <w:sz w:val="21"/>
                <w:szCs w:val="21"/>
              </w:rPr>
              <w:t>按组合计提坏账准备</w:t>
            </w:r>
          </w:p>
        </w:tc>
        <w:tc>
          <w:tcPr>
            <w:tcW w:w="609" w:type="pct"/>
            <w:tcMar>
              <w:left w:w="28" w:type="dxa"/>
              <w:right w:w="28" w:type="dxa"/>
            </w:tcMar>
            <w:vAlign w:val="center"/>
          </w:tcPr>
          <w:p w14:paraId="4D272773" w14:textId="77777777" w:rsidR="000A0ACD" w:rsidRDefault="00362A99">
            <w:pPr>
              <w:spacing w:line="360" w:lineRule="exact"/>
              <w:jc w:val="right"/>
              <w:rPr>
                <w:rFonts w:ascii="Times New Roman" w:hAnsi="Times New Roman" w:cs="Times New Roman"/>
                <w:color w:val="000000"/>
                <w:sz w:val="21"/>
                <w:szCs w:val="21"/>
              </w:rPr>
            </w:pPr>
            <w:r>
              <w:rPr>
                <w:rFonts w:ascii="Times New Roman" w:eastAsia="等线" w:hAnsi="Times New Roman" w:cs="Times New Roman"/>
                <w:sz w:val="21"/>
                <w:szCs w:val="21"/>
              </w:rPr>
              <w:t>1,443.10</w:t>
            </w:r>
          </w:p>
        </w:tc>
        <w:tc>
          <w:tcPr>
            <w:tcW w:w="678" w:type="pct"/>
            <w:tcMar>
              <w:left w:w="28" w:type="dxa"/>
              <w:right w:w="28" w:type="dxa"/>
            </w:tcMar>
            <w:vAlign w:val="center"/>
          </w:tcPr>
          <w:p w14:paraId="7221487B" w14:textId="77777777" w:rsidR="000A0ACD" w:rsidRDefault="00362A99">
            <w:pPr>
              <w:spacing w:line="360" w:lineRule="exact"/>
              <w:jc w:val="right"/>
              <w:rPr>
                <w:rFonts w:ascii="Times New Roman" w:hAnsi="Times New Roman" w:cs="Times New Roman"/>
                <w:color w:val="000000"/>
                <w:sz w:val="21"/>
                <w:szCs w:val="21"/>
              </w:rPr>
            </w:pPr>
            <w:r>
              <w:rPr>
                <w:rFonts w:ascii="Times New Roman" w:eastAsia="等线" w:hAnsi="Times New Roman" w:cs="Times New Roman"/>
                <w:sz w:val="21"/>
                <w:szCs w:val="21"/>
              </w:rPr>
              <w:t>100.00</w:t>
            </w:r>
          </w:p>
        </w:tc>
        <w:tc>
          <w:tcPr>
            <w:tcW w:w="763" w:type="pct"/>
            <w:tcMar>
              <w:left w:w="28" w:type="dxa"/>
              <w:right w:w="28" w:type="dxa"/>
            </w:tcMar>
            <w:vAlign w:val="center"/>
          </w:tcPr>
          <w:p w14:paraId="01E6917F" w14:textId="77777777" w:rsidR="000A0ACD" w:rsidRDefault="00362A99">
            <w:pPr>
              <w:spacing w:line="360" w:lineRule="exact"/>
              <w:jc w:val="right"/>
              <w:rPr>
                <w:rFonts w:ascii="Times New Roman" w:hAnsi="Times New Roman" w:cs="Times New Roman"/>
                <w:color w:val="000000"/>
                <w:sz w:val="21"/>
                <w:szCs w:val="21"/>
              </w:rPr>
            </w:pPr>
            <w:r>
              <w:rPr>
                <w:rFonts w:ascii="Times New Roman" w:eastAsia="等线" w:hAnsi="Times New Roman" w:cs="Times New Roman"/>
                <w:sz w:val="21"/>
                <w:szCs w:val="21"/>
              </w:rPr>
              <w:t>20.44</w:t>
            </w:r>
          </w:p>
        </w:tc>
        <w:tc>
          <w:tcPr>
            <w:tcW w:w="992" w:type="pct"/>
            <w:tcMar>
              <w:left w:w="28" w:type="dxa"/>
              <w:right w:w="28" w:type="dxa"/>
            </w:tcMar>
            <w:vAlign w:val="center"/>
          </w:tcPr>
          <w:p w14:paraId="05685D87" w14:textId="77777777" w:rsidR="000A0ACD" w:rsidRDefault="00362A99">
            <w:pPr>
              <w:spacing w:line="360" w:lineRule="exact"/>
              <w:jc w:val="right"/>
              <w:rPr>
                <w:rFonts w:ascii="Times New Roman" w:hAnsi="Times New Roman" w:cs="Times New Roman"/>
                <w:color w:val="000000"/>
                <w:sz w:val="21"/>
                <w:szCs w:val="21"/>
              </w:rPr>
            </w:pPr>
            <w:r>
              <w:rPr>
                <w:rFonts w:ascii="Times New Roman" w:eastAsia="等线" w:hAnsi="Times New Roman" w:cs="Times New Roman"/>
                <w:sz w:val="21"/>
                <w:szCs w:val="21"/>
              </w:rPr>
              <w:t>1.42</w:t>
            </w:r>
          </w:p>
        </w:tc>
        <w:tc>
          <w:tcPr>
            <w:tcW w:w="770" w:type="pct"/>
            <w:tcMar>
              <w:left w:w="28" w:type="dxa"/>
              <w:right w:w="28" w:type="dxa"/>
            </w:tcMar>
            <w:vAlign w:val="center"/>
          </w:tcPr>
          <w:p w14:paraId="0FD8B3DA" w14:textId="77777777" w:rsidR="000A0ACD" w:rsidRDefault="00362A99">
            <w:pPr>
              <w:spacing w:line="360" w:lineRule="exact"/>
              <w:jc w:val="right"/>
              <w:rPr>
                <w:rFonts w:ascii="Times New Roman" w:hAnsi="Times New Roman" w:cs="Times New Roman"/>
                <w:color w:val="000000"/>
                <w:spacing w:val="-10"/>
                <w:sz w:val="21"/>
                <w:szCs w:val="21"/>
              </w:rPr>
            </w:pPr>
            <w:r>
              <w:rPr>
                <w:rFonts w:ascii="Times New Roman" w:eastAsia="等线" w:hAnsi="Times New Roman" w:cs="Times New Roman"/>
                <w:sz w:val="21"/>
                <w:szCs w:val="21"/>
              </w:rPr>
              <w:t>1,422.65</w:t>
            </w:r>
          </w:p>
        </w:tc>
      </w:tr>
    </w:tbl>
    <w:p w14:paraId="33ACACFB"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五、坏账准备计提的充分性</w:t>
      </w:r>
    </w:p>
    <w:p w14:paraId="0274EA73"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报告期各期末，标的公司按组合计提的坏账准备情况如下：</w:t>
      </w:r>
    </w:p>
    <w:p w14:paraId="5A52DDA8"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62"/>
        <w:gridCol w:w="2141"/>
        <w:gridCol w:w="2141"/>
        <w:gridCol w:w="2178"/>
      </w:tblGrid>
      <w:tr w:rsidR="000A0ACD" w14:paraId="2FD6D536" w14:textId="77777777">
        <w:trPr>
          <w:trHeight w:val="397"/>
        </w:trPr>
        <w:tc>
          <w:tcPr>
            <w:tcW w:w="1210" w:type="pct"/>
            <w:vMerge w:val="restart"/>
            <w:shd w:val="clear" w:color="auto" w:fill="auto"/>
            <w:vAlign w:val="center"/>
          </w:tcPr>
          <w:p w14:paraId="380E6E1B"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账龄</w:t>
            </w:r>
          </w:p>
        </w:tc>
        <w:tc>
          <w:tcPr>
            <w:tcW w:w="3790" w:type="pct"/>
            <w:gridSpan w:val="3"/>
            <w:shd w:val="clear" w:color="auto" w:fill="auto"/>
            <w:vAlign w:val="center"/>
          </w:tcPr>
          <w:p w14:paraId="1CA2E278"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w:t>
            </w:r>
            <w:r>
              <w:rPr>
                <w:rFonts w:ascii="Times New Roman" w:hAnsi="Times New Roman" w:cs="Times New Roman"/>
                <w:b/>
                <w:bCs/>
                <w:color w:val="000000"/>
                <w:sz w:val="21"/>
                <w:szCs w:val="21"/>
              </w:rPr>
              <w:t>1</w:t>
            </w:r>
            <w:r>
              <w:rPr>
                <w:rFonts w:ascii="Times New Roman" w:hAnsi="Times New Roman" w:cs="Times New Roman" w:hint="eastAsia"/>
                <w:b/>
                <w:bCs/>
                <w:color w:val="000000"/>
                <w:sz w:val="21"/>
                <w:szCs w:val="21"/>
                <w:lang w:val="en-GB"/>
              </w:rPr>
              <w:t>日</w:t>
            </w:r>
          </w:p>
        </w:tc>
      </w:tr>
      <w:tr w:rsidR="000A0ACD" w14:paraId="269CFE2C" w14:textId="77777777">
        <w:trPr>
          <w:trHeight w:val="397"/>
        </w:trPr>
        <w:tc>
          <w:tcPr>
            <w:tcW w:w="1210" w:type="pct"/>
            <w:vMerge/>
            <w:shd w:val="clear" w:color="auto" w:fill="auto"/>
            <w:vAlign w:val="center"/>
          </w:tcPr>
          <w:p w14:paraId="5FBE3442" w14:textId="77777777" w:rsidR="000A0ACD" w:rsidRDefault="000A0ACD">
            <w:pPr>
              <w:jc w:val="center"/>
              <w:rPr>
                <w:rFonts w:ascii="Times New Roman" w:hAnsi="Times New Roman" w:cs="Times New Roman"/>
                <w:b/>
                <w:bCs/>
                <w:color w:val="000000"/>
                <w:sz w:val="21"/>
                <w:szCs w:val="21"/>
              </w:rPr>
            </w:pPr>
          </w:p>
        </w:tc>
        <w:tc>
          <w:tcPr>
            <w:tcW w:w="2512" w:type="pct"/>
            <w:gridSpan w:val="2"/>
            <w:shd w:val="clear" w:color="auto" w:fill="auto"/>
            <w:vAlign w:val="center"/>
          </w:tcPr>
          <w:p w14:paraId="1EE7B84C"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账面余额</w:t>
            </w:r>
          </w:p>
        </w:tc>
        <w:tc>
          <w:tcPr>
            <w:tcW w:w="1278" w:type="pct"/>
            <w:vMerge w:val="restart"/>
            <w:shd w:val="clear" w:color="auto" w:fill="auto"/>
            <w:vAlign w:val="center"/>
          </w:tcPr>
          <w:p w14:paraId="3A95F9CD"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坏账准备</w:t>
            </w:r>
          </w:p>
        </w:tc>
      </w:tr>
      <w:tr w:rsidR="000A0ACD" w14:paraId="24050186" w14:textId="77777777">
        <w:trPr>
          <w:trHeight w:val="397"/>
        </w:trPr>
        <w:tc>
          <w:tcPr>
            <w:tcW w:w="1210" w:type="pct"/>
            <w:vMerge/>
            <w:shd w:val="clear" w:color="auto" w:fill="auto"/>
            <w:vAlign w:val="center"/>
          </w:tcPr>
          <w:p w14:paraId="6FCFA982" w14:textId="77777777" w:rsidR="000A0ACD" w:rsidRDefault="000A0ACD">
            <w:pPr>
              <w:jc w:val="center"/>
              <w:rPr>
                <w:rFonts w:ascii="Times New Roman" w:hAnsi="Times New Roman" w:cs="Times New Roman"/>
                <w:b/>
                <w:bCs/>
                <w:color w:val="000000"/>
                <w:sz w:val="21"/>
                <w:szCs w:val="21"/>
              </w:rPr>
            </w:pPr>
          </w:p>
        </w:tc>
        <w:tc>
          <w:tcPr>
            <w:tcW w:w="1256" w:type="pct"/>
            <w:shd w:val="clear" w:color="auto" w:fill="auto"/>
            <w:vAlign w:val="center"/>
          </w:tcPr>
          <w:p w14:paraId="0CA6E407"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金额</w:t>
            </w:r>
          </w:p>
        </w:tc>
        <w:tc>
          <w:tcPr>
            <w:tcW w:w="1256" w:type="pct"/>
            <w:shd w:val="clear" w:color="auto" w:fill="auto"/>
            <w:vAlign w:val="center"/>
          </w:tcPr>
          <w:p w14:paraId="7986A77F"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比例（</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p>
        </w:tc>
        <w:tc>
          <w:tcPr>
            <w:tcW w:w="1278" w:type="pct"/>
            <w:vMerge/>
            <w:shd w:val="clear" w:color="auto" w:fill="auto"/>
            <w:vAlign w:val="center"/>
          </w:tcPr>
          <w:p w14:paraId="3DD4B3DD" w14:textId="77777777" w:rsidR="000A0ACD" w:rsidRDefault="000A0ACD">
            <w:pPr>
              <w:rPr>
                <w:rFonts w:ascii="Times New Roman" w:hAnsi="Times New Roman" w:cs="Times New Roman"/>
                <w:b/>
                <w:bCs/>
                <w:color w:val="000000"/>
                <w:sz w:val="21"/>
                <w:szCs w:val="21"/>
              </w:rPr>
            </w:pPr>
          </w:p>
        </w:tc>
      </w:tr>
      <w:tr w:rsidR="000A0ACD" w14:paraId="64266C86" w14:textId="77777777">
        <w:trPr>
          <w:trHeight w:val="397"/>
        </w:trPr>
        <w:tc>
          <w:tcPr>
            <w:tcW w:w="1210" w:type="pct"/>
            <w:shd w:val="clear" w:color="auto" w:fill="auto"/>
            <w:vAlign w:val="center"/>
          </w:tcPr>
          <w:p w14:paraId="6F183C28"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年以内</w:t>
            </w:r>
          </w:p>
        </w:tc>
        <w:tc>
          <w:tcPr>
            <w:tcW w:w="1256" w:type="pct"/>
            <w:shd w:val="clear" w:color="auto" w:fill="auto"/>
            <w:vAlign w:val="center"/>
          </w:tcPr>
          <w:p w14:paraId="0FC8B981"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3,790.89</w:t>
            </w:r>
          </w:p>
        </w:tc>
        <w:tc>
          <w:tcPr>
            <w:tcW w:w="1256" w:type="pct"/>
            <w:shd w:val="clear" w:color="auto" w:fill="auto"/>
            <w:vAlign w:val="center"/>
          </w:tcPr>
          <w:p w14:paraId="22813DCA"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75.23</w:t>
            </w:r>
          </w:p>
        </w:tc>
        <w:tc>
          <w:tcPr>
            <w:tcW w:w="1278" w:type="pct"/>
            <w:shd w:val="clear" w:color="auto" w:fill="auto"/>
            <w:vAlign w:val="center"/>
          </w:tcPr>
          <w:p w14:paraId="532C4380"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61.03</w:t>
            </w:r>
          </w:p>
        </w:tc>
      </w:tr>
      <w:tr w:rsidR="000A0ACD" w14:paraId="6D561C14" w14:textId="77777777">
        <w:trPr>
          <w:trHeight w:val="397"/>
        </w:trPr>
        <w:tc>
          <w:tcPr>
            <w:tcW w:w="1210" w:type="pct"/>
            <w:shd w:val="clear" w:color="auto" w:fill="auto"/>
            <w:vAlign w:val="center"/>
          </w:tcPr>
          <w:p w14:paraId="311E4784"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1-2</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71AA6FF0"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1,178.83</w:t>
            </w:r>
          </w:p>
        </w:tc>
        <w:tc>
          <w:tcPr>
            <w:tcW w:w="1256" w:type="pct"/>
            <w:shd w:val="clear" w:color="auto" w:fill="auto"/>
            <w:vAlign w:val="center"/>
          </w:tcPr>
          <w:p w14:paraId="329533FD"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23.39</w:t>
            </w:r>
          </w:p>
        </w:tc>
        <w:tc>
          <w:tcPr>
            <w:tcW w:w="1278" w:type="pct"/>
            <w:shd w:val="clear" w:color="auto" w:fill="auto"/>
            <w:vAlign w:val="center"/>
          </w:tcPr>
          <w:p w14:paraId="20F836AC"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211.18</w:t>
            </w:r>
          </w:p>
        </w:tc>
      </w:tr>
      <w:tr w:rsidR="000A0ACD" w14:paraId="20217BCE" w14:textId="77777777">
        <w:trPr>
          <w:trHeight w:val="397"/>
        </w:trPr>
        <w:tc>
          <w:tcPr>
            <w:tcW w:w="1210" w:type="pct"/>
            <w:shd w:val="clear" w:color="auto" w:fill="auto"/>
            <w:vAlign w:val="center"/>
          </w:tcPr>
          <w:p w14:paraId="1B8022EE"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2-3</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1DC8BB16"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69.48</w:t>
            </w:r>
          </w:p>
        </w:tc>
        <w:tc>
          <w:tcPr>
            <w:tcW w:w="1256" w:type="pct"/>
            <w:shd w:val="clear" w:color="auto" w:fill="auto"/>
            <w:vAlign w:val="center"/>
          </w:tcPr>
          <w:p w14:paraId="38BDFE6E"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1.38</w:t>
            </w:r>
          </w:p>
        </w:tc>
        <w:tc>
          <w:tcPr>
            <w:tcW w:w="1278" w:type="pct"/>
            <w:shd w:val="clear" w:color="auto" w:fill="auto"/>
            <w:vAlign w:val="center"/>
          </w:tcPr>
          <w:p w14:paraId="6BD687B8"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21.07</w:t>
            </w:r>
          </w:p>
        </w:tc>
      </w:tr>
      <w:tr w:rsidR="000A0ACD" w14:paraId="1368549D" w14:textId="77777777">
        <w:trPr>
          <w:trHeight w:val="397"/>
        </w:trPr>
        <w:tc>
          <w:tcPr>
            <w:tcW w:w="1210" w:type="pct"/>
            <w:shd w:val="clear" w:color="auto" w:fill="auto"/>
            <w:vAlign w:val="center"/>
          </w:tcPr>
          <w:p w14:paraId="3F975F49"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256" w:type="pct"/>
            <w:shd w:val="clear" w:color="auto" w:fill="auto"/>
            <w:vAlign w:val="center"/>
          </w:tcPr>
          <w:p w14:paraId="2D2F3801"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b/>
                <w:bCs/>
                <w:color w:val="000000"/>
                <w:sz w:val="21"/>
                <w:szCs w:val="21"/>
              </w:rPr>
              <w:t>5,039.19</w:t>
            </w:r>
          </w:p>
        </w:tc>
        <w:tc>
          <w:tcPr>
            <w:tcW w:w="1256" w:type="pct"/>
            <w:shd w:val="clear" w:color="auto" w:fill="auto"/>
            <w:vAlign w:val="center"/>
          </w:tcPr>
          <w:p w14:paraId="078458F5"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b/>
                <w:bCs/>
                <w:color w:val="000000"/>
                <w:sz w:val="21"/>
                <w:szCs w:val="21"/>
              </w:rPr>
              <w:t>100.00</w:t>
            </w:r>
          </w:p>
        </w:tc>
        <w:tc>
          <w:tcPr>
            <w:tcW w:w="1278" w:type="pct"/>
            <w:shd w:val="clear" w:color="auto" w:fill="auto"/>
            <w:vAlign w:val="center"/>
          </w:tcPr>
          <w:p w14:paraId="7B555344" w14:textId="77777777" w:rsidR="000A0ACD" w:rsidRDefault="00362A99">
            <w:pPr>
              <w:jc w:val="right"/>
              <w:rPr>
                <w:rFonts w:ascii="Times New Roman" w:eastAsia="等线" w:hAnsi="Times New Roman" w:cs="Times New Roman"/>
                <w:color w:val="000000"/>
                <w:sz w:val="21"/>
                <w:szCs w:val="21"/>
              </w:rPr>
            </w:pPr>
            <w:r>
              <w:rPr>
                <w:rFonts w:ascii="Times New Roman" w:eastAsia="等线" w:hAnsi="Times New Roman" w:cs="Times New Roman"/>
                <w:b/>
                <w:bCs/>
                <w:color w:val="000000"/>
                <w:sz w:val="21"/>
                <w:szCs w:val="21"/>
              </w:rPr>
              <w:t>293.28</w:t>
            </w:r>
          </w:p>
        </w:tc>
      </w:tr>
      <w:tr w:rsidR="000A0ACD" w14:paraId="6D44D419" w14:textId="77777777">
        <w:trPr>
          <w:trHeight w:val="397"/>
        </w:trPr>
        <w:tc>
          <w:tcPr>
            <w:tcW w:w="1210" w:type="pct"/>
            <w:vMerge w:val="restart"/>
            <w:shd w:val="clear" w:color="auto" w:fill="auto"/>
            <w:vAlign w:val="center"/>
          </w:tcPr>
          <w:p w14:paraId="2482B6B8"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账龄</w:t>
            </w:r>
          </w:p>
        </w:tc>
        <w:tc>
          <w:tcPr>
            <w:tcW w:w="3790" w:type="pct"/>
            <w:gridSpan w:val="3"/>
            <w:shd w:val="clear" w:color="auto" w:fill="auto"/>
            <w:vAlign w:val="center"/>
          </w:tcPr>
          <w:p w14:paraId="45A886B6"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r>
      <w:tr w:rsidR="000A0ACD" w14:paraId="550302F9" w14:textId="77777777">
        <w:trPr>
          <w:trHeight w:val="397"/>
        </w:trPr>
        <w:tc>
          <w:tcPr>
            <w:tcW w:w="1210" w:type="pct"/>
            <w:vMerge/>
            <w:shd w:val="clear" w:color="auto" w:fill="auto"/>
            <w:vAlign w:val="center"/>
          </w:tcPr>
          <w:p w14:paraId="0489B713" w14:textId="77777777" w:rsidR="000A0ACD" w:rsidRDefault="000A0ACD">
            <w:pPr>
              <w:keepNext/>
              <w:jc w:val="center"/>
              <w:rPr>
                <w:rFonts w:ascii="Times New Roman" w:hAnsi="Times New Roman" w:cs="Times New Roman"/>
                <w:b/>
                <w:bCs/>
                <w:color w:val="000000"/>
                <w:sz w:val="21"/>
                <w:szCs w:val="21"/>
              </w:rPr>
            </w:pPr>
          </w:p>
        </w:tc>
        <w:tc>
          <w:tcPr>
            <w:tcW w:w="2512" w:type="pct"/>
            <w:gridSpan w:val="2"/>
            <w:shd w:val="clear" w:color="auto" w:fill="auto"/>
            <w:vAlign w:val="center"/>
          </w:tcPr>
          <w:p w14:paraId="32410E46"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账面余额</w:t>
            </w:r>
          </w:p>
        </w:tc>
        <w:tc>
          <w:tcPr>
            <w:tcW w:w="1278" w:type="pct"/>
            <w:vMerge w:val="restart"/>
            <w:shd w:val="clear" w:color="auto" w:fill="auto"/>
            <w:vAlign w:val="center"/>
          </w:tcPr>
          <w:p w14:paraId="04CD5A04"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坏账准备</w:t>
            </w:r>
          </w:p>
        </w:tc>
      </w:tr>
      <w:tr w:rsidR="000A0ACD" w14:paraId="2BF5462E" w14:textId="77777777">
        <w:trPr>
          <w:trHeight w:val="397"/>
        </w:trPr>
        <w:tc>
          <w:tcPr>
            <w:tcW w:w="1210" w:type="pct"/>
            <w:vMerge/>
            <w:shd w:val="clear" w:color="auto" w:fill="auto"/>
            <w:vAlign w:val="center"/>
          </w:tcPr>
          <w:p w14:paraId="6F95FB26" w14:textId="77777777" w:rsidR="000A0ACD" w:rsidRDefault="000A0ACD">
            <w:pPr>
              <w:keepNext/>
              <w:jc w:val="center"/>
              <w:rPr>
                <w:rFonts w:ascii="Times New Roman" w:hAnsi="Times New Roman" w:cs="Times New Roman"/>
                <w:b/>
                <w:bCs/>
                <w:color w:val="000000"/>
                <w:sz w:val="21"/>
                <w:szCs w:val="21"/>
              </w:rPr>
            </w:pPr>
          </w:p>
        </w:tc>
        <w:tc>
          <w:tcPr>
            <w:tcW w:w="1256" w:type="pct"/>
            <w:shd w:val="clear" w:color="auto" w:fill="auto"/>
            <w:vAlign w:val="center"/>
          </w:tcPr>
          <w:p w14:paraId="67D0C1D6"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金额</w:t>
            </w:r>
          </w:p>
        </w:tc>
        <w:tc>
          <w:tcPr>
            <w:tcW w:w="1256" w:type="pct"/>
            <w:shd w:val="clear" w:color="auto" w:fill="auto"/>
            <w:vAlign w:val="center"/>
          </w:tcPr>
          <w:p w14:paraId="4EA91146" w14:textId="77777777" w:rsidR="000A0ACD" w:rsidRDefault="00362A99">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比例（</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p>
        </w:tc>
        <w:tc>
          <w:tcPr>
            <w:tcW w:w="1278" w:type="pct"/>
            <w:vMerge/>
            <w:shd w:val="clear" w:color="auto" w:fill="auto"/>
            <w:vAlign w:val="center"/>
          </w:tcPr>
          <w:p w14:paraId="47087ECD" w14:textId="77777777" w:rsidR="000A0ACD" w:rsidRDefault="000A0ACD">
            <w:pPr>
              <w:keepNext/>
              <w:rPr>
                <w:rFonts w:ascii="Times New Roman" w:hAnsi="Times New Roman" w:cs="Times New Roman"/>
                <w:b/>
                <w:bCs/>
                <w:color w:val="000000"/>
                <w:sz w:val="21"/>
                <w:szCs w:val="21"/>
              </w:rPr>
            </w:pPr>
          </w:p>
        </w:tc>
      </w:tr>
      <w:tr w:rsidR="000A0ACD" w14:paraId="1054A19A" w14:textId="77777777">
        <w:trPr>
          <w:trHeight w:val="397"/>
        </w:trPr>
        <w:tc>
          <w:tcPr>
            <w:tcW w:w="1210" w:type="pct"/>
            <w:shd w:val="clear" w:color="auto" w:fill="auto"/>
            <w:vAlign w:val="center"/>
          </w:tcPr>
          <w:p w14:paraId="7B922607"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年以内</w:t>
            </w:r>
          </w:p>
        </w:tc>
        <w:tc>
          <w:tcPr>
            <w:tcW w:w="1256" w:type="pct"/>
            <w:shd w:val="clear" w:color="auto" w:fill="auto"/>
            <w:vAlign w:val="center"/>
          </w:tcPr>
          <w:p w14:paraId="30C9DA2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2,976.18</w:t>
            </w:r>
          </w:p>
        </w:tc>
        <w:tc>
          <w:tcPr>
            <w:tcW w:w="1256" w:type="pct"/>
            <w:shd w:val="clear" w:color="auto" w:fill="auto"/>
            <w:vAlign w:val="center"/>
          </w:tcPr>
          <w:p w14:paraId="4AC2A42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92.44</w:t>
            </w:r>
          </w:p>
        </w:tc>
        <w:tc>
          <w:tcPr>
            <w:tcW w:w="1278" w:type="pct"/>
            <w:shd w:val="clear" w:color="auto" w:fill="auto"/>
            <w:vAlign w:val="center"/>
          </w:tcPr>
          <w:p w14:paraId="2820E09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47.91</w:t>
            </w:r>
          </w:p>
        </w:tc>
      </w:tr>
      <w:tr w:rsidR="000A0ACD" w14:paraId="231DFD17" w14:textId="77777777">
        <w:trPr>
          <w:trHeight w:val="397"/>
        </w:trPr>
        <w:tc>
          <w:tcPr>
            <w:tcW w:w="1210" w:type="pct"/>
            <w:shd w:val="clear" w:color="auto" w:fill="auto"/>
            <w:vAlign w:val="center"/>
          </w:tcPr>
          <w:p w14:paraId="19C852E3"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1-2</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35207BF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228.90</w:t>
            </w:r>
          </w:p>
        </w:tc>
        <w:tc>
          <w:tcPr>
            <w:tcW w:w="1256" w:type="pct"/>
            <w:shd w:val="clear" w:color="auto" w:fill="auto"/>
            <w:vAlign w:val="center"/>
          </w:tcPr>
          <w:p w14:paraId="3A3FD69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7.11</w:t>
            </w:r>
          </w:p>
        </w:tc>
        <w:tc>
          <w:tcPr>
            <w:tcW w:w="1278" w:type="pct"/>
            <w:shd w:val="clear" w:color="auto" w:fill="auto"/>
            <w:vAlign w:val="center"/>
          </w:tcPr>
          <w:p w14:paraId="3E1768D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41.01</w:t>
            </w:r>
          </w:p>
        </w:tc>
      </w:tr>
      <w:tr w:rsidR="000A0ACD" w14:paraId="03E1052B" w14:textId="77777777">
        <w:trPr>
          <w:trHeight w:val="397"/>
        </w:trPr>
        <w:tc>
          <w:tcPr>
            <w:tcW w:w="1210" w:type="pct"/>
            <w:shd w:val="clear" w:color="auto" w:fill="auto"/>
            <w:vAlign w:val="center"/>
          </w:tcPr>
          <w:p w14:paraId="50830DEE"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2-3</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4EBA549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14.50</w:t>
            </w:r>
          </w:p>
        </w:tc>
        <w:tc>
          <w:tcPr>
            <w:tcW w:w="1256" w:type="pct"/>
            <w:shd w:val="clear" w:color="auto" w:fill="auto"/>
            <w:vAlign w:val="center"/>
          </w:tcPr>
          <w:p w14:paraId="5D4C7C6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0.45</w:t>
            </w:r>
          </w:p>
        </w:tc>
        <w:tc>
          <w:tcPr>
            <w:tcW w:w="1278" w:type="pct"/>
            <w:shd w:val="clear" w:color="auto" w:fill="auto"/>
            <w:vAlign w:val="center"/>
          </w:tcPr>
          <w:p w14:paraId="5A4E2B5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4.40</w:t>
            </w:r>
          </w:p>
        </w:tc>
      </w:tr>
      <w:tr w:rsidR="000A0ACD" w14:paraId="508474F9" w14:textId="77777777">
        <w:trPr>
          <w:trHeight w:val="397"/>
        </w:trPr>
        <w:tc>
          <w:tcPr>
            <w:tcW w:w="1210" w:type="pct"/>
            <w:shd w:val="clear" w:color="auto" w:fill="auto"/>
            <w:vAlign w:val="center"/>
          </w:tcPr>
          <w:p w14:paraId="6A8FF951"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256" w:type="pct"/>
            <w:shd w:val="clear" w:color="auto" w:fill="auto"/>
            <w:vAlign w:val="center"/>
          </w:tcPr>
          <w:p w14:paraId="305C8932"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3,219.58</w:t>
            </w:r>
          </w:p>
        </w:tc>
        <w:tc>
          <w:tcPr>
            <w:tcW w:w="1256" w:type="pct"/>
            <w:shd w:val="clear" w:color="auto" w:fill="auto"/>
            <w:vAlign w:val="center"/>
          </w:tcPr>
          <w:p w14:paraId="690804CD"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100.00</w:t>
            </w:r>
          </w:p>
        </w:tc>
        <w:tc>
          <w:tcPr>
            <w:tcW w:w="1278" w:type="pct"/>
            <w:shd w:val="clear" w:color="auto" w:fill="auto"/>
            <w:vAlign w:val="center"/>
          </w:tcPr>
          <w:p w14:paraId="73AD0ACE"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93.31</w:t>
            </w:r>
          </w:p>
        </w:tc>
      </w:tr>
      <w:tr w:rsidR="000A0ACD" w14:paraId="0A5FF3EF" w14:textId="77777777">
        <w:trPr>
          <w:trHeight w:val="397"/>
        </w:trPr>
        <w:tc>
          <w:tcPr>
            <w:tcW w:w="1210" w:type="pct"/>
            <w:vMerge w:val="restart"/>
            <w:shd w:val="clear" w:color="auto" w:fill="auto"/>
            <w:vAlign w:val="center"/>
          </w:tcPr>
          <w:p w14:paraId="04886348"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账龄</w:t>
            </w:r>
          </w:p>
        </w:tc>
        <w:tc>
          <w:tcPr>
            <w:tcW w:w="3790" w:type="pct"/>
            <w:gridSpan w:val="3"/>
            <w:shd w:val="clear" w:color="auto" w:fill="auto"/>
            <w:vAlign w:val="center"/>
          </w:tcPr>
          <w:p w14:paraId="7F556711"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r>
      <w:tr w:rsidR="000A0ACD" w14:paraId="3C3AE932" w14:textId="77777777">
        <w:trPr>
          <w:trHeight w:val="397"/>
        </w:trPr>
        <w:tc>
          <w:tcPr>
            <w:tcW w:w="1210" w:type="pct"/>
            <w:vMerge/>
            <w:shd w:val="clear" w:color="auto" w:fill="auto"/>
            <w:vAlign w:val="center"/>
          </w:tcPr>
          <w:p w14:paraId="1E1DDBF0" w14:textId="77777777" w:rsidR="000A0ACD" w:rsidRDefault="000A0ACD">
            <w:pPr>
              <w:jc w:val="center"/>
              <w:rPr>
                <w:rFonts w:ascii="Times New Roman" w:hAnsi="Times New Roman" w:cs="Times New Roman"/>
                <w:b/>
                <w:bCs/>
                <w:color w:val="000000"/>
                <w:sz w:val="21"/>
                <w:szCs w:val="21"/>
              </w:rPr>
            </w:pPr>
          </w:p>
        </w:tc>
        <w:tc>
          <w:tcPr>
            <w:tcW w:w="2512" w:type="pct"/>
            <w:gridSpan w:val="2"/>
            <w:shd w:val="clear" w:color="auto" w:fill="auto"/>
            <w:vAlign w:val="center"/>
          </w:tcPr>
          <w:p w14:paraId="7A8B3DEE"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账面余额</w:t>
            </w:r>
          </w:p>
        </w:tc>
        <w:tc>
          <w:tcPr>
            <w:tcW w:w="1278" w:type="pct"/>
            <w:vMerge w:val="restart"/>
            <w:shd w:val="clear" w:color="auto" w:fill="auto"/>
            <w:vAlign w:val="center"/>
          </w:tcPr>
          <w:p w14:paraId="4AD3D90F"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坏账准备</w:t>
            </w:r>
          </w:p>
        </w:tc>
      </w:tr>
      <w:tr w:rsidR="000A0ACD" w14:paraId="6C0B21DF" w14:textId="77777777">
        <w:trPr>
          <w:trHeight w:val="397"/>
        </w:trPr>
        <w:tc>
          <w:tcPr>
            <w:tcW w:w="1210" w:type="pct"/>
            <w:vMerge/>
            <w:shd w:val="clear" w:color="auto" w:fill="auto"/>
            <w:vAlign w:val="center"/>
          </w:tcPr>
          <w:p w14:paraId="3B10E759" w14:textId="77777777" w:rsidR="000A0ACD" w:rsidRDefault="000A0ACD">
            <w:pPr>
              <w:jc w:val="center"/>
              <w:rPr>
                <w:rFonts w:ascii="Times New Roman" w:hAnsi="Times New Roman" w:cs="Times New Roman"/>
                <w:b/>
                <w:bCs/>
                <w:color w:val="000000"/>
                <w:sz w:val="21"/>
                <w:szCs w:val="21"/>
              </w:rPr>
            </w:pPr>
          </w:p>
        </w:tc>
        <w:tc>
          <w:tcPr>
            <w:tcW w:w="1256" w:type="pct"/>
            <w:shd w:val="clear" w:color="auto" w:fill="auto"/>
            <w:vAlign w:val="center"/>
          </w:tcPr>
          <w:p w14:paraId="1288266A"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金额</w:t>
            </w:r>
          </w:p>
        </w:tc>
        <w:tc>
          <w:tcPr>
            <w:tcW w:w="1256" w:type="pct"/>
            <w:shd w:val="clear" w:color="auto" w:fill="auto"/>
            <w:vAlign w:val="center"/>
          </w:tcPr>
          <w:p w14:paraId="0C366543"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比例（</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p>
        </w:tc>
        <w:tc>
          <w:tcPr>
            <w:tcW w:w="1278" w:type="pct"/>
            <w:vMerge/>
            <w:shd w:val="clear" w:color="auto" w:fill="auto"/>
            <w:vAlign w:val="center"/>
          </w:tcPr>
          <w:p w14:paraId="1DD76A06" w14:textId="77777777" w:rsidR="000A0ACD" w:rsidRDefault="000A0ACD">
            <w:pPr>
              <w:rPr>
                <w:rFonts w:ascii="Times New Roman" w:hAnsi="Times New Roman" w:cs="Times New Roman"/>
                <w:b/>
                <w:bCs/>
                <w:color w:val="000000"/>
                <w:sz w:val="21"/>
                <w:szCs w:val="21"/>
              </w:rPr>
            </w:pPr>
          </w:p>
        </w:tc>
      </w:tr>
      <w:tr w:rsidR="000A0ACD" w14:paraId="000A0D43" w14:textId="77777777">
        <w:trPr>
          <w:trHeight w:val="397"/>
        </w:trPr>
        <w:tc>
          <w:tcPr>
            <w:tcW w:w="1210" w:type="pct"/>
            <w:shd w:val="clear" w:color="auto" w:fill="auto"/>
            <w:vAlign w:val="center"/>
          </w:tcPr>
          <w:p w14:paraId="021F62F9"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年以内</w:t>
            </w:r>
          </w:p>
        </w:tc>
        <w:tc>
          <w:tcPr>
            <w:tcW w:w="1256" w:type="pct"/>
            <w:shd w:val="clear" w:color="auto" w:fill="auto"/>
            <w:vAlign w:val="center"/>
          </w:tcPr>
          <w:p w14:paraId="0924A0C9"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1,340.40</w:t>
            </w:r>
          </w:p>
        </w:tc>
        <w:tc>
          <w:tcPr>
            <w:tcW w:w="1256" w:type="pct"/>
            <w:shd w:val="clear" w:color="auto" w:fill="auto"/>
            <w:vAlign w:val="center"/>
          </w:tcPr>
          <w:p w14:paraId="5D38E695"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92.88</w:t>
            </w:r>
          </w:p>
        </w:tc>
        <w:tc>
          <w:tcPr>
            <w:tcW w:w="1278" w:type="pct"/>
            <w:shd w:val="clear" w:color="auto" w:fill="auto"/>
            <w:vAlign w:val="center"/>
          </w:tcPr>
          <w:p w14:paraId="6AF2CF5D"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12.49</w:t>
            </w:r>
          </w:p>
        </w:tc>
      </w:tr>
      <w:tr w:rsidR="000A0ACD" w14:paraId="464159B3" w14:textId="77777777">
        <w:trPr>
          <w:trHeight w:val="397"/>
        </w:trPr>
        <w:tc>
          <w:tcPr>
            <w:tcW w:w="1210" w:type="pct"/>
            <w:shd w:val="clear" w:color="auto" w:fill="auto"/>
            <w:vAlign w:val="center"/>
          </w:tcPr>
          <w:p w14:paraId="1CAB7B2A"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1-2</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79A0BA18"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102.70</w:t>
            </w:r>
          </w:p>
        </w:tc>
        <w:tc>
          <w:tcPr>
            <w:tcW w:w="1256" w:type="pct"/>
            <w:shd w:val="clear" w:color="auto" w:fill="auto"/>
            <w:vAlign w:val="center"/>
          </w:tcPr>
          <w:p w14:paraId="26102F45"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7.12</w:t>
            </w:r>
          </w:p>
        </w:tc>
        <w:tc>
          <w:tcPr>
            <w:tcW w:w="1278" w:type="pct"/>
            <w:shd w:val="clear" w:color="auto" w:fill="auto"/>
            <w:vAlign w:val="center"/>
          </w:tcPr>
          <w:p w14:paraId="55F229FB"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7.95</w:t>
            </w:r>
          </w:p>
        </w:tc>
      </w:tr>
      <w:tr w:rsidR="000A0ACD" w14:paraId="35247476" w14:textId="77777777">
        <w:trPr>
          <w:trHeight w:val="397"/>
        </w:trPr>
        <w:tc>
          <w:tcPr>
            <w:tcW w:w="1210" w:type="pct"/>
            <w:shd w:val="clear" w:color="auto" w:fill="auto"/>
            <w:vAlign w:val="center"/>
          </w:tcPr>
          <w:p w14:paraId="541B07DC"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2-3</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2C0968FA"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w:t>
            </w:r>
          </w:p>
        </w:tc>
        <w:tc>
          <w:tcPr>
            <w:tcW w:w="1256" w:type="pct"/>
            <w:shd w:val="clear" w:color="auto" w:fill="auto"/>
            <w:vAlign w:val="center"/>
          </w:tcPr>
          <w:p w14:paraId="000D0170"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w:t>
            </w:r>
          </w:p>
        </w:tc>
        <w:tc>
          <w:tcPr>
            <w:tcW w:w="1278" w:type="pct"/>
            <w:shd w:val="clear" w:color="auto" w:fill="auto"/>
            <w:vAlign w:val="center"/>
          </w:tcPr>
          <w:p w14:paraId="0DFCC529"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w:t>
            </w:r>
          </w:p>
        </w:tc>
      </w:tr>
      <w:tr w:rsidR="000A0ACD" w14:paraId="3D52330E" w14:textId="77777777">
        <w:trPr>
          <w:trHeight w:val="397"/>
        </w:trPr>
        <w:tc>
          <w:tcPr>
            <w:tcW w:w="1210" w:type="pct"/>
            <w:shd w:val="clear" w:color="auto" w:fill="auto"/>
            <w:vAlign w:val="center"/>
          </w:tcPr>
          <w:p w14:paraId="5294ADB3"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256" w:type="pct"/>
            <w:shd w:val="clear" w:color="auto" w:fill="auto"/>
            <w:vAlign w:val="center"/>
          </w:tcPr>
          <w:p w14:paraId="2CD883B2"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1,443.10</w:t>
            </w:r>
          </w:p>
        </w:tc>
        <w:tc>
          <w:tcPr>
            <w:tcW w:w="1256" w:type="pct"/>
            <w:shd w:val="clear" w:color="auto" w:fill="auto"/>
            <w:vAlign w:val="center"/>
          </w:tcPr>
          <w:p w14:paraId="09410B13"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100.00</w:t>
            </w:r>
          </w:p>
        </w:tc>
        <w:tc>
          <w:tcPr>
            <w:tcW w:w="1278" w:type="pct"/>
            <w:shd w:val="clear" w:color="auto" w:fill="auto"/>
            <w:vAlign w:val="center"/>
          </w:tcPr>
          <w:p w14:paraId="1F528F5A"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20.44</w:t>
            </w:r>
          </w:p>
        </w:tc>
      </w:tr>
    </w:tbl>
    <w:p w14:paraId="157D853E"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color w:val="000000"/>
          <w:lang w:val="en-GB"/>
        </w:rPr>
        <w:t>报告期各期末，标的公司应收账款中</w:t>
      </w:r>
      <w:r>
        <w:rPr>
          <w:rFonts w:ascii="Times New Roman" w:hAnsi="Times New Roman" w:cs="Times New Roman"/>
          <w:color w:val="000000"/>
          <w:lang w:val="en-GB"/>
        </w:rPr>
        <w:t>1</w:t>
      </w:r>
      <w:r>
        <w:rPr>
          <w:rFonts w:ascii="Times New Roman" w:hAnsi="Times New Roman" w:cs="Times New Roman" w:hint="eastAsia"/>
          <w:color w:val="000000"/>
          <w:lang w:val="en-GB"/>
        </w:rPr>
        <w:t>年内到期（含</w:t>
      </w:r>
      <w:r>
        <w:rPr>
          <w:rFonts w:ascii="Times New Roman" w:hAnsi="Times New Roman" w:cs="Times New Roman"/>
          <w:color w:val="000000"/>
          <w:lang w:val="en-GB"/>
        </w:rPr>
        <w:t>1</w:t>
      </w:r>
      <w:r>
        <w:rPr>
          <w:rFonts w:ascii="Times New Roman" w:hAnsi="Times New Roman" w:cs="Times New Roman" w:hint="eastAsia"/>
          <w:color w:val="000000"/>
          <w:lang w:val="en-GB"/>
        </w:rPr>
        <w:t>年）的占比分别为</w:t>
      </w:r>
      <w:r>
        <w:rPr>
          <w:rFonts w:ascii="Times New Roman" w:hAnsi="Times New Roman" w:cs="Times New Roman"/>
          <w:color w:val="000000"/>
          <w:lang w:val="en-GB"/>
        </w:rPr>
        <w:t>92.88%</w:t>
      </w:r>
      <w:r>
        <w:rPr>
          <w:rFonts w:ascii="Times New Roman" w:hAnsi="Times New Roman" w:cs="Times New Roman" w:hint="eastAsia"/>
          <w:color w:val="000000"/>
          <w:lang w:val="en-GB"/>
        </w:rPr>
        <w:t>、</w:t>
      </w:r>
      <w:r>
        <w:rPr>
          <w:rFonts w:ascii="Times New Roman" w:hAnsi="Times New Roman" w:cs="Times New Roman"/>
          <w:color w:val="000000"/>
          <w:lang w:val="en-GB"/>
        </w:rPr>
        <w:t>92.44%</w:t>
      </w:r>
      <w:r>
        <w:rPr>
          <w:rFonts w:ascii="Times New Roman" w:hAnsi="Times New Roman" w:cs="Times New Roman" w:hint="eastAsia"/>
          <w:color w:val="000000"/>
          <w:lang w:val="en-GB"/>
        </w:rPr>
        <w:t>和</w:t>
      </w:r>
      <w:r>
        <w:rPr>
          <w:rFonts w:ascii="Times New Roman" w:hAnsi="Times New Roman" w:cs="Times New Roman"/>
          <w:color w:val="000000"/>
          <w:lang w:val="en-GB"/>
        </w:rPr>
        <w:t>7</w:t>
      </w:r>
      <w:r>
        <w:rPr>
          <w:rFonts w:ascii="Times New Roman" w:hAnsi="Times New Roman" w:cs="Times New Roman"/>
          <w:color w:val="000000"/>
        </w:rPr>
        <w:t>5.23</w:t>
      </w:r>
      <w:r>
        <w:rPr>
          <w:rFonts w:ascii="Times New Roman" w:hAnsi="Times New Roman" w:cs="Times New Roman"/>
          <w:color w:val="000000"/>
          <w:lang w:val="en-GB"/>
        </w:rPr>
        <w:t>%</w:t>
      </w:r>
      <w:r>
        <w:rPr>
          <w:rFonts w:ascii="Times New Roman" w:hAnsi="Times New Roman" w:cs="Times New Roman" w:hint="eastAsia"/>
          <w:color w:val="000000"/>
          <w:lang w:val="en-GB"/>
        </w:rPr>
        <w:t>，应收账款账龄大部分集中在</w:t>
      </w:r>
      <w:r>
        <w:rPr>
          <w:rFonts w:ascii="Times New Roman" w:hAnsi="Times New Roman" w:cs="Times New Roman"/>
          <w:color w:val="000000"/>
          <w:lang w:val="en-GB"/>
        </w:rPr>
        <w:t>1</w:t>
      </w:r>
      <w:r>
        <w:rPr>
          <w:rFonts w:ascii="Times New Roman" w:hAnsi="Times New Roman" w:cs="Times New Roman" w:hint="eastAsia"/>
          <w:color w:val="000000"/>
          <w:lang w:val="en-GB"/>
        </w:rPr>
        <w:t>年以内，应收账款总体质量较好。报告期内，标的公司均严格按照坏账准备计提政策进行应收账款的坏账准备计提，应收账款坏账准备计提充分。</w:t>
      </w:r>
    </w:p>
    <w:p w14:paraId="0B6D573F"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北洋天青与同行业上市公司的坏账政策，对</w:t>
      </w:r>
      <w:r>
        <w:rPr>
          <w:rFonts w:ascii="Times New Roman" w:hAnsi="Times New Roman" w:cs="Times New Roman"/>
        </w:rPr>
        <w:t>1</w:t>
      </w:r>
      <w:r>
        <w:rPr>
          <w:rFonts w:ascii="Times New Roman" w:hAnsi="Times New Roman" w:cs="Times New Roman" w:hint="eastAsia"/>
        </w:rPr>
        <w:t>年以内坏账计提比例较小，</w:t>
      </w:r>
      <w:r>
        <w:rPr>
          <w:rFonts w:ascii="Times New Roman" w:hAnsi="Times New Roman" w:cs="Times New Roman"/>
        </w:rPr>
        <w:t>1</w:t>
      </w:r>
      <w:r>
        <w:rPr>
          <w:rFonts w:ascii="Times New Roman" w:hAnsi="Times New Roman" w:cs="Times New Roman" w:hint="eastAsia"/>
        </w:rPr>
        <w:t>年以上坏账计提比例提高，不存在重大差异。具体情况如下：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08"/>
        <w:gridCol w:w="971"/>
        <w:gridCol w:w="1679"/>
        <w:gridCol w:w="1106"/>
        <w:gridCol w:w="1108"/>
        <w:gridCol w:w="969"/>
        <w:gridCol w:w="1081"/>
      </w:tblGrid>
      <w:tr w:rsidR="000A0ACD" w14:paraId="1660D43E" w14:textId="77777777">
        <w:trPr>
          <w:trHeight w:val="397"/>
          <w:tblHeader/>
        </w:trPr>
        <w:tc>
          <w:tcPr>
            <w:tcW w:w="944" w:type="pct"/>
            <w:shd w:val="clear" w:color="auto" w:fill="auto"/>
            <w:vAlign w:val="center"/>
          </w:tcPr>
          <w:p w14:paraId="7CB8B671"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账龄</w:t>
            </w:r>
          </w:p>
        </w:tc>
        <w:tc>
          <w:tcPr>
            <w:tcW w:w="570" w:type="pct"/>
            <w:vAlign w:val="center"/>
          </w:tcPr>
          <w:p w14:paraId="553C13D9"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埃斯顿</w:t>
            </w:r>
          </w:p>
        </w:tc>
        <w:tc>
          <w:tcPr>
            <w:tcW w:w="985" w:type="pct"/>
            <w:vAlign w:val="center"/>
          </w:tcPr>
          <w:p w14:paraId="7CD23CFA"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拓斯达</w:t>
            </w:r>
          </w:p>
        </w:tc>
        <w:tc>
          <w:tcPr>
            <w:tcW w:w="649" w:type="pct"/>
            <w:vAlign w:val="center"/>
          </w:tcPr>
          <w:p w14:paraId="287A3829"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永创智能</w:t>
            </w:r>
          </w:p>
        </w:tc>
        <w:tc>
          <w:tcPr>
            <w:tcW w:w="650" w:type="pct"/>
            <w:vAlign w:val="center"/>
          </w:tcPr>
          <w:p w14:paraId="73C941C0"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快克股份</w:t>
            </w:r>
          </w:p>
        </w:tc>
        <w:tc>
          <w:tcPr>
            <w:tcW w:w="568" w:type="pct"/>
            <w:vAlign w:val="center"/>
          </w:tcPr>
          <w:p w14:paraId="0AEC602F"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机器人</w:t>
            </w:r>
          </w:p>
        </w:tc>
        <w:tc>
          <w:tcPr>
            <w:tcW w:w="634" w:type="pct"/>
            <w:vAlign w:val="center"/>
          </w:tcPr>
          <w:p w14:paraId="2932A140" w14:textId="77777777" w:rsidR="000A0ACD" w:rsidRDefault="00362A99">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北洋天青</w:t>
            </w:r>
          </w:p>
        </w:tc>
      </w:tr>
      <w:tr w:rsidR="000A0ACD" w14:paraId="66DEE3C9" w14:textId="77777777">
        <w:trPr>
          <w:trHeight w:val="397"/>
        </w:trPr>
        <w:tc>
          <w:tcPr>
            <w:tcW w:w="944" w:type="pct"/>
            <w:shd w:val="clear" w:color="auto" w:fill="auto"/>
            <w:vAlign w:val="center"/>
          </w:tcPr>
          <w:p w14:paraId="1BBB06A6" w14:textId="77777777" w:rsidR="000A0ACD" w:rsidRDefault="00362A99">
            <w:pPr>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年以内（含</w:t>
            </w: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w:t>
            </w:r>
          </w:p>
        </w:tc>
        <w:tc>
          <w:tcPr>
            <w:tcW w:w="570" w:type="pct"/>
            <w:vAlign w:val="center"/>
          </w:tcPr>
          <w:p w14:paraId="70FAC3A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2.00%</w:t>
            </w:r>
          </w:p>
        </w:tc>
        <w:tc>
          <w:tcPr>
            <w:tcW w:w="985" w:type="pct"/>
            <w:vAlign w:val="center"/>
          </w:tcPr>
          <w:p w14:paraId="5F30C418"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1-6</w:t>
            </w:r>
            <w:r>
              <w:rPr>
                <w:rFonts w:ascii="Times New Roman" w:hAnsi="Times New Roman" w:cs="Times New Roman" w:hint="eastAsia"/>
                <w:color w:val="000000"/>
                <w:sz w:val="21"/>
                <w:szCs w:val="21"/>
              </w:rPr>
              <w:t>个月为</w:t>
            </w:r>
            <w:r>
              <w:rPr>
                <w:rFonts w:ascii="Times New Roman" w:hAnsi="Times New Roman" w:cs="Times New Roman" w:hint="eastAsia"/>
                <w:color w:val="000000"/>
                <w:sz w:val="21"/>
                <w:szCs w:val="21"/>
              </w:rPr>
              <w:t>1%</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7-12</w:t>
            </w:r>
            <w:r>
              <w:rPr>
                <w:rFonts w:ascii="Times New Roman" w:hAnsi="Times New Roman" w:cs="Times New Roman" w:hint="eastAsia"/>
                <w:color w:val="000000"/>
                <w:sz w:val="21"/>
                <w:szCs w:val="21"/>
              </w:rPr>
              <w:t>个月为</w:t>
            </w:r>
            <w:r>
              <w:rPr>
                <w:rFonts w:ascii="Times New Roman" w:hAnsi="Times New Roman" w:cs="Times New Roman" w:hint="eastAsia"/>
                <w:color w:val="000000"/>
                <w:sz w:val="21"/>
                <w:szCs w:val="21"/>
              </w:rPr>
              <w:t>5%</w:t>
            </w:r>
          </w:p>
        </w:tc>
        <w:tc>
          <w:tcPr>
            <w:tcW w:w="649" w:type="pct"/>
            <w:vAlign w:val="center"/>
          </w:tcPr>
          <w:p w14:paraId="6CDFB23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5.00%</w:t>
            </w:r>
          </w:p>
        </w:tc>
        <w:tc>
          <w:tcPr>
            <w:tcW w:w="650" w:type="pct"/>
            <w:vAlign w:val="center"/>
          </w:tcPr>
          <w:p w14:paraId="5CC5F97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5.00%</w:t>
            </w:r>
          </w:p>
        </w:tc>
        <w:tc>
          <w:tcPr>
            <w:tcW w:w="568" w:type="pct"/>
            <w:vAlign w:val="center"/>
          </w:tcPr>
          <w:p w14:paraId="31FF6D3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5.36%</w:t>
            </w:r>
          </w:p>
        </w:tc>
        <w:tc>
          <w:tcPr>
            <w:tcW w:w="634" w:type="pct"/>
            <w:vAlign w:val="center"/>
          </w:tcPr>
          <w:p w14:paraId="2F0ED3C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1.61</w:t>
            </w:r>
            <w:r>
              <w:rPr>
                <w:rFonts w:ascii="Times New Roman" w:hAnsi="Times New Roman" w:cs="Times New Roman" w:hint="eastAsia"/>
                <w:color w:val="000000"/>
                <w:sz w:val="21"/>
                <w:szCs w:val="21"/>
              </w:rPr>
              <w:t>%</w:t>
            </w:r>
          </w:p>
        </w:tc>
      </w:tr>
      <w:tr w:rsidR="000A0ACD" w14:paraId="2839B51B" w14:textId="77777777">
        <w:trPr>
          <w:trHeight w:val="397"/>
        </w:trPr>
        <w:tc>
          <w:tcPr>
            <w:tcW w:w="944" w:type="pct"/>
            <w:shd w:val="clear" w:color="auto" w:fill="auto"/>
            <w:vAlign w:val="center"/>
          </w:tcPr>
          <w:p w14:paraId="0FD59134"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1-2</w:t>
            </w:r>
            <w:r>
              <w:rPr>
                <w:rFonts w:ascii="Times New Roman" w:hAnsi="Times New Roman" w:cs="Times New Roman" w:hint="eastAsia"/>
                <w:color w:val="000000"/>
                <w:sz w:val="21"/>
                <w:szCs w:val="21"/>
                <w:lang w:val="en-GB"/>
              </w:rPr>
              <w:t>年</w:t>
            </w:r>
          </w:p>
        </w:tc>
        <w:tc>
          <w:tcPr>
            <w:tcW w:w="570" w:type="pct"/>
            <w:vAlign w:val="center"/>
          </w:tcPr>
          <w:p w14:paraId="0F30430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985" w:type="pct"/>
            <w:vAlign w:val="center"/>
          </w:tcPr>
          <w:p w14:paraId="4988DDF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649" w:type="pct"/>
            <w:vAlign w:val="center"/>
          </w:tcPr>
          <w:p w14:paraId="22B7B52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650" w:type="pct"/>
            <w:vAlign w:val="center"/>
          </w:tcPr>
          <w:p w14:paraId="7CAC848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568" w:type="pct"/>
            <w:vAlign w:val="center"/>
          </w:tcPr>
          <w:p w14:paraId="0164610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13.74%</w:t>
            </w:r>
          </w:p>
        </w:tc>
        <w:tc>
          <w:tcPr>
            <w:tcW w:w="634" w:type="pct"/>
            <w:vAlign w:val="center"/>
          </w:tcPr>
          <w:p w14:paraId="02EBB98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17.91</w:t>
            </w:r>
            <w:r>
              <w:rPr>
                <w:rFonts w:ascii="Times New Roman" w:hAnsi="Times New Roman" w:cs="Times New Roman" w:hint="eastAsia"/>
                <w:color w:val="000000"/>
                <w:sz w:val="21"/>
                <w:szCs w:val="21"/>
              </w:rPr>
              <w:t>%</w:t>
            </w:r>
          </w:p>
        </w:tc>
      </w:tr>
      <w:tr w:rsidR="000A0ACD" w14:paraId="197A55FC" w14:textId="77777777">
        <w:trPr>
          <w:trHeight w:val="397"/>
        </w:trPr>
        <w:tc>
          <w:tcPr>
            <w:tcW w:w="944" w:type="pct"/>
            <w:shd w:val="clear" w:color="auto" w:fill="auto"/>
            <w:vAlign w:val="center"/>
          </w:tcPr>
          <w:p w14:paraId="48E5A735"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2-3</w:t>
            </w:r>
            <w:r>
              <w:rPr>
                <w:rFonts w:ascii="Times New Roman" w:hAnsi="Times New Roman" w:cs="Times New Roman" w:hint="eastAsia"/>
                <w:color w:val="000000"/>
                <w:sz w:val="21"/>
                <w:szCs w:val="21"/>
              </w:rPr>
              <w:t>年</w:t>
            </w:r>
          </w:p>
        </w:tc>
        <w:tc>
          <w:tcPr>
            <w:tcW w:w="570" w:type="pct"/>
            <w:vAlign w:val="center"/>
          </w:tcPr>
          <w:p w14:paraId="2D4C780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30.00%</w:t>
            </w:r>
          </w:p>
        </w:tc>
        <w:tc>
          <w:tcPr>
            <w:tcW w:w="985" w:type="pct"/>
            <w:vAlign w:val="center"/>
          </w:tcPr>
          <w:p w14:paraId="69A4952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20.00%</w:t>
            </w:r>
          </w:p>
        </w:tc>
        <w:tc>
          <w:tcPr>
            <w:tcW w:w="649" w:type="pct"/>
            <w:vAlign w:val="center"/>
          </w:tcPr>
          <w:p w14:paraId="69F9F9D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50.00%</w:t>
            </w:r>
          </w:p>
        </w:tc>
        <w:tc>
          <w:tcPr>
            <w:tcW w:w="650" w:type="pct"/>
            <w:vAlign w:val="center"/>
          </w:tcPr>
          <w:p w14:paraId="35F37C3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30.00%</w:t>
            </w:r>
          </w:p>
        </w:tc>
        <w:tc>
          <w:tcPr>
            <w:tcW w:w="568" w:type="pct"/>
            <w:vAlign w:val="center"/>
          </w:tcPr>
          <w:p w14:paraId="58EFFC4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23.06%</w:t>
            </w:r>
          </w:p>
        </w:tc>
        <w:tc>
          <w:tcPr>
            <w:tcW w:w="634" w:type="pct"/>
            <w:vAlign w:val="center"/>
          </w:tcPr>
          <w:p w14:paraId="09AEFF0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30.33</w:t>
            </w:r>
            <w:r>
              <w:rPr>
                <w:rFonts w:ascii="Times New Roman" w:hAnsi="Times New Roman" w:cs="Times New Roman" w:hint="eastAsia"/>
                <w:color w:val="000000"/>
                <w:sz w:val="21"/>
                <w:szCs w:val="21"/>
              </w:rPr>
              <w:t>%</w:t>
            </w:r>
          </w:p>
        </w:tc>
      </w:tr>
      <w:tr w:rsidR="000A0ACD" w14:paraId="302811BF" w14:textId="77777777">
        <w:trPr>
          <w:trHeight w:val="397"/>
        </w:trPr>
        <w:tc>
          <w:tcPr>
            <w:tcW w:w="944" w:type="pct"/>
            <w:shd w:val="clear" w:color="auto" w:fill="auto"/>
            <w:vAlign w:val="center"/>
          </w:tcPr>
          <w:p w14:paraId="05415EFF"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3-4</w:t>
            </w:r>
            <w:r>
              <w:rPr>
                <w:rFonts w:ascii="Times New Roman" w:hAnsi="Times New Roman" w:cs="Times New Roman" w:hint="eastAsia"/>
                <w:color w:val="000000"/>
                <w:sz w:val="21"/>
                <w:szCs w:val="21"/>
              </w:rPr>
              <w:t>年</w:t>
            </w:r>
          </w:p>
        </w:tc>
        <w:tc>
          <w:tcPr>
            <w:tcW w:w="570" w:type="pct"/>
            <w:vAlign w:val="center"/>
          </w:tcPr>
          <w:p w14:paraId="37E603D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50.00%</w:t>
            </w:r>
          </w:p>
        </w:tc>
        <w:tc>
          <w:tcPr>
            <w:tcW w:w="985" w:type="pct"/>
            <w:vAlign w:val="center"/>
          </w:tcPr>
          <w:p w14:paraId="0E2D8F6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50.00%</w:t>
            </w:r>
          </w:p>
        </w:tc>
        <w:tc>
          <w:tcPr>
            <w:tcW w:w="649" w:type="pct"/>
            <w:vAlign w:val="center"/>
          </w:tcPr>
          <w:p w14:paraId="04E3C69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650" w:type="pct"/>
            <w:vAlign w:val="center"/>
          </w:tcPr>
          <w:p w14:paraId="3145D2E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60.00%</w:t>
            </w:r>
          </w:p>
        </w:tc>
        <w:tc>
          <w:tcPr>
            <w:tcW w:w="568" w:type="pct"/>
            <w:vAlign w:val="center"/>
          </w:tcPr>
          <w:p w14:paraId="5EB928D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31.76%</w:t>
            </w:r>
          </w:p>
        </w:tc>
        <w:tc>
          <w:tcPr>
            <w:tcW w:w="634" w:type="pct"/>
            <w:vAlign w:val="center"/>
          </w:tcPr>
          <w:p w14:paraId="00614F3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59.07</w:t>
            </w:r>
            <w:r>
              <w:rPr>
                <w:rFonts w:ascii="Times New Roman" w:hAnsi="Times New Roman" w:cs="Times New Roman" w:hint="eastAsia"/>
                <w:color w:val="000000"/>
                <w:sz w:val="21"/>
                <w:szCs w:val="21"/>
              </w:rPr>
              <w:t>%</w:t>
            </w:r>
          </w:p>
        </w:tc>
      </w:tr>
      <w:tr w:rsidR="000A0ACD" w14:paraId="53146F83" w14:textId="77777777">
        <w:trPr>
          <w:trHeight w:val="397"/>
        </w:trPr>
        <w:tc>
          <w:tcPr>
            <w:tcW w:w="944" w:type="pct"/>
            <w:shd w:val="clear" w:color="auto" w:fill="auto"/>
            <w:vAlign w:val="center"/>
          </w:tcPr>
          <w:p w14:paraId="0C3DAB67"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4-5</w:t>
            </w:r>
            <w:r>
              <w:rPr>
                <w:rFonts w:ascii="Times New Roman" w:hAnsi="Times New Roman" w:cs="Times New Roman" w:hint="eastAsia"/>
                <w:color w:val="000000"/>
                <w:sz w:val="21"/>
                <w:szCs w:val="21"/>
              </w:rPr>
              <w:t>年</w:t>
            </w:r>
          </w:p>
        </w:tc>
        <w:tc>
          <w:tcPr>
            <w:tcW w:w="570" w:type="pct"/>
            <w:vAlign w:val="center"/>
          </w:tcPr>
          <w:p w14:paraId="34E5363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70.00%</w:t>
            </w:r>
          </w:p>
        </w:tc>
        <w:tc>
          <w:tcPr>
            <w:tcW w:w="985" w:type="pct"/>
            <w:vAlign w:val="center"/>
          </w:tcPr>
          <w:p w14:paraId="585D540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80.00%</w:t>
            </w:r>
          </w:p>
        </w:tc>
        <w:tc>
          <w:tcPr>
            <w:tcW w:w="649" w:type="pct"/>
            <w:vAlign w:val="center"/>
          </w:tcPr>
          <w:p w14:paraId="0F6DD3B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650" w:type="pct"/>
            <w:vAlign w:val="center"/>
          </w:tcPr>
          <w:p w14:paraId="03608D7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568" w:type="pct"/>
            <w:vAlign w:val="center"/>
          </w:tcPr>
          <w:p w14:paraId="2A1F001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63.70%</w:t>
            </w:r>
          </w:p>
        </w:tc>
        <w:tc>
          <w:tcPr>
            <w:tcW w:w="634" w:type="pct"/>
            <w:vAlign w:val="center"/>
          </w:tcPr>
          <w:p w14:paraId="02535C9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82.96</w:t>
            </w:r>
            <w:r>
              <w:rPr>
                <w:rFonts w:ascii="Times New Roman" w:hAnsi="Times New Roman" w:cs="Times New Roman" w:hint="eastAsia"/>
                <w:color w:val="000000"/>
                <w:sz w:val="21"/>
                <w:szCs w:val="21"/>
              </w:rPr>
              <w:t>%</w:t>
            </w:r>
          </w:p>
        </w:tc>
      </w:tr>
      <w:tr w:rsidR="000A0ACD" w14:paraId="21396C25" w14:textId="77777777">
        <w:trPr>
          <w:trHeight w:val="397"/>
        </w:trPr>
        <w:tc>
          <w:tcPr>
            <w:tcW w:w="944" w:type="pct"/>
            <w:shd w:val="clear" w:color="auto" w:fill="auto"/>
            <w:vAlign w:val="center"/>
          </w:tcPr>
          <w:p w14:paraId="5206E030"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5</w:t>
            </w:r>
            <w:r>
              <w:rPr>
                <w:rFonts w:ascii="Times New Roman" w:hAnsi="Times New Roman" w:cs="Times New Roman" w:hint="eastAsia"/>
                <w:color w:val="000000"/>
                <w:sz w:val="21"/>
                <w:szCs w:val="21"/>
              </w:rPr>
              <w:t>年以上</w:t>
            </w:r>
          </w:p>
        </w:tc>
        <w:tc>
          <w:tcPr>
            <w:tcW w:w="570" w:type="pct"/>
            <w:vAlign w:val="center"/>
          </w:tcPr>
          <w:p w14:paraId="6CD37BF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985" w:type="pct"/>
            <w:vAlign w:val="center"/>
          </w:tcPr>
          <w:p w14:paraId="084857A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649" w:type="pct"/>
            <w:vAlign w:val="center"/>
          </w:tcPr>
          <w:p w14:paraId="5A56705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650" w:type="pct"/>
            <w:vAlign w:val="center"/>
          </w:tcPr>
          <w:p w14:paraId="411F891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568" w:type="pct"/>
            <w:vAlign w:val="center"/>
          </w:tcPr>
          <w:p w14:paraId="71DA79D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634" w:type="pct"/>
            <w:vAlign w:val="center"/>
          </w:tcPr>
          <w:p w14:paraId="6581021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r>
              <w:rPr>
                <w:rFonts w:ascii="Times New Roman" w:hAnsi="Times New Roman" w:cs="Times New Roman" w:hint="eastAsia"/>
                <w:color w:val="000000"/>
                <w:sz w:val="21"/>
                <w:szCs w:val="21"/>
              </w:rPr>
              <w:t>%</w:t>
            </w:r>
          </w:p>
        </w:tc>
      </w:tr>
    </w:tbl>
    <w:p w14:paraId="32F687BB"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36C1E4EE" w14:textId="77777777" w:rsidR="000A0ACD" w:rsidRDefault="00362A99">
      <w:pPr>
        <w:suppressAutoHyphen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综上所述，北洋天青公司</w:t>
      </w:r>
      <w:r>
        <w:rPr>
          <w:rFonts w:ascii="Times New Roman" w:hAnsi="Times New Roman" w:cs="Times New Roman"/>
        </w:rPr>
        <w:t>1</w:t>
      </w:r>
      <w:r>
        <w:rPr>
          <w:rFonts w:ascii="Times New Roman" w:hAnsi="Times New Roman" w:cs="Times New Roman" w:hint="eastAsia"/>
        </w:rPr>
        <w:t>年以内的应收账款坏账计提比例虽低于同行业可比公司，但应收账款坏账准备计提政策总体上与同行业可比公司不存在显著差异，报告期内标的公司账龄结构合理，对应收账款的坏账准备计提充分、合理。</w:t>
      </w:r>
    </w:p>
    <w:p w14:paraId="477849B0"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六、补充披露情况</w:t>
      </w:r>
    </w:p>
    <w:p w14:paraId="6CAFCCDC"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管理层讨论与分析”之“三、标的公司报告期财务状况和经营成果的讨论分析”之“（一）财务情况分析”进行了补充披露。</w:t>
      </w:r>
    </w:p>
    <w:p w14:paraId="2F5311A7" w14:textId="77777777" w:rsidR="000A0ACD" w:rsidRDefault="00362A99">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七、中介机构核查意见</w:t>
      </w:r>
    </w:p>
    <w:p w14:paraId="20D905B7" w14:textId="77777777" w:rsidR="000A0ACD" w:rsidRDefault="00362A99">
      <w:pPr>
        <w:suppressAutoHyphen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经核查，独立财务顾问和会计师认为：标的公司</w:t>
      </w:r>
      <w:r>
        <w:rPr>
          <w:rFonts w:ascii="Times New Roman" w:hAnsi="Times New Roman" w:cs="Times New Roman"/>
        </w:rPr>
        <w:t>2019</w:t>
      </w:r>
      <w:r>
        <w:rPr>
          <w:rFonts w:ascii="Times New Roman" w:hAnsi="Times New Roman" w:cs="Times New Roman" w:hint="eastAsia"/>
        </w:rPr>
        <w:t>年末标的公司应收账款相较于</w:t>
      </w:r>
      <w:r>
        <w:rPr>
          <w:rFonts w:ascii="Times New Roman" w:hAnsi="Times New Roman" w:cs="Times New Roman"/>
        </w:rPr>
        <w:t>2018</w:t>
      </w:r>
      <w:r>
        <w:rPr>
          <w:rFonts w:ascii="Times New Roman" w:hAnsi="Times New Roman" w:cs="Times New Roman" w:hint="eastAsia"/>
        </w:rPr>
        <w:t>年大幅增加</w:t>
      </w:r>
      <w:r>
        <w:rPr>
          <w:rFonts w:ascii="Times New Roman" w:hAnsi="Times New Roman" w:cs="Times New Roman"/>
        </w:rPr>
        <w:t>119.75%</w:t>
      </w:r>
      <w:r>
        <w:rPr>
          <w:rFonts w:ascii="Times New Roman" w:hAnsi="Times New Roman" w:cs="Times New Roman" w:hint="eastAsia"/>
        </w:rPr>
        <w:t>，主要系标的公司经营状况良好，业务规模持续扩大，营业收入持续上升，从而导致应收账款规模相应增长所致。</w:t>
      </w:r>
      <w:r>
        <w:rPr>
          <w:rFonts w:ascii="Times New Roman" w:hAnsi="Times New Roman" w:cs="Times New Roman"/>
        </w:rPr>
        <w:t>2020</w:t>
      </w:r>
      <w:r>
        <w:rPr>
          <w:rFonts w:ascii="Times New Roman" w:hAnsi="Times New Roman" w:cs="Times New Roman" w:hint="eastAsia"/>
        </w:rPr>
        <w:t>年末，标的公司应收账款相较于</w:t>
      </w:r>
      <w:r>
        <w:rPr>
          <w:rFonts w:ascii="Times New Roman" w:hAnsi="Times New Roman" w:cs="Times New Roman"/>
        </w:rPr>
        <w:t>2019</w:t>
      </w:r>
      <w:r>
        <w:rPr>
          <w:rFonts w:ascii="Times New Roman" w:hAnsi="Times New Roman" w:cs="Times New Roman" w:hint="eastAsia"/>
        </w:rPr>
        <w:t>年末增加</w:t>
      </w:r>
      <w:r>
        <w:rPr>
          <w:rFonts w:ascii="Times New Roman" w:hAnsi="Times New Roman" w:cs="Times New Roman"/>
        </w:rPr>
        <w:t>51.81%</w:t>
      </w:r>
      <w:r>
        <w:rPr>
          <w:rFonts w:ascii="Times New Roman" w:hAnsi="Times New Roman" w:cs="Times New Roman" w:hint="eastAsia"/>
        </w:rPr>
        <w:t>，主要系受疫情影响，客户回款较慢所致。报告期内标的公司账龄结构合理，对应收账款的坏账准备计提充分、合理。</w:t>
      </w:r>
    </w:p>
    <w:p w14:paraId="40BD1359"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）补充披露客户回款的及时性、对北洋天青现金流的影响</w:t>
      </w:r>
    </w:p>
    <w:p w14:paraId="309C1D51"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一、客户回款的及时性、对北洋天青现金流的影响</w:t>
      </w:r>
    </w:p>
    <w:p w14:paraId="701D7A0D" w14:textId="77777777" w:rsidR="000A0ACD" w:rsidRDefault="00362A99">
      <w:pPr>
        <w:suppressAutoHyphen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北洋天青于</w:t>
      </w:r>
      <w:r>
        <w:rPr>
          <w:rFonts w:ascii="Times New Roman" w:hAnsi="Times New Roman" w:cs="Times New Roman"/>
        </w:rPr>
        <w:t>2018</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日的应收账款账面余额为</w:t>
      </w:r>
      <w:r>
        <w:rPr>
          <w:rFonts w:ascii="Times New Roman" w:hAnsi="Times New Roman" w:cs="Times New Roman"/>
        </w:rPr>
        <w:t>1,443.10</w:t>
      </w:r>
      <w:r>
        <w:rPr>
          <w:rFonts w:ascii="Times New Roman" w:hAnsi="Times New Roman" w:cs="Times New Roman" w:hint="eastAsia"/>
        </w:rPr>
        <w:t>万元，该应收账款于</w:t>
      </w:r>
      <w:r>
        <w:rPr>
          <w:rFonts w:ascii="Times New Roman" w:hAnsi="Times New Roman" w:cs="Times New Roman"/>
        </w:rPr>
        <w:t>2019</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日前已收回</w:t>
      </w:r>
      <w:r>
        <w:rPr>
          <w:rFonts w:ascii="Times New Roman" w:hAnsi="Times New Roman" w:cs="Times New Roman"/>
        </w:rPr>
        <w:t>1,360.30</w:t>
      </w:r>
      <w:r>
        <w:rPr>
          <w:rFonts w:ascii="Times New Roman" w:hAnsi="Times New Roman" w:cs="Times New Roman" w:hint="eastAsia"/>
        </w:rPr>
        <w:t>万元，已回款金额占应收账款账面余额的比例为</w:t>
      </w:r>
      <w:r>
        <w:rPr>
          <w:rFonts w:ascii="Times New Roman" w:hAnsi="Times New Roman" w:cs="Times New Roman"/>
        </w:rPr>
        <w:t>94.26%</w:t>
      </w:r>
      <w:r>
        <w:rPr>
          <w:rFonts w:ascii="Times New Roman" w:hAnsi="Times New Roman" w:cs="Times New Roman" w:hint="eastAsia"/>
        </w:rPr>
        <w:t>。北洋天青于</w:t>
      </w:r>
      <w:r>
        <w:rPr>
          <w:rFonts w:ascii="Times New Roman" w:hAnsi="Times New Roman" w:cs="Times New Roman"/>
        </w:rPr>
        <w:t>2019</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日的应收账款账面余额为</w:t>
      </w:r>
      <w:r>
        <w:rPr>
          <w:rFonts w:ascii="Times New Roman" w:hAnsi="Times New Roman" w:cs="Times New Roman"/>
        </w:rPr>
        <w:t>3,219.58</w:t>
      </w:r>
      <w:r>
        <w:rPr>
          <w:rFonts w:ascii="Times New Roman" w:hAnsi="Times New Roman" w:cs="Times New Roman" w:hint="eastAsia"/>
        </w:rPr>
        <w:t>万元，该应收账款于</w:t>
      </w:r>
      <w:r>
        <w:rPr>
          <w:rFonts w:ascii="Times New Roman" w:hAnsi="Times New Roman" w:cs="Times New Roman"/>
        </w:rPr>
        <w:t>2020</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日前已收回</w:t>
      </w:r>
      <w:r>
        <w:rPr>
          <w:rFonts w:ascii="Times New Roman" w:hAnsi="Times New Roman" w:cs="Times New Roman"/>
        </w:rPr>
        <w:t>1,954.13</w:t>
      </w:r>
      <w:r>
        <w:rPr>
          <w:rFonts w:ascii="Times New Roman" w:hAnsi="Times New Roman" w:cs="Times New Roman" w:hint="eastAsia"/>
        </w:rPr>
        <w:t>万元，已回款金额占应收账款账面余额的比例为</w:t>
      </w:r>
      <w:r>
        <w:rPr>
          <w:rFonts w:ascii="Times New Roman" w:hAnsi="Times New Roman" w:cs="Times New Roman"/>
        </w:rPr>
        <w:t>60.70%,</w:t>
      </w:r>
      <w:r>
        <w:rPr>
          <w:rFonts w:ascii="Times New Roman" w:hAnsi="Times New Roman" w:cs="Times New Roman" w:hint="eastAsia"/>
        </w:rPr>
        <w:t>主要未回款客户为青岛胶南海尔洗衣机有限公司，该客户于</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1</w:t>
      </w:r>
      <w:r>
        <w:rPr>
          <w:rFonts w:ascii="Times New Roman" w:hAnsi="Times New Roman" w:cs="Times New Roman" w:hint="eastAsia"/>
        </w:rPr>
        <w:t>月回款</w:t>
      </w:r>
      <w:r>
        <w:rPr>
          <w:rFonts w:ascii="Times New Roman" w:hAnsi="Times New Roman" w:cs="Times New Roman"/>
        </w:rPr>
        <w:t>241.67</w:t>
      </w:r>
      <w:r>
        <w:rPr>
          <w:rFonts w:ascii="Times New Roman" w:hAnsi="Times New Roman" w:cs="Times New Roman" w:hint="eastAsia"/>
        </w:rPr>
        <w:t>万元，预计将于</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6</w:t>
      </w:r>
      <w:r>
        <w:rPr>
          <w:rFonts w:ascii="Times New Roman" w:hAnsi="Times New Roman" w:cs="Times New Roman" w:hint="eastAsia"/>
        </w:rPr>
        <w:t>月增加回款</w:t>
      </w:r>
      <w:r>
        <w:rPr>
          <w:rFonts w:ascii="Times New Roman" w:hAnsi="Times New Roman" w:cs="Times New Roman"/>
        </w:rPr>
        <w:t>87.6</w:t>
      </w:r>
      <w:r>
        <w:rPr>
          <w:rFonts w:ascii="Times New Roman" w:hAnsi="Times New Roman" w:cs="Times New Roman" w:hint="eastAsia"/>
        </w:rPr>
        <w:t>万元，其余款项将在</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10</w:t>
      </w:r>
      <w:r>
        <w:rPr>
          <w:rFonts w:ascii="Times New Roman" w:hAnsi="Times New Roman" w:cs="Times New Roman" w:hint="eastAsia"/>
        </w:rPr>
        <w:t>月前回款完毕。北洋天青于</w:t>
      </w:r>
      <w:r>
        <w:rPr>
          <w:rFonts w:ascii="Times New Roman" w:hAnsi="Times New Roman" w:cs="Times New Roman"/>
        </w:rPr>
        <w:t>2020</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日的应收账款账面余额为</w:t>
      </w:r>
      <w:r>
        <w:rPr>
          <w:rFonts w:ascii="Times New Roman" w:hAnsi="Times New Roman" w:cs="Times New Roman"/>
        </w:rPr>
        <w:t>5,039.19</w:t>
      </w:r>
      <w:r>
        <w:rPr>
          <w:rFonts w:ascii="Times New Roman" w:hAnsi="Times New Roman" w:cs="Times New Roman" w:hint="eastAsia"/>
        </w:rPr>
        <w:t>万元，截至本回复出具日，该应收账款已收回</w:t>
      </w:r>
      <w:r>
        <w:rPr>
          <w:rFonts w:ascii="Times New Roman" w:hAnsi="Times New Roman" w:cs="Times New Roman"/>
        </w:rPr>
        <w:t>1,385.04</w:t>
      </w:r>
      <w:r>
        <w:rPr>
          <w:rFonts w:ascii="Times New Roman" w:hAnsi="Times New Roman" w:cs="Times New Roman" w:hint="eastAsia"/>
        </w:rPr>
        <w:t>万元，已回款金额占应收账款账面余额的比例为</w:t>
      </w:r>
      <w:r>
        <w:rPr>
          <w:rFonts w:ascii="Times New Roman" w:hAnsi="Times New Roman" w:cs="Times New Roman"/>
        </w:rPr>
        <w:t>27.49%</w:t>
      </w:r>
      <w:r>
        <w:rPr>
          <w:rFonts w:ascii="Times New Roman" w:hAnsi="Times New Roman" w:cs="Times New Roman" w:hint="eastAsia"/>
        </w:rPr>
        <w:t>。</w:t>
      </w:r>
    </w:p>
    <w:p w14:paraId="35E02575" w14:textId="77777777" w:rsidR="000A0ACD" w:rsidRDefault="00362A99">
      <w:pPr>
        <w:suppressAutoHyphen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w:t>
      </w:r>
      <w:r>
        <w:rPr>
          <w:rFonts w:ascii="Times New Roman" w:hAnsi="Times New Roman" w:cs="Times New Roman"/>
        </w:rPr>
        <w:t>2018</w:t>
      </w:r>
      <w:r>
        <w:rPr>
          <w:rFonts w:ascii="Times New Roman" w:hAnsi="Times New Roman" w:cs="Times New Roman" w:hint="eastAsia"/>
        </w:rPr>
        <w:t>年、</w:t>
      </w:r>
      <w:r>
        <w:rPr>
          <w:rFonts w:ascii="Times New Roman" w:hAnsi="Times New Roman" w:cs="Times New Roman"/>
        </w:rPr>
        <w:t>2019</w:t>
      </w:r>
      <w:r>
        <w:rPr>
          <w:rFonts w:ascii="Times New Roman" w:hAnsi="Times New Roman" w:cs="Times New Roman" w:hint="eastAsia"/>
        </w:rPr>
        <w:t>年、</w:t>
      </w:r>
      <w:r>
        <w:rPr>
          <w:rFonts w:ascii="Times New Roman" w:hAnsi="Times New Roman" w:cs="Times New Roman"/>
        </w:rPr>
        <w:t>2020</w:t>
      </w:r>
      <w:r>
        <w:rPr>
          <w:rFonts w:ascii="Times New Roman" w:hAnsi="Times New Roman" w:cs="Times New Roman" w:hint="eastAsia"/>
        </w:rPr>
        <w:t>年经营活动产生的现金流量净额分别为</w:t>
      </w:r>
      <w:r>
        <w:rPr>
          <w:rFonts w:ascii="Times New Roman" w:hAnsi="Times New Roman" w:cs="Times New Roman"/>
        </w:rPr>
        <w:t>1,595.26</w:t>
      </w:r>
      <w:r>
        <w:rPr>
          <w:rFonts w:ascii="Times New Roman" w:hAnsi="Times New Roman" w:cs="Times New Roman" w:hint="eastAsia"/>
        </w:rPr>
        <w:t>万元、</w:t>
      </w:r>
      <w:r>
        <w:rPr>
          <w:rFonts w:ascii="Times New Roman" w:hAnsi="Times New Roman" w:cs="Times New Roman"/>
        </w:rPr>
        <w:t>-702.30</w:t>
      </w:r>
      <w:r>
        <w:rPr>
          <w:rFonts w:ascii="Times New Roman" w:hAnsi="Times New Roman" w:cs="Times New Roman" w:hint="eastAsia"/>
        </w:rPr>
        <w:t>万元、</w:t>
      </w:r>
      <w:r>
        <w:rPr>
          <w:rFonts w:ascii="Times New Roman" w:hAnsi="Times New Roman" w:cs="Times New Roman"/>
        </w:rPr>
        <w:t>4,059.30</w:t>
      </w:r>
      <w:r>
        <w:rPr>
          <w:rFonts w:ascii="Times New Roman" w:hAnsi="Times New Roman" w:cs="Times New Roman" w:hint="eastAsia"/>
        </w:rPr>
        <w:t>万元，现金及现金等价物净增加额</w:t>
      </w:r>
      <w:r>
        <w:rPr>
          <w:rFonts w:ascii="Times New Roman" w:hAnsi="Times New Roman" w:cs="Times New Roman"/>
        </w:rPr>
        <w:t>736.42</w:t>
      </w:r>
      <w:r>
        <w:rPr>
          <w:rFonts w:ascii="Times New Roman" w:hAnsi="Times New Roman" w:cs="Times New Roman" w:hint="eastAsia"/>
        </w:rPr>
        <w:t>万元、</w:t>
      </w:r>
      <w:r>
        <w:rPr>
          <w:rFonts w:ascii="Times New Roman" w:hAnsi="Times New Roman" w:cs="Times New Roman"/>
        </w:rPr>
        <w:t>473.45</w:t>
      </w:r>
      <w:r>
        <w:rPr>
          <w:rFonts w:ascii="Times New Roman" w:hAnsi="Times New Roman" w:cs="Times New Roman" w:hint="eastAsia"/>
        </w:rPr>
        <w:t>万元、</w:t>
      </w:r>
      <w:r>
        <w:rPr>
          <w:rFonts w:ascii="Times New Roman" w:hAnsi="Times New Roman" w:cs="Times New Roman"/>
        </w:rPr>
        <w:t>4,766.36</w:t>
      </w:r>
      <w:r>
        <w:rPr>
          <w:rFonts w:ascii="Times New Roman" w:hAnsi="Times New Roman" w:cs="Times New Roman" w:hint="eastAsia"/>
        </w:rPr>
        <w:t>万元，报告期内除</w:t>
      </w:r>
      <w:r>
        <w:rPr>
          <w:rFonts w:ascii="Times New Roman" w:hAnsi="Times New Roman" w:cs="Times New Roman"/>
        </w:rPr>
        <w:t>2019</w:t>
      </w:r>
      <w:r>
        <w:rPr>
          <w:rFonts w:ascii="Times New Roman" w:hAnsi="Times New Roman" w:cs="Times New Roman" w:hint="eastAsia"/>
        </w:rPr>
        <w:t>年经营活动产生的现金流量净额为负以外，其余年度经营活动产生的现金流量净额均为正，且各年度现金及现金等价物净增加额均为正值。此外，截至</w:t>
      </w:r>
      <w:r>
        <w:rPr>
          <w:rFonts w:ascii="Times New Roman" w:hAnsi="Times New Roman" w:cs="Times New Roman"/>
        </w:rPr>
        <w:t>2020</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日北洋天青账面有</w:t>
      </w:r>
      <w:r>
        <w:rPr>
          <w:rFonts w:ascii="Times New Roman" w:hAnsi="Times New Roman" w:cs="Times New Roman"/>
        </w:rPr>
        <w:t>9,055.21</w:t>
      </w:r>
      <w:r>
        <w:rPr>
          <w:rFonts w:ascii="Times New Roman" w:hAnsi="Times New Roman" w:cs="Times New Roman" w:hint="eastAsia"/>
        </w:rPr>
        <w:t>万元货币资金作为保障。</w:t>
      </w:r>
    </w:p>
    <w:p w14:paraId="7309C029" w14:textId="77777777" w:rsidR="000A0ACD" w:rsidRDefault="00362A99">
      <w:pPr>
        <w:suppressAutoHyphen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根据北洋天青一般销售合同规定，在设备安装前北洋天青应收到客户</w:t>
      </w:r>
      <w:r>
        <w:rPr>
          <w:rFonts w:ascii="Times New Roman" w:hAnsi="Times New Roman" w:cs="Times New Roman"/>
        </w:rPr>
        <w:t>60%</w:t>
      </w:r>
      <w:r>
        <w:rPr>
          <w:rFonts w:ascii="Times New Roman" w:hAnsi="Times New Roman" w:cs="Times New Roman" w:hint="eastAsia"/>
        </w:rPr>
        <w:t>左右的款项，在验收后应当收到客户</w:t>
      </w:r>
      <w:r>
        <w:rPr>
          <w:rFonts w:ascii="Times New Roman" w:hAnsi="Times New Roman" w:cs="Times New Roman"/>
        </w:rPr>
        <w:t>90%</w:t>
      </w:r>
      <w:r>
        <w:rPr>
          <w:rFonts w:ascii="Times New Roman" w:hAnsi="Times New Roman" w:cs="Times New Roman" w:hint="eastAsia"/>
        </w:rPr>
        <w:t>的款项。截至本回复出具日，标的公司应收账款大部分账龄小于一年，客户回款较为及时，未对北洋天青的现金流造成较大影响。</w:t>
      </w:r>
    </w:p>
    <w:p w14:paraId="581DC9BF"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二、补充披露情况</w:t>
      </w:r>
    </w:p>
    <w:p w14:paraId="09D1911C"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管理层讨论与分析”之“三、标的公司报告期财务状况和经营成果的讨论分析”之“（一）财务情况分析”进行了补充披露。</w:t>
      </w:r>
    </w:p>
    <w:p w14:paraId="47B8A827"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三、中介机构核查意见</w:t>
      </w:r>
    </w:p>
    <w:p w14:paraId="1217B6DD" w14:textId="4EC70874"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经核查，独立财务顾问和会计师认为：</w:t>
      </w:r>
      <w:r w:rsidR="00653E7B">
        <w:rPr>
          <w:rFonts w:ascii="Times New Roman" w:hAnsi="Times New Roman" w:cs="Times New Roman" w:hint="eastAsia"/>
        </w:rPr>
        <w:t>标的公司</w:t>
      </w:r>
      <w:r w:rsidR="00653E7B">
        <w:rPr>
          <w:rFonts w:ascii="Times New Roman" w:hAnsi="Times New Roman" w:cs="Times New Roman" w:hint="eastAsia"/>
        </w:rPr>
        <w:t>2</w:t>
      </w:r>
      <w:r w:rsidR="00653E7B">
        <w:rPr>
          <w:rFonts w:ascii="Times New Roman" w:hAnsi="Times New Roman" w:cs="Times New Roman"/>
        </w:rPr>
        <w:t>020</w:t>
      </w:r>
      <w:r w:rsidR="00653E7B">
        <w:rPr>
          <w:rFonts w:ascii="Times New Roman" w:hAnsi="Times New Roman" w:cs="Times New Roman" w:hint="eastAsia"/>
        </w:rPr>
        <w:t>年经营活动产生的现金流量净额为正且账面有充足的货币资金，应收账款大部分账龄小于一年，客户回款较为及时，未对北洋天青的现金流造成较大影响。</w:t>
      </w:r>
    </w:p>
    <w:p w14:paraId="32CEF5D5" w14:textId="77777777" w:rsidR="000A0ACD" w:rsidRDefault="000A0ACD">
      <w:pPr>
        <w:pStyle w:val="afffff"/>
        <w:sectPr w:rsidR="000A0ACD">
          <w:pgSz w:w="11906" w:h="16838"/>
          <w:pgMar w:top="1440" w:right="1800" w:bottom="1440" w:left="1800" w:header="851" w:footer="992" w:gutter="0"/>
          <w:cols w:space="425"/>
          <w:docGrid w:type="lines" w:linePitch="312"/>
        </w:sectPr>
      </w:pPr>
      <w:bookmarkStart w:id="98" w:name="_Toc69256877"/>
      <w:bookmarkStart w:id="99" w:name="_Toc69256859"/>
    </w:p>
    <w:p w14:paraId="48B9B309" w14:textId="77777777" w:rsidR="000A0ACD" w:rsidRDefault="00362A99">
      <w:pPr>
        <w:pStyle w:val="afffff"/>
      </w:pPr>
      <w:r>
        <w:rPr>
          <w:rFonts w:hint="eastAsia"/>
        </w:rPr>
        <w:t>第十二题</w:t>
      </w:r>
      <w:bookmarkEnd w:id="98"/>
      <w:bookmarkEnd w:id="99"/>
    </w:p>
    <w:p w14:paraId="17164520"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2018</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1-9</w:t>
      </w:r>
      <w:r>
        <w:rPr>
          <w:rFonts w:ascii="Times New Roman" w:eastAsia="黑体" w:hAnsi="Times New Roman" w:cs="Times New Roman" w:hint="eastAsia"/>
          <w:b/>
          <w:color w:val="000000"/>
          <w:szCs w:val="21"/>
        </w:rPr>
        <w:t>月，标的资产分别实现营业收入</w:t>
      </w:r>
      <w:r>
        <w:rPr>
          <w:rFonts w:ascii="Times New Roman" w:eastAsia="黑体" w:hAnsi="Times New Roman" w:cs="Times New Roman" w:hint="eastAsia"/>
          <w:b/>
          <w:color w:val="000000"/>
          <w:szCs w:val="21"/>
        </w:rPr>
        <w:t>6,106.09</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10,326.14</w:t>
      </w:r>
      <w:r>
        <w:rPr>
          <w:rFonts w:ascii="Times New Roman" w:eastAsia="黑体" w:hAnsi="Times New Roman" w:cs="Times New Roman" w:hint="eastAsia"/>
          <w:b/>
          <w:color w:val="000000"/>
          <w:szCs w:val="21"/>
        </w:rPr>
        <w:t>万元和</w:t>
      </w:r>
      <w:r>
        <w:rPr>
          <w:rFonts w:ascii="Times New Roman" w:eastAsia="黑体" w:hAnsi="Times New Roman" w:cs="Times New Roman" w:hint="eastAsia"/>
          <w:b/>
          <w:color w:val="000000"/>
          <w:szCs w:val="21"/>
        </w:rPr>
        <w:t>6,648.80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1-9</w:t>
      </w:r>
      <w:r>
        <w:rPr>
          <w:rFonts w:ascii="Times New Roman" w:eastAsia="黑体" w:hAnsi="Times New Roman" w:cs="Times New Roman" w:hint="eastAsia"/>
          <w:b/>
          <w:color w:val="000000"/>
          <w:szCs w:val="21"/>
        </w:rPr>
        <w:t>月标的资产营业收入较</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年减少</w:t>
      </w:r>
      <w:r>
        <w:rPr>
          <w:rFonts w:ascii="Times New Roman" w:eastAsia="黑体" w:hAnsi="Times New Roman" w:cs="Times New Roman" w:hint="eastAsia"/>
          <w:b/>
          <w:color w:val="000000"/>
          <w:szCs w:val="21"/>
        </w:rPr>
        <w:t>3,677.34</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）北洋天青</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年全年预测收入为</w:t>
      </w:r>
      <w:r>
        <w:rPr>
          <w:rFonts w:ascii="Times New Roman" w:eastAsia="黑体" w:hAnsi="Times New Roman" w:cs="Times New Roman" w:hint="eastAsia"/>
          <w:b/>
          <w:color w:val="000000"/>
          <w:szCs w:val="21"/>
        </w:rPr>
        <w:t>15,706.59</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2021</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-2025</w:t>
      </w:r>
      <w:r>
        <w:rPr>
          <w:rFonts w:ascii="Times New Roman" w:eastAsia="黑体" w:hAnsi="Times New Roman" w:cs="Times New Roman" w:hint="eastAsia"/>
          <w:b/>
          <w:color w:val="000000"/>
          <w:szCs w:val="21"/>
        </w:rPr>
        <w:t>年预测收入分别为</w:t>
      </w:r>
      <w:r>
        <w:rPr>
          <w:rFonts w:ascii="Times New Roman" w:eastAsia="黑体" w:hAnsi="Times New Roman" w:cs="Times New Roman" w:hint="eastAsia"/>
          <w:b/>
          <w:color w:val="000000"/>
          <w:szCs w:val="21"/>
        </w:rPr>
        <w:t>29,249</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32,361</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34,790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36,700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37,800</w:t>
      </w:r>
      <w:r>
        <w:rPr>
          <w:rFonts w:ascii="Times New Roman" w:eastAsia="黑体" w:hAnsi="Times New Roman" w:cs="Times New Roman" w:hint="eastAsia"/>
          <w:b/>
          <w:color w:val="000000"/>
          <w:szCs w:val="21"/>
        </w:rPr>
        <w:t>万元，之后期间保持稳定。</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）北洋天青报告期净利润较低，</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1-9</w:t>
      </w:r>
      <w:r>
        <w:rPr>
          <w:rFonts w:ascii="Times New Roman" w:eastAsia="黑体" w:hAnsi="Times New Roman" w:cs="Times New Roman" w:hint="eastAsia"/>
          <w:b/>
          <w:color w:val="000000"/>
          <w:szCs w:val="21"/>
        </w:rPr>
        <w:t>月仅实现净利润</w:t>
      </w:r>
      <w:r>
        <w:rPr>
          <w:rFonts w:ascii="Times New Roman" w:eastAsia="黑体" w:hAnsi="Times New Roman" w:cs="Times New Roman" w:hint="eastAsia"/>
          <w:b/>
          <w:color w:val="000000"/>
          <w:szCs w:val="21"/>
        </w:rPr>
        <w:t>121.76</w:t>
      </w:r>
      <w:r>
        <w:rPr>
          <w:rFonts w:ascii="Times New Roman" w:eastAsia="黑体" w:hAnsi="Times New Roman" w:cs="Times New Roman" w:hint="eastAsia"/>
          <w:b/>
          <w:color w:val="000000"/>
          <w:szCs w:val="21"/>
        </w:rPr>
        <w:t>万元，均远低于预测期各期净利润。</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-2023</w:t>
      </w:r>
      <w:r>
        <w:rPr>
          <w:rFonts w:ascii="Times New Roman" w:eastAsia="黑体" w:hAnsi="Times New Roman" w:cs="Times New Roman" w:hint="eastAsia"/>
          <w:b/>
          <w:color w:val="000000"/>
          <w:szCs w:val="21"/>
        </w:rPr>
        <w:t>年各年承诺净利润依次为</w:t>
      </w:r>
      <w:r>
        <w:rPr>
          <w:rFonts w:ascii="Times New Roman" w:eastAsia="黑体" w:hAnsi="Times New Roman" w:cs="Times New Roman" w:hint="eastAsia"/>
          <w:b/>
          <w:color w:val="000000"/>
          <w:szCs w:val="21"/>
        </w:rPr>
        <w:t>2.750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3,800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4,100</w:t>
      </w:r>
      <w:r>
        <w:rPr>
          <w:rFonts w:ascii="Times New Roman" w:eastAsia="黑体" w:hAnsi="Times New Roman" w:cs="Times New Roman" w:hint="eastAsia"/>
          <w:b/>
          <w:color w:val="000000"/>
          <w:szCs w:val="21"/>
        </w:rPr>
        <w:t>万元和</w:t>
      </w:r>
      <w:r>
        <w:rPr>
          <w:rFonts w:ascii="Times New Roman" w:eastAsia="黑体" w:hAnsi="Times New Roman" w:cs="Times New Roman" w:hint="eastAsia"/>
          <w:b/>
          <w:color w:val="000000"/>
          <w:szCs w:val="21"/>
        </w:rPr>
        <w:t>4,300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4</w:t>
      </w:r>
      <w:r>
        <w:rPr>
          <w:rFonts w:ascii="Times New Roman" w:eastAsia="黑体" w:hAnsi="Times New Roman" w:cs="Times New Roman" w:hint="eastAsia"/>
          <w:b/>
          <w:color w:val="000000"/>
          <w:szCs w:val="21"/>
        </w:rPr>
        <w:t>）本次交易选用收益法评估值作为评估结论，评估价值为</w:t>
      </w:r>
      <w:r>
        <w:rPr>
          <w:rFonts w:ascii="Times New Roman" w:eastAsia="黑体" w:hAnsi="Times New Roman" w:cs="Times New Roman" w:hint="eastAsia"/>
          <w:b/>
          <w:color w:val="000000"/>
          <w:szCs w:val="21"/>
        </w:rPr>
        <w:t>30,800.00</w:t>
      </w:r>
      <w:r>
        <w:rPr>
          <w:rFonts w:ascii="Times New Roman" w:eastAsia="黑体" w:hAnsi="Times New Roman" w:cs="Times New Roman" w:hint="eastAsia"/>
          <w:b/>
          <w:color w:val="000000"/>
          <w:szCs w:val="21"/>
        </w:rPr>
        <w:t>万元，评估增值</w:t>
      </w:r>
      <w:r>
        <w:rPr>
          <w:rFonts w:ascii="Times New Roman" w:eastAsia="黑体" w:hAnsi="Times New Roman" w:cs="Times New Roman" w:hint="eastAsia"/>
          <w:b/>
          <w:color w:val="000000"/>
          <w:szCs w:val="21"/>
        </w:rPr>
        <w:t>24,444.20</w:t>
      </w:r>
      <w:r>
        <w:rPr>
          <w:rFonts w:ascii="Times New Roman" w:eastAsia="黑体" w:hAnsi="Times New Roman" w:cs="Times New Roman" w:hint="eastAsia"/>
          <w:b/>
          <w:color w:val="000000"/>
          <w:szCs w:val="21"/>
        </w:rPr>
        <w:t>万元、增值率为</w:t>
      </w:r>
      <w:r>
        <w:rPr>
          <w:rFonts w:ascii="Times New Roman" w:eastAsia="黑体" w:hAnsi="Times New Roman" w:cs="Times New Roman" w:hint="eastAsia"/>
          <w:b/>
          <w:color w:val="000000"/>
          <w:szCs w:val="21"/>
        </w:rPr>
        <w:t>384.60%</w:t>
      </w:r>
      <w:r>
        <w:rPr>
          <w:rFonts w:ascii="Times New Roman" w:eastAsia="黑体" w:hAnsi="Times New Roman" w:cs="Times New Roman" w:hint="eastAsia"/>
          <w:b/>
          <w:color w:val="000000"/>
          <w:szCs w:val="21"/>
        </w:rPr>
        <w:t>。请你公司：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w:t>
      </w:r>
      <w:r>
        <w:rPr>
          <w:rFonts w:ascii="Times New Roman" w:eastAsia="黑体" w:hAnsi="Times New Roman" w:cs="Times New Roman" w:hint="eastAsia"/>
          <w:b/>
          <w:szCs w:val="21"/>
        </w:rPr>
        <w:t>报告期财务数据、在手订单情况、未来市场容量、行业竞争情况以及新客户开拓和原有大客户维护情况，</w:t>
      </w:r>
      <w:r>
        <w:rPr>
          <w:rFonts w:ascii="Times New Roman" w:eastAsia="黑体" w:hAnsi="Times New Roman" w:cs="Times New Roman" w:hint="eastAsia"/>
          <w:b/>
          <w:color w:val="000000"/>
          <w:szCs w:val="21"/>
        </w:rPr>
        <w:t>补充披露标的资产预测期营业收入大幅增长的原因及合理性，并披露预测收益、预测净利润及业绩承诺的可实现性。</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）结合前述情况，补充披露标的资产评估增值率较高的原因及合理性。请独立财务顾问和评估师核查并发表明确意见。</w:t>
      </w:r>
    </w:p>
    <w:p w14:paraId="4C66A2D5" w14:textId="77777777" w:rsidR="000A0ACD" w:rsidRDefault="00362A99">
      <w:pPr>
        <w:pStyle w:val="affffd"/>
        <w:spacing w:before="156"/>
        <w:ind w:firstLine="482"/>
        <w:rPr>
          <w:b/>
        </w:rPr>
      </w:pPr>
      <w:r>
        <w:rPr>
          <w:rFonts w:hint="eastAsia"/>
          <w:b/>
        </w:rPr>
        <w:t>【回复说明】</w:t>
      </w:r>
    </w:p>
    <w:p w14:paraId="1881A6CA" w14:textId="77777777" w:rsidR="000A0ACD" w:rsidRDefault="00362A99">
      <w:pPr>
        <w:spacing w:beforeLines="50" w:before="156" w:line="360" w:lineRule="auto"/>
        <w:ind w:firstLineChars="200" w:firstLine="482"/>
        <w:jc w:val="both"/>
        <w:outlineLvl w:val="1"/>
        <w:rPr>
          <w:rFonts w:eastAsia="黑体"/>
          <w:b/>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报告期财务数据、在手订单情况、未来市场容量、行业竞争情况以及新客户开拓和原有大客户维护情况，补充披露标的资产预测期营业收入大幅增长的原因及合理性，并披露预测收益、预测净利润及业绩承诺的可实现性。</w:t>
      </w:r>
    </w:p>
    <w:p w14:paraId="40E84BF4" w14:textId="77777777" w:rsidR="000A0ACD" w:rsidRDefault="00362A99">
      <w:pPr>
        <w:pStyle w:val="03"/>
        <w:spacing w:before="156"/>
        <w:ind w:firstLineChars="200" w:firstLine="482"/>
        <w:jc w:val="both"/>
        <w:rPr>
          <w:rFonts w:ascii="Times New Roman" w:eastAsia="宋体" w:hAnsi="Times New Roman" w:cs="Times New Roman"/>
          <w:b/>
          <w:color w:val="000000"/>
          <w:sz w:val="24"/>
          <w:szCs w:val="21"/>
        </w:rPr>
      </w:pPr>
      <w:r>
        <w:rPr>
          <w:rFonts w:ascii="Times New Roman" w:eastAsia="宋体" w:hAnsi="Times New Roman" w:cs="Times New Roman" w:hint="eastAsia"/>
          <w:b/>
          <w:color w:val="000000"/>
          <w:sz w:val="24"/>
          <w:szCs w:val="21"/>
        </w:rPr>
        <w:t>一、报告期财务数据</w:t>
      </w:r>
    </w:p>
    <w:p w14:paraId="2AB6AECD" w14:textId="77777777" w:rsidR="000A0ACD" w:rsidRDefault="00362A99">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北洋天青报告期财务数据及</w:t>
      </w:r>
      <w:r>
        <w:rPr>
          <w:rFonts w:ascii="Times New Roman" w:hAnsi="Times New Roman" w:cs="Times New Roman"/>
          <w:color w:val="000000"/>
        </w:rPr>
        <w:t>2020</w:t>
      </w:r>
      <w:r>
        <w:rPr>
          <w:rFonts w:ascii="Times New Roman" w:hAnsi="Times New Roman" w:cs="Times New Roman" w:hint="eastAsia"/>
          <w:color w:val="000000"/>
        </w:rPr>
        <w:t>年经审计后财务数据如下：</w:t>
      </w:r>
    </w:p>
    <w:p w14:paraId="3D5CBC2C"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89"/>
        <w:gridCol w:w="2311"/>
        <w:gridCol w:w="2311"/>
        <w:gridCol w:w="2311"/>
      </w:tblGrid>
      <w:tr w:rsidR="000A0ACD" w14:paraId="7505D039" w14:textId="77777777">
        <w:trPr>
          <w:trHeight w:val="397"/>
        </w:trPr>
        <w:tc>
          <w:tcPr>
            <w:tcW w:w="932" w:type="pct"/>
            <w:shd w:val="clear" w:color="auto" w:fill="auto"/>
            <w:vAlign w:val="center"/>
          </w:tcPr>
          <w:p w14:paraId="29ABCBB0"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1356" w:type="pct"/>
            <w:shd w:val="clear" w:color="auto" w:fill="auto"/>
            <w:vAlign w:val="center"/>
          </w:tcPr>
          <w:p w14:paraId="3EB1E166"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2020</w:t>
            </w:r>
            <w:r>
              <w:rPr>
                <w:rFonts w:ascii="Times New Roman" w:hAnsi="Times New Roman" w:cs="Times New Roman" w:hint="eastAsia"/>
                <w:b/>
                <w:bCs/>
                <w:color w:val="000000"/>
                <w:sz w:val="21"/>
                <w:szCs w:val="21"/>
              </w:rPr>
              <w:t>年</w:t>
            </w:r>
            <w:r>
              <w:rPr>
                <w:rFonts w:ascii="Times New Roman" w:hAnsi="Times New Roman" w:cs="Times New Roman" w:hint="eastAsia"/>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hint="eastAsia"/>
                <w:b/>
                <w:bCs/>
                <w:color w:val="000000"/>
                <w:sz w:val="21"/>
                <w:szCs w:val="21"/>
              </w:rPr>
              <w:t>31</w:t>
            </w:r>
            <w:r>
              <w:rPr>
                <w:rFonts w:ascii="Times New Roman" w:hAnsi="Times New Roman" w:cs="Times New Roman" w:hint="eastAsia"/>
                <w:b/>
                <w:bCs/>
                <w:color w:val="000000"/>
                <w:sz w:val="21"/>
                <w:szCs w:val="21"/>
              </w:rPr>
              <w:t>日</w:t>
            </w:r>
          </w:p>
        </w:tc>
        <w:tc>
          <w:tcPr>
            <w:tcW w:w="1356" w:type="pct"/>
            <w:shd w:val="clear" w:color="auto" w:fill="auto"/>
            <w:vAlign w:val="center"/>
          </w:tcPr>
          <w:p w14:paraId="4920E450"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2019</w:t>
            </w:r>
            <w:r>
              <w:rPr>
                <w:rFonts w:ascii="Times New Roman" w:hAnsi="Times New Roman" w:cs="Times New Roman" w:hint="eastAsia"/>
                <w:b/>
                <w:bCs/>
                <w:color w:val="000000"/>
                <w:sz w:val="21"/>
                <w:szCs w:val="21"/>
              </w:rPr>
              <w:t>年</w:t>
            </w:r>
            <w:r>
              <w:rPr>
                <w:rFonts w:ascii="Times New Roman" w:hAnsi="Times New Roman" w:cs="Times New Roman" w:hint="eastAsia"/>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hint="eastAsia"/>
                <w:b/>
                <w:bCs/>
                <w:color w:val="000000"/>
                <w:sz w:val="21"/>
                <w:szCs w:val="21"/>
              </w:rPr>
              <w:t>31</w:t>
            </w:r>
            <w:r>
              <w:rPr>
                <w:rFonts w:ascii="Times New Roman" w:hAnsi="Times New Roman" w:cs="Times New Roman" w:hint="eastAsia"/>
                <w:b/>
                <w:bCs/>
                <w:color w:val="000000"/>
                <w:sz w:val="21"/>
                <w:szCs w:val="21"/>
              </w:rPr>
              <w:t>日</w:t>
            </w:r>
          </w:p>
        </w:tc>
        <w:tc>
          <w:tcPr>
            <w:tcW w:w="1356" w:type="pct"/>
            <w:shd w:val="clear" w:color="auto" w:fill="auto"/>
            <w:vAlign w:val="center"/>
          </w:tcPr>
          <w:p w14:paraId="0DE3BE3D"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2018</w:t>
            </w:r>
            <w:r>
              <w:rPr>
                <w:rFonts w:ascii="Times New Roman" w:hAnsi="Times New Roman" w:cs="Times New Roman" w:hint="eastAsia"/>
                <w:b/>
                <w:bCs/>
                <w:color w:val="000000"/>
                <w:sz w:val="21"/>
                <w:szCs w:val="21"/>
              </w:rPr>
              <w:t>年</w:t>
            </w:r>
            <w:r>
              <w:rPr>
                <w:rFonts w:ascii="Times New Roman" w:hAnsi="Times New Roman" w:cs="Times New Roman" w:hint="eastAsia"/>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hint="eastAsia"/>
                <w:b/>
                <w:bCs/>
                <w:color w:val="000000"/>
                <w:sz w:val="21"/>
                <w:szCs w:val="21"/>
              </w:rPr>
              <w:t>31</w:t>
            </w:r>
            <w:r>
              <w:rPr>
                <w:rFonts w:ascii="Times New Roman" w:hAnsi="Times New Roman" w:cs="Times New Roman" w:hint="eastAsia"/>
                <w:b/>
                <w:bCs/>
                <w:color w:val="000000"/>
                <w:sz w:val="21"/>
                <w:szCs w:val="21"/>
              </w:rPr>
              <w:t>日</w:t>
            </w:r>
          </w:p>
        </w:tc>
      </w:tr>
      <w:tr w:rsidR="000A0ACD" w14:paraId="5C6CAA9E" w14:textId="77777777">
        <w:trPr>
          <w:trHeight w:val="397"/>
        </w:trPr>
        <w:tc>
          <w:tcPr>
            <w:tcW w:w="932" w:type="pct"/>
            <w:shd w:val="clear" w:color="auto" w:fill="auto"/>
            <w:vAlign w:val="center"/>
          </w:tcPr>
          <w:p w14:paraId="7B11FF08"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资产总额</w:t>
            </w:r>
          </w:p>
        </w:tc>
        <w:tc>
          <w:tcPr>
            <w:tcW w:w="1356" w:type="pct"/>
            <w:shd w:val="clear" w:color="auto" w:fill="auto"/>
            <w:vAlign w:val="center"/>
          </w:tcPr>
          <w:p w14:paraId="7C71DE7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27,139.29</w:t>
            </w:r>
          </w:p>
        </w:tc>
        <w:tc>
          <w:tcPr>
            <w:tcW w:w="1356" w:type="pct"/>
            <w:shd w:val="clear" w:color="auto" w:fill="auto"/>
            <w:vAlign w:val="center"/>
          </w:tcPr>
          <w:p w14:paraId="3771B36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9,533.85</w:t>
            </w:r>
          </w:p>
        </w:tc>
        <w:tc>
          <w:tcPr>
            <w:tcW w:w="1356" w:type="pct"/>
            <w:shd w:val="clear" w:color="auto" w:fill="auto"/>
            <w:vAlign w:val="center"/>
          </w:tcPr>
          <w:p w14:paraId="1FFD888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7,843.54</w:t>
            </w:r>
          </w:p>
        </w:tc>
      </w:tr>
      <w:tr w:rsidR="000A0ACD" w14:paraId="00CF0279" w14:textId="77777777">
        <w:trPr>
          <w:trHeight w:val="397"/>
        </w:trPr>
        <w:tc>
          <w:tcPr>
            <w:tcW w:w="932" w:type="pct"/>
            <w:shd w:val="clear" w:color="auto" w:fill="auto"/>
            <w:vAlign w:val="center"/>
          </w:tcPr>
          <w:p w14:paraId="4FDA52FA"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负债总额</w:t>
            </w:r>
          </w:p>
        </w:tc>
        <w:tc>
          <w:tcPr>
            <w:tcW w:w="1356" w:type="pct"/>
            <w:shd w:val="clear" w:color="auto" w:fill="auto"/>
            <w:vAlign w:val="center"/>
          </w:tcPr>
          <w:p w14:paraId="05AE2A0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18,394.89</w:t>
            </w:r>
          </w:p>
        </w:tc>
        <w:tc>
          <w:tcPr>
            <w:tcW w:w="1356" w:type="pct"/>
            <w:shd w:val="clear" w:color="auto" w:fill="auto"/>
            <w:vAlign w:val="center"/>
          </w:tcPr>
          <w:p w14:paraId="058EDC8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3,747.76</w:t>
            </w:r>
          </w:p>
        </w:tc>
        <w:tc>
          <w:tcPr>
            <w:tcW w:w="1356" w:type="pct"/>
            <w:shd w:val="clear" w:color="auto" w:fill="auto"/>
            <w:vAlign w:val="center"/>
          </w:tcPr>
          <w:p w14:paraId="54B00C2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3,405.11</w:t>
            </w:r>
          </w:p>
        </w:tc>
      </w:tr>
      <w:tr w:rsidR="000A0ACD" w14:paraId="4467136B" w14:textId="77777777">
        <w:trPr>
          <w:trHeight w:val="397"/>
        </w:trPr>
        <w:tc>
          <w:tcPr>
            <w:tcW w:w="932" w:type="pct"/>
            <w:shd w:val="clear" w:color="auto" w:fill="auto"/>
            <w:vAlign w:val="center"/>
          </w:tcPr>
          <w:p w14:paraId="209E8851"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净资产</w:t>
            </w:r>
          </w:p>
        </w:tc>
        <w:tc>
          <w:tcPr>
            <w:tcW w:w="1356" w:type="pct"/>
            <w:shd w:val="clear" w:color="auto" w:fill="auto"/>
            <w:vAlign w:val="center"/>
          </w:tcPr>
          <w:p w14:paraId="7CE0534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8,744.40</w:t>
            </w:r>
          </w:p>
        </w:tc>
        <w:tc>
          <w:tcPr>
            <w:tcW w:w="1356" w:type="pct"/>
            <w:shd w:val="clear" w:color="auto" w:fill="auto"/>
            <w:vAlign w:val="center"/>
          </w:tcPr>
          <w:p w14:paraId="44E7DDE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5,786.09</w:t>
            </w:r>
          </w:p>
        </w:tc>
        <w:tc>
          <w:tcPr>
            <w:tcW w:w="1356" w:type="pct"/>
            <w:shd w:val="clear" w:color="auto" w:fill="auto"/>
            <w:vAlign w:val="center"/>
          </w:tcPr>
          <w:p w14:paraId="0E3939B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4,438.42</w:t>
            </w:r>
          </w:p>
        </w:tc>
      </w:tr>
      <w:tr w:rsidR="000A0ACD" w14:paraId="6598F47C" w14:textId="77777777">
        <w:trPr>
          <w:trHeight w:val="397"/>
        </w:trPr>
        <w:tc>
          <w:tcPr>
            <w:tcW w:w="932" w:type="pct"/>
            <w:shd w:val="clear" w:color="auto" w:fill="auto"/>
            <w:vAlign w:val="center"/>
          </w:tcPr>
          <w:p w14:paraId="4160BABA"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1356" w:type="pct"/>
            <w:shd w:val="clear" w:color="auto" w:fill="auto"/>
            <w:vAlign w:val="center"/>
          </w:tcPr>
          <w:p w14:paraId="36E836A8"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2020</w:t>
            </w:r>
            <w:r>
              <w:rPr>
                <w:rFonts w:ascii="Times New Roman" w:hAnsi="Times New Roman" w:cs="Times New Roman" w:hint="eastAsia"/>
                <w:b/>
                <w:bCs/>
                <w:color w:val="000000"/>
                <w:sz w:val="21"/>
                <w:szCs w:val="21"/>
              </w:rPr>
              <w:t>年</w:t>
            </w:r>
          </w:p>
        </w:tc>
        <w:tc>
          <w:tcPr>
            <w:tcW w:w="1356" w:type="pct"/>
            <w:shd w:val="clear" w:color="auto" w:fill="auto"/>
            <w:vAlign w:val="center"/>
          </w:tcPr>
          <w:p w14:paraId="058590A5"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2019</w:t>
            </w:r>
            <w:r>
              <w:rPr>
                <w:rFonts w:ascii="Times New Roman" w:hAnsi="Times New Roman" w:cs="Times New Roman" w:hint="eastAsia"/>
                <w:b/>
                <w:bCs/>
                <w:color w:val="000000"/>
                <w:sz w:val="21"/>
                <w:szCs w:val="21"/>
              </w:rPr>
              <w:t>年</w:t>
            </w:r>
          </w:p>
        </w:tc>
        <w:tc>
          <w:tcPr>
            <w:tcW w:w="1356" w:type="pct"/>
            <w:shd w:val="clear" w:color="auto" w:fill="auto"/>
            <w:vAlign w:val="center"/>
          </w:tcPr>
          <w:p w14:paraId="700AB399"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2018</w:t>
            </w:r>
            <w:r>
              <w:rPr>
                <w:rFonts w:ascii="Times New Roman" w:hAnsi="Times New Roman" w:cs="Times New Roman" w:hint="eastAsia"/>
                <w:b/>
                <w:bCs/>
                <w:color w:val="000000"/>
                <w:sz w:val="21"/>
                <w:szCs w:val="21"/>
              </w:rPr>
              <w:t>年</w:t>
            </w:r>
          </w:p>
        </w:tc>
      </w:tr>
      <w:tr w:rsidR="000A0ACD" w14:paraId="0E5FFAD5" w14:textId="77777777">
        <w:trPr>
          <w:trHeight w:val="397"/>
        </w:trPr>
        <w:tc>
          <w:tcPr>
            <w:tcW w:w="932" w:type="pct"/>
            <w:shd w:val="clear" w:color="auto" w:fill="auto"/>
            <w:vAlign w:val="center"/>
          </w:tcPr>
          <w:p w14:paraId="37E81549"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营业收入</w:t>
            </w:r>
          </w:p>
        </w:tc>
        <w:tc>
          <w:tcPr>
            <w:tcW w:w="1356" w:type="pct"/>
            <w:shd w:val="clear" w:color="auto" w:fill="auto"/>
            <w:vAlign w:val="center"/>
          </w:tcPr>
          <w:p w14:paraId="5D855BF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15,056.17</w:t>
            </w:r>
          </w:p>
        </w:tc>
        <w:tc>
          <w:tcPr>
            <w:tcW w:w="1356" w:type="pct"/>
            <w:shd w:val="clear" w:color="auto" w:fill="auto"/>
            <w:vAlign w:val="center"/>
          </w:tcPr>
          <w:p w14:paraId="6027349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10,326.14</w:t>
            </w:r>
          </w:p>
        </w:tc>
        <w:tc>
          <w:tcPr>
            <w:tcW w:w="1356" w:type="pct"/>
            <w:shd w:val="clear" w:color="auto" w:fill="auto"/>
            <w:vAlign w:val="center"/>
          </w:tcPr>
          <w:p w14:paraId="5B19F88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6,106.09</w:t>
            </w:r>
          </w:p>
        </w:tc>
      </w:tr>
      <w:tr w:rsidR="000A0ACD" w14:paraId="4620E4BB" w14:textId="77777777">
        <w:trPr>
          <w:trHeight w:val="397"/>
        </w:trPr>
        <w:tc>
          <w:tcPr>
            <w:tcW w:w="932" w:type="pct"/>
            <w:shd w:val="clear" w:color="auto" w:fill="auto"/>
            <w:vAlign w:val="center"/>
          </w:tcPr>
          <w:p w14:paraId="1326822B"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利润总额</w:t>
            </w:r>
          </w:p>
        </w:tc>
        <w:tc>
          <w:tcPr>
            <w:tcW w:w="1356" w:type="pct"/>
            <w:shd w:val="clear" w:color="auto" w:fill="auto"/>
            <w:vAlign w:val="center"/>
          </w:tcPr>
          <w:p w14:paraId="475C555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3,451.48</w:t>
            </w:r>
          </w:p>
        </w:tc>
        <w:tc>
          <w:tcPr>
            <w:tcW w:w="1356" w:type="pct"/>
            <w:shd w:val="clear" w:color="auto" w:fill="auto"/>
            <w:vAlign w:val="center"/>
          </w:tcPr>
          <w:p w14:paraId="3C43649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1,551.92</w:t>
            </w:r>
          </w:p>
        </w:tc>
        <w:tc>
          <w:tcPr>
            <w:tcW w:w="1356" w:type="pct"/>
            <w:shd w:val="clear" w:color="auto" w:fill="auto"/>
            <w:vAlign w:val="center"/>
          </w:tcPr>
          <w:p w14:paraId="0075E6B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1,064.58</w:t>
            </w:r>
          </w:p>
        </w:tc>
      </w:tr>
      <w:tr w:rsidR="000A0ACD" w14:paraId="5DC93236" w14:textId="77777777">
        <w:trPr>
          <w:trHeight w:val="397"/>
        </w:trPr>
        <w:tc>
          <w:tcPr>
            <w:tcW w:w="932" w:type="pct"/>
            <w:shd w:val="clear" w:color="auto" w:fill="auto"/>
            <w:vAlign w:val="center"/>
          </w:tcPr>
          <w:p w14:paraId="76F3A323"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净利润</w:t>
            </w:r>
          </w:p>
        </w:tc>
        <w:tc>
          <w:tcPr>
            <w:tcW w:w="1356" w:type="pct"/>
            <w:shd w:val="clear" w:color="auto" w:fill="auto"/>
            <w:vAlign w:val="center"/>
          </w:tcPr>
          <w:p w14:paraId="7BC66CC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2,958.31</w:t>
            </w:r>
          </w:p>
        </w:tc>
        <w:tc>
          <w:tcPr>
            <w:tcW w:w="1356" w:type="pct"/>
            <w:shd w:val="clear" w:color="auto" w:fill="auto"/>
            <w:vAlign w:val="center"/>
          </w:tcPr>
          <w:p w14:paraId="0647D9E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1,347.67</w:t>
            </w:r>
          </w:p>
        </w:tc>
        <w:tc>
          <w:tcPr>
            <w:tcW w:w="1356" w:type="pct"/>
            <w:shd w:val="clear" w:color="auto" w:fill="auto"/>
            <w:vAlign w:val="center"/>
          </w:tcPr>
          <w:p w14:paraId="0D7F0AA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934.15</w:t>
            </w:r>
          </w:p>
        </w:tc>
      </w:tr>
      <w:tr w:rsidR="000A0ACD" w14:paraId="56EB1EF5" w14:textId="77777777">
        <w:trPr>
          <w:trHeight w:val="397"/>
        </w:trPr>
        <w:tc>
          <w:tcPr>
            <w:tcW w:w="932" w:type="pct"/>
            <w:shd w:val="clear" w:color="auto" w:fill="auto"/>
            <w:vAlign w:val="center"/>
          </w:tcPr>
          <w:p w14:paraId="0A9837A2"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收入增长率</w:t>
            </w:r>
          </w:p>
        </w:tc>
        <w:tc>
          <w:tcPr>
            <w:tcW w:w="1356" w:type="pct"/>
            <w:shd w:val="clear" w:color="auto" w:fill="auto"/>
            <w:vAlign w:val="center"/>
          </w:tcPr>
          <w:p w14:paraId="0C9AF88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45.81%</w:t>
            </w:r>
          </w:p>
        </w:tc>
        <w:tc>
          <w:tcPr>
            <w:tcW w:w="1356" w:type="pct"/>
            <w:shd w:val="clear" w:color="auto" w:fill="auto"/>
            <w:vAlign w:val="center"/>
          </w:tcPr>
          <w:p w14:paraId="303E03A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69.11%</w:t>
            </w:r>
          </w:p>
        </w:tc>
        <w:tc>
          <w:tcPr>
            <w:tcW w:w="1356" w:type="pct"/>
            <w:shd w:val="clear" w:color="auto" w:fill="auto"/>
            <w:vAlign w:val="center"/>
          </w:tcPr>
          <w:p w14:paraId="561DF92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79.74%</w:t>
            </w:r>
          </w:p>
        </w:tc>
      </w:tr>
      <w:tr w:rsidR="000A0ACD" w14:paraId="284C8790" w14:textId="77777777">
        <w:trPr>
          <w:trHeight w:val="397"/>
        </w:trPr>
        <w:tc>
          <w:tcPr>
            <w:tcW w:w="932" w:type="pct"/>
            <w:shd w:val="clear" w:color="auto" w:fill="auto"/>
            <w:vAlign w:val="center"/>
          </w:tcPr>
          <w:p w14:paraId="150F9125" w14:textId="77777777" w:rsidR="000A0ACD" w:rsidRDefault="00362A99">
            <w:pPr>
              <w:rPr>
                <w:rFonts w:ascii="Times New Roman" w:hAnsi="Times New Roman" w:cs="Times New Roman"/>
                <w:color w:val="000000"/>
                <w:sz w:val="21"/>
                <w:szCs w:val="21"/>
              </w:rPr>
            </w:pPr>
            <w:r>
              <w:rPr>
                <w:rFonts w:ascii="Times New Roman" w:hAnsi="Times New Roman" w:cs="Times New Roman" w:hint="eastAsia"/>
                <w:color w:val="000000"/>
                <w:sz w:val="21"/>
                <w:szCs w:val="21"/>
              </w:rPr>
              <w:t>毛利率</w:t>
            </w:r>
          </w:p>
        </w:tc>
        <w:tc>
          <w:tcPr>
            <w:tcW w:w="1356" w:type="pct"/>
            <w:shd w:val="clear" w:color="auto" w:fill="auto"/>
            <w:vAlign w:val="center"/>
          </w:tcPr>
          <w:p w14:paraId="114000C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38.23%</w:t>
            </w:r>
          </w:p>
        </w:tc>
        <w:tc>
          <w:tcPr>
            <w:tcW w:w="1356" w:type="pct"/>
            <w:shd w:val="clear" w:color="auto" w:fill="auto"/>
            <w:vAlign w:val="center"/>
          </w:tcPr>
          <w:p w14:paraId="5F69841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33.06%</w:t>
            </w:r>
          </w:p>
        </w:tc>
        <w:tc>
          <w:tcPr>
            <w:tcW w:w="1356" w:type="pct"/>
            <w:shd w:val="clear" w:color="auto" w:fill="auto"/>
            <w:vAlign w:val="center"/>
          </w:tcPr>
          <w:p w14:paraId="6DFD44F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32.63%</w:t>
            </w:r>
          </w:p>
        </w:tc>
      </w:tr>
    </w:tbl>
    <w:p w14:paraId="1AF95749" w14:textId="77777777" w:rsidR="000A0ACD" w:rsidRDefault="00362A99">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由上表可以看出，北洋天青历史年度自</w:t>
      </w:r>
      <w:r>
        <w:rPr>
          <w:rFonts w:ascii="Times New Roman" w:hAnsi="Times New Roman" w:cs="Times New Roman"/>
          <w:color w:val="000000"/>
        </w:rPr>
        <w:t>2018</w:t>
      </w:r>
      <w:r>
        <w:rPr>
          <w:rFonts w:ascii="Times New Roman" w:hAnsi="Times New Roman" w:cs="Times New Roman" w:hint="eastAsia"/>
          <w:color w:val="000000"/>
        </w:rPr>
        <w:t>年、</w:t>
      </w:r>
      <w:r>
        <w:rPr>
          <w:rFonts w:ascii="Times New Roman" w:hAnsi="Times New Roman" w:cs="Times New Roman"/>
          <w:color w:val="000000"/>
        </w:rPr>
        <w:t>2019</w:t>
      </w:r>
      <w:r>
        <w:rPr>
          <w:rFonts w:ascii="Times New Roman" w:hAnsi="Times New Roman" w:cs="Times New Roman" w:hint="eastAsia"/>
          <w:color w:val="000000"/>
        </w:rPr>
        <w:t>年和</w:t>
      </w:r>
      <w:r>
        <w:rPr>
          <w:rFonts w:ascii="Times New Roman" w:hAnsi="Times New Roman" w:cs="Times New Roman"/>
          <w:color w:val="000000"/>
        </w:rPr>
        <w:t>2020</w:t>
      </w:r>
      <w:r>
        <w:rPr>
          <w:rFonts w:ascii="Times New Roman" w:hAnsi="Times New Roman" w:cs="Times New Roman" w:hint="eastAsia"/>
          <w:color w:val="000000"/>
        </w:rPr>
        <w:t>年毛利率分别为</w:t>
      </w:r>
      <w:r>
        <w:rPr>
          <w:rFonts w:ascii="Times New Roman" w:hAnsi="Times New Roman" w:cs="Times New Roman"/>
          <w:color w:val="000000"/>
        </w:rPr>
        <w:t>32.63%</w:t>
      </w:r>
      <w:r>
        <w:rPr>
          <w:rFonts w:ascii="Times New Roman" w:hAnsi="Times New Roman" w:cs="Times New Roman" w:hint="eastAsia"/>
          <w:color w:val="000000"/>
        </w:rPr>
        <w:t>、</w:t>
      </w:r>
      <w:r>
        <w:rPr>
          <w:rFonts w:ascii="Times New Roman" w:hAnsi="Times New Roman" w:cs="Times New Roman"/>
          <w:color w:val="000000"/>
        </w:rPr>
        <w:t>33.06%</w:t>
      </w:r>
      <w:r>
        <w:rPr>
          <w:rFonts w:ascii="Times New Roman" w:hAnsi="Times New Roman" w:cs="Times New Roman" w:hint="eastAsia"/>
          <w:color w:val="000000"/>
        </w:rPr>
        <w:t>和</w:t>
      </w:r>
      <w:r>
        <w:rPr>
          <w:rFonts w:ascii="Times New Roman" w:hAnsi="Times New Roman" w:cs="Times New Roman"/>
          <w:color w:val="000000"/>
        </w:rPr>
        <w:t>38.23%</w:t>
      </w:r>
      <w:r>
        <w:rPr>
          <w:rFonts w:ascii="Times New Roman" w:hAnsi="Times New Roman" w:cs="Times New Roman" w:hint="eastAsia"/>
          <w:color w:val="000000"/>
        </w:rPr>
        <w:t>逐年增长。净利润</w:t>
      </w:r>
      <w:r>
        <w:rPr>
          <w:rFonts w:ascii="Times New Roman" w:hAnsi="Times New Roman" w:cs="Times New Roman"/>
          <w:color w:val="000000"/>
        </w:rPr>
        <w:t>2018</w:t>
      </w:r>
      <w:r>
        <w:rPr>
          <w:rFonts w:ascii="Times New Roman" w:hAnsi="Times New Roman" w:cs="Times New Roman" w:hint="eastAsia"/>
          <w:color w:val="000000"/>
        </w:rPr>
        <w:t>年、</w:t>
      </w:r>
      <w:r>
        <w:rPr>
          <w:rFonts w:ascii="Times New Roman" w:hAnsi="Times New Roman" w:cs="Times New Roman"/>
          <w:color w:val="000000"/>
        </w:rPr>
        <w:t>2019</w:t>
      </w:r>
      <w:r>
        <w:rPr>
          <w:rFonts w:ascii="Times New Roman" w:hAnsi="Times New Roman" w:cs="Times New Roman" w:hint="eastAsia"/>
          <w:color w:val="000000"/>
        </w:rPr>
        <w:t>年和</w:t>
      </w:r>
      <w:r>
        <w:rPr>
          <w:rFonts w:ascii="Times New Roman" w:hAnsi="Times New Roman" w:cs="Times New Roman"/>
          <w:color w:val="000000"/>
        </w:rPr>
        <w:t>2020</w:t>
      </w:r>
      <w:r>
        <w:rPr>
          <w:rFonts w:ascii="Times New Roman" w:hAnsi="Times New Roman" w:cs="Times New Roman" w:hint="eastAsia"/>
          <w:color w:val="000000"/>
        </w:rPr>
        <w:t>年净利润分别为</w:t>
      </w:r>
      <w:r>
        <w:rPr>
          <w:rFonts w:ascii="Times New Roman" w:hAnsi="Times New Roman" w:cs="Times New Roman"/>
          <w:color w:val="000000"/>
        </w:rPr>
        <w:t>934.15</w:t>
      </w:r>
      <w:r>
        <w:rPr>
          <w:rFonts w:ascii="Times New Roman" w:hAnsi="Times New Roman" w:cs="Times New Roman" w:hint="eastAsia"/>
          <w:color w:val="000000"/>
        </w:rPr>
        <w:t>万元、</w:t>
      </w:r>
      <w:r>
        <w:rPr>
          <w:rFonts w:ascii="Times New Roman" w:hAnsi="Times New Roman" w:cs="Times New Roman"/>
          <w:color w:val="000000"/>
        </w:rPr>
        <w:t>1,347.67</w:t>
      </w:r>
      <w:r>
        <w:rPr>
          <w:rFonts w:ascii="Times New Roman" w:hAnsi="Times New Roman" w:cs="Times New Roman" w:hint="eastAsia"/>
          <w:color w:val="000000"/>
        </w:rPr>
        <w:t>万元和</w:t>
      </w:r>
      <w:r>
        <w:rPr>
          <w:rFonts w:ascii="Times New Roman" w:hAnsi="Times New Roman" w:cs="Times New Roman"/>
          <w:color w:val="000000"/>
        </w:rPr>
        <w:t>2,958.31</w:t>
      </w:r>
      <w:r>
        <w:rPr>
          <w:rFonts w:ascii="Times New Roman" w:hAnsi="Times New Roman" w:cs="Times New Roman" w:hint="eastAsia"/>
          <w:color w:val="000000"/>
        </w:rPr>
        <w:t>万元，增长幅度较大。</w:t>
      </w:r>
    </w:p>
    <w:p w14:paraId="6A96594B" w14:textId="77777777" w:rsidR="000A0ACD" w:rsidRDefault="00362A99">
      <w:pPr>
        <w:pStyle w:val="03"/>
        <w:spacing w:before="156"/>
        <w:ind w:firstLineChars="200" w:firstLine="482"/>
        <w:jc w:val="both"/>
        <w:rPr>
          <w:rFonts w:ascii="Times New Roman" w:eastAsia="宋体" w:hAnsi="Times New Roman" w:cs="Times New Roman"/>
          <w:b/>
          <w:color w:val="000000"/>
          <w:sz w:val="24"/>
          <w:szCs w:val="21"/>
        </w:rPr>
      </w:pPr>
      <w:r>
        <w:rPr>
          <w:rFonts w:ascii="Times New Roman" w:eastAsia="宋体" w:hAnsi="Times New Roman" w:cs="Times New Roman" w:hint="eastAsia"/>
          <w:b/>
          <w:color w:val="000000"/>
          <w:sz w:val="24"/>
          <w:szCs w:val="21"/>
        </w:rPr>
        <w:t>二、在手订单情况</w:t>
      </w:r>
    </w:p>
    <w:p w14:paraId="24EC80EB" w14:textId="77777777" w:rsidR="000A0ACD" w:rsidRDefault="00362A99">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截至本回复出具日，北洋天青订单情况（收入口径）如下表：</w:t>
      </w:r>
    </w:p>
    <w:p w14:paraId="201A75B7"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27"/>
        <w:gridCol w:w="1278"/>
        <w:gridCol w:w="1273"/>
        <w:gridCol w:w="1052"/>
        <w:gridCol w:w="1692"/>
      </w:tblGrid>
      <w:tr w:rsidR="000A0ACD" w14:paraId="579CD570" w14:textId="77777777">
        <w:trPr>
          <w:trHeight w:val="397"/>
          <w:tblHeader/>
        </w:trPr>
        <w:tc>
          <w:tcPr>
            <w:tcW w:w="1893" w:type="pct"/>
            <w:vMerge w:val="restart"/>
            <w:tcBorders>
              <w:top w:val="single" w:sz="12" w:space="0" w:color="auto"/>
            </w:tcBorders>
            <w:shd w:val="clear" w:color="auto" w:fill="auto"/>
            <w:noWrap/>
            <w:vAlign w:val="center"/>
          </w:tcPr>
          <w:p w14:paraId="3222A5C1"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业务内容</w:t>
            </w:r>
          </w:p>
        </w:tc>
        <w:tc>
          <w:tcPr>
            <w:tcW w:w="749" w:type="pct"/>
            <w:tcBorders>
              <w:top w:val="single" w:sz="12" w:space="0" w:color="auto"/>
            </w:tcBorders>
            <w:shd w:val="clear" w:color="auto" w:fill="auto"/>
            <w:noWrap/>
            <w:vAlign w:val="center"/>
          </w:tcPr>
          <w:p w14:paraId="763DA065"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w:t>
            </w:r>
          </w:p>
        </w:tc>
        <w:tc>
          <w:tcPr>
            <w:tcW w:w="2357" w:type="pct"/>
            <w:gridSpan w:val="3"/>
            <w:tcBorders>
              <w:top w:val="single" w:sz="12" w:space="0" w:color="auto"/>
            </w:tcBorders>
            <w:shd w:val="clear" w:color="auto" w:fill="auto"/>
            <w:noWrap/>
            <w:vAlign w:val="center"/>
          </w:tcPr>
          <w:p w14:paraId="353F473E"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2021</w:t>
            </w:r>
            <w:r>
              <w:rPr>
                <w:rFonts w:ascii="Times New Roman" w:hAnsi="Times New Roman" w:cs="Times New Roman" w:hint="eastAsia"/>
                <w:b/>
                <w:bCs/>
                <w:color w:val="000000"/>
                <w:sz w:val="21"/>
                <w:szCs w:val="21"/>
              </w:rPr>
              <w:t>年</w:t>
            </w:r>
          </w:p>
        </w:tc>
      </w:tr>
      <w:tr w:rsidR="000A0ACD" w14:paraId="59E742E2" w14:textId="77777777">
        <w:trPr>
          <w:trHeight w:val="397"/>
          <w:tblHeader/>
        </w:trPr>
        <w:tc>
          <w:tcPr>
            <w:tcW w:w="1893" w:type="pct"/>
            <w:vMerge/>
            <w:shd w:val="clear" w:color="auto" w:fill="auto"/>
            <w:vAlign w:val="center"/>
          </w:tcPr>
          <w:p w14:paraId="36B50134" w14:textId="77777777" w:rsidR="000A0ACD" w:rsidRDefault="000A0ACD">
            <w:pPr>
              <w:rPr>
                <w:rFonts w:ascii="Times New Roman" w:hAnsi="Times New Roman" w:cs="Times New Roman"/>
                <w:b/>
                <w:bCs/>
                <w:sz w:val="21"/>
                <w:szCs w:val="21"/>
              </w:rPr>
            </w:pPr>
          </w:p>
        </w:tc>
        <w:tc>
          <w:tcPr>
            <w:tcW w:w="749" w:type="pct"/>
            <w:shd w:val="clear" w:color="auto" w:fill="auto"/>
            <w:noWrap/>
            <w:vAlign w:val="center"/>
          </w:tcPr>
          <w:p w14:paraId="58FC07B9"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已完成</w:t>
            </w:r>
          </w:p>
        </w:tc>
        <w:tc>
          <w:tcPr>
            <w:tcW w:w="747" w:type="pct"/>
            <w:shd w:val="clear" w:color="auto" w:fill="auto"/>
            <w:noWrap/>
            <w:vAlign w:val="center"/>
          </w:tcPr>
          <w:p w14:paraId="57C12A42"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已签合同</w:t>
            </w:r>
          </w:p>
        </w:tc>
        <w:tc>
          <w:tcPr>
            <w:tcW w:w="617" w:type="pct"/>
            <w:shd w:val="clear" w:color="auto" w:fill="auto"/>
            <w:noWrap/>
            <w:vAlign w:val="center"/>
          </w:tcPr>
          <w:p w14:paraId="287F0EF4"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已中标</w:t>
            </w:r>
          </w:p>
        </w:tc>
        <w:tc>
          <w:tcPr>
            <w:tcW w:w="993" w:type="pct"/>
            <w:shd w:val="clear" w:color="auto" w:fill="auto"/>
            <w:noWrap/>
            <w:vAlign w:val="center"/>
          </w:tcPr>
          <w:p w14:paraId="2D6D6C7A"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拟参与投标项目</w:t>
            </w:r>
          </w:p>
        </w:tc>
      </w:tr>
      <w:tr w:rsidR="000A0ACD" w14:paraId="05B85208" w14:textId="77777777">
        <w:trPr>
          <w:trHeight w:val="397"/>
        </w:trPr>
        <w:tc>
          <w:tcPr>
            <w:tcW w:w="1893" w:type="pct"/>
            <w:shd w:val="clear" w:color="auto" w:fill="auto"/>
            <w:noWrap/>
            <w:vAlign w:val="center"/>
          </w:tcPr>
          <w:p w14:paraId="17FDCBA5" w14:textId="77777777" w:rsidR="000A0ACD" w:rsidRDefault="00362A99">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澳柯玛</w:t>
            </w:r>
          </w:p>
        </w:tc>
        <w:tc>
          <w:tcPr>
            <w:tcW w:w="749" w:type="pct"/>
            <w:shd w:val="clear" w:color="auto" w:fill="auto"/>
            <w:noWrap/>
            <w:vAlign w:val="center"/>
          </w:tcPr>
          <w:p w14:paraId="7E7A2FDC"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4,717.70</w:t>
            </w:r>
          </w:p>
        </w:tc>
        <w:tc>
          <w:tcPr>
            <w:tcW w:w="747" w:type="pct"/>
            <w:shd w:val="clear" w:color="auto" w:fill="auto"/>
            <w:noWrap/>
            <w:vAlign w:val="center"/>
          </w:tcPr>
          <w:p w14:paraId="308B1098"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10,978.22</w:t>
            </w:r>
          </w:p>
        </w:tc>
        <w:tc>
          <w:tcPr>
            <w:tcW w:w="617" w:type="pct"/>
            <w:shd w:val="clear" w:color="auto" w:fill="auto"/>
            <w:noWrap/>
            <w:vAlign w:val="center"/>
          </w:tcPr>
          <w:p w14:paraId="620872DB"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993" w:type="pct"/>
            <w:shd w:val="clear" w:color="auto" w:fill="auto"/>
            <w:noWrap/>
            <w:vAlign w:val="center"/>
          </w:tcPr>
          <w:p w14:paraId="792B1B04"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70.80</w:t>
            </w:r>
          </w:p>
        </w:tc>
      </w:tr>
      <w:tr w:rsidR="000A0ACD" w14:paraId="651154E9" w14:textId="77777777">
        <w:trPr>
          <w:trHeight w:val="397"/>
        </w:trPr>
        <w:tc>
          <w:tcPr>
            <w:tcW w:w="1893" w:type="pct"/>
            <w:shd w:val="clear" w:color="auto" w:fill="auto"/>
            <w:noWrap/>
            <w:vAlign w:val="center"/>
          </w:tcPr>
          <w:p w14:paraId="0B2FADD7"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749" w:type="pct"/>
            <w:shd w:val="clear" w:color="auto" w:fill="auto"/>
            <w:noWrap/>
            <w:vAlign w:val="center"/>
          </w:tcPr>
          <w:p w14:paraId="3F2CB5A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303.63</w:t>
            </w:r>
          </w:p>
        </w:tc>
        <w:tc>
          <w:tcPr>
            <w:tcW w:w="747" w:type="pct"/>
            <w:shd w:val="clear" w:color="auto" w:fill="auto"/>
            <w:noWrap/>
            <w:vAlign w:val="center"/>
          </w:tcPr>
          <w:p w14:paraId="3142538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1,283.19</w:t>
            </w:r>
          </w:p>
        </w:tc>
        <w:tc>
          <w:tcPr>
            <w:tcW w:w="617" w:type="pct"/>
            <w:shd w:val="clear" w:color="auto" w:fill="auto"/>
            <w:noWrap/>
            <w:vAlign w:val="center"/>
          </w:tcPr>
          <w:p w14:paraId="588B969E"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7E1E222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07272ABB" w14:textId="77777777">
        <w:trPr>
          <w:trHeight w:val="397"/>
        </w:trPr>
        <w:tc>
          <w:tcPr>
            <w:tcW w:w="1893" w:type="pct"/>
            <w:shd w:val="clear" w:color="auto" w:fill="auto"/>
            <w:noWrap/>
            <w:vAlign w:val="center"/>
          </w:tcPr>
          <w:p w14:paraId="64F35C90"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能源配套</w:t>
            </w:r>
          </w:p>
        </w:tc>
        <w:tc>
          <w:tcPr>
            <w:tcW w:w="749" w:type="pct"/>
            <w:shd w:val="clear" w:color="auto" w:fill="auto"/>
            <w:noWrap/>
            <w:vAlign w:val="center"/>
          </w:tcPr>
          <w:p w14:paraId="6732EC0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747" w:type="pct"/>
            <w:shd w:val="clear" w:color="auto" w:fill="auto"/>
            <w:noWrap/>
            <w:vAlign w:val="center"/>
          </w:tcPr>
          <w:p w14:paraId="2796DCE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6,044.41</w:t>
            </w:r>
          </w:p>
        </w:tc>
        <w:tc>
          <w:tcPr>
            <w:tcW w:w="617" w:type="pct"/>
            <w:shd w:val="clear" w:color="auto" w:fill="auto"/>
            <w:noWrap/>
            <w:vAlign w:val="center"/>
          </w:tcPr>
          <w:p w14:paraId="61A67C5D"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4AFDD6D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76A9E24C" w14:textId="77777777">
        <w:trPr>
          <w:trHeight w:val="397"/>
        </w:trPr>
        <w:tc>
          <w:tcPr>
            <w:tcW w:w="1893" w:type="pct"/>
            <w:shd w:val="clear" w:color="auto" w:fill="auto"/>
            <w:noWrap/>
            <w:vAlign w:val="center"/>
          </w:tcPr>
          <w:p w14:paraId="049F05C1"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企业信息化</w:t>
            </w:r>
          </w:p>
        </w:tc>
        <w:tc>
          <w:tcPr>
            <w:tcW w:w="749" w:type="pct"/>
            <w:shd w:val="clear" w:color="auto" w:fill="auto"/>
            <w:noWrap/>
            <w:vAlign w:val="center"/>
          </w:tcPr>
          <w:p w14:paraId="63AC6AF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3,971.95</w:t>
            </w:r>
          </w:p>
        </w:tc>
        <w:tc>
          <w:tcPr>
            <w:tcW w:w="747" w:type="pct"/>
            <w:shd w:val="clear" w:color="auto" w:fill="auto"/>
            <w:noWrap/>
            <w:vAlign w:val="center"/>
          </w:tcPr>
          <w:p w14:paraId="68908C3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176.99</w:t>
            </w:r>
          </w:p>
        </w:tc>
        <w:tc>
          <w:tcPr>
            <w:tcW w:w="617" w:type="pct"/>
            <w:shd w:val="clear" w:color="auto" w:fill="auto"/>
            <w:noWrap/>
            <w:vAlign w:val="center"/>
          </w:tcPr>
          <w:p w14:paraId="0C6068A3"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699AE757"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45C6E1E2" w14:textId="77777777">
        <w:trPr>
          <w:trHeight w:val="397"/>
        </w:trPr>
        <w:tc>
          <w:tcPr>
            <w:tcW w:w="1893" w:type="pct"/>
            <w:shd w:val="clear" w:color="auto" w:fill="auto"/>
            <w:noWrap/>
            <w:vAlign w:val="center"/>
          </w:tcPr>
          <w:p w14:paraId="6E5B7AD0"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749" w:type="pct"/>
            <w:shd w:val="clear" w:color="auto" w:fill="auto"/>
            <w:noWrap/>
            <w:vAlign w:val="center"/>
          </w:tcPr>
          <w:p w14:paraId="46836B7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442.12</w:t>
            </w:r>
          </w:p>
        </w:tc>
        <w:tc>
          <w:tcPr>
            <w:tcW w:w="747" w:type="pct"/>
            <w:shd w:val="clear" w:color="auto" w:fill="auto"/>
            <w:noWrap/>
            <w:vAlign w:val="center"/>
          </w:tcPr>
          <w:p w14:paraId="3ABF398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3,473.63</w:t>
            </w:r>
          </w:p>
        </w:tc>
        <w:tc>
          <w:tcPr>
            <w:tcW w:w="617" w:type="pct"/>
            <w:shd w:val="clear" w:color="auto" w:fill="auto"/>
            <w:noWrap/>
            <w:vAlign w:val="center"/>
          </w:tcPr>
          <w:p w14:paraId="550DF250"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1315C8D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70.80</w:t>
            </w:r>
          </w:p>
        </w:tc>
      </w:tr>
      <w:tr w:rsidR="000A0ACD" w14:paraId="2EDC435A" w14:textId="77777777">
        <w:trPr>
          <w:trHeight w:val="397"/>
        </w:trPr>
        <w:tc>
          <w:tcPr>
            <w:tcW w:w="1893" w:type="pct"/>
            <w:shd w:val="clear" w:color="auto" w:fill="auto"/>
            <w:noWrap/>
            <w:vAlign w:val="center"/>
          </w:tcPr>
          <w:p w14:paraId="79D465A7" w14:textId="77777777" w:rsidR="000A0ACD" w:rsidRDefault="00362A99">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海尔</w:t>
            </w:r>
          </w:p>
        </w:tc>
        <w:tc>
          <w:tcPr>
            <w:tcW w:w="749" w:type="pct"/>
            <w:shd w:val="clear" w:color="auto" w:fill="auto"/>
            <w:noWrap/>
            <w:vAlign w:val="center"/>
          </w:tcPr>
          <w:p w14:paraId="644CAD9A"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10,005.29</w:t>
            </w:r>
          </w:p>
        </w:tc>
        <w:tc>
          <w:tcPr>
            <w:tcW w:w="747" w:type="pct"/>
            <w:shd w:val="clear" w:color="auto" w:fill="auto"/>
            <w:noWrap/>
            <w:vAlign w:val="center"/>
          </w:tcPr>
          <w:p w14:paraId="6CACE98C"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9,104.64</w:t>
            </w:r>
          </w:p>
        </w:tc>
        <w:tc>
          <w:tcPr>
            <w:tcW w:w="617" w:type="pct"/>
            <w:shd w:val="clear" w:color="auto" w:fill="auto"/>
            <w:noWrap/>
            <w:vAlign w:val="center"/>
          </w:tcPr>
          <w:p w14:paraId="4088A2AF"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993" w:type="pct"/>
            <w:shd w:val="clear" w:color="auto" w:fill="auto"/>
            <w:noWrap/>
            <w:vAlign w:val="center"/>
          </w:tcPr>
          <w:p w14:paraId="54D5F31B"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12,389.38</w:t>
            </w:r>
          </w:p>
        </w:tc>
      </w:tr>
      <w:tr w:rsidR="000A0ACD" w14:paraId="4B67B342" w14:textId="77777777">
        <w:trPr>
          <w:trHeight w:val="397"/>
        </w:trPr>
        <w:tc>
          <w:tcPr>
            <w:tcW w:w="1893" w:type="pct"/>
            <w:shd w:val="clear" w:color="auto" w:fill="auto"/>
            <w:noWrap/>
            <w:vAlign w:val="center"/>
          </w:tcPr>
          <w:p w14:paraId="5310A6CA"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机器人本体</w:t>
            </w:r>
          </w:p>
        </w:tc>
        <w:tc>
          <w:tcPr>
            <w:tcW w:w="749" w:type="pct"/>
            <w:shd w:val="clear" w:color="auto" w:fill="auto"/>
            <w:noWrap/>
            <w:vAlign w:val="center"/>
          </w:tcPr>
          <w:p w14:paraId="40DB7E1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630.09</w:t>
            </w:r>
          </w:p>
        </w:tc>
        <w:tc>
          <w:tcPr>
            <w:tcW w:w="747" w:type="pct"/>
            <w:shd w:val="clear" w:color="auto" w:fill="auto"/>
            <w:noWrap/>
            <w:vAlign w:val="center"/>
          </w:tcPr>
          <w:p w14:paraId="3F80B84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617" w:type="pct"/>
            <w:shd w:val="clear" w:color="auto" w:fill="auto"/>
            <w:noWrap/>
            <w:vAlign w:val="center"/>
          </w:tcPr>
          <w:p w14:paraId="482A7507"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1FD86357"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4C496C99" w14:textId="77777777">
        <w:trPr>
          <w:trHeight w:val="397"/>
        </w:trPr>
        <w:tc>
          <w:tcPr>
            <w:tcW w:w="1893" w:type="pct"/>
            <w:shd w:val="clear" w:color="auto" w:fill="auto"/>
            <w:noWrap/>
            <w:vAlign w:val="center"/>
          </w:tcPr>
          <w:p w14:paraId="6454BCB9"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749" w:type="pct"/>
            <w:shd w:val="clear" w:color="auto" w:fill="auto"/>
            <w:noWrap/>
            <w:vAlign w:val="center"/>
          </w:tcPr>
          <w:p w14:paraId="21D8E59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827.70</w:t>
            </w:r>
          </w:p>
        </w:tc>
        <w:tc>
          <w:tcPr>
            <w:tcW w:w="747" w:type="pct"/>
            <w:shd w:val="clear" w:color="auto" w:fill="auto"/>
            <w:noWrap/>
            <w:vAlign w:val="center"/>
          </w:tcPr>
          <w:p w14:paraId="18EBB5C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704.42</w:t>
            </w:r>
          </w:p>
        </w:tc>
        <w:tc>
          <w:tcPr>
            <w:tcW w:w="617" w:type="pct"/>
            <w:shd w:val="clear" w:color="auto" w:fill="auto"/>
            <w:noWrap/>
            <w:vAlign w:val="center"/>
          </w:tcPr>
          <w:p w14:paraId="25A985C9"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737E387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283.19</w:t>
            </w:r>
          </w:p>
        </w:tc>
      </w:tr>
      <w:tr w:rsidR="000A0ACD" w14:paraId="6EF559FF" w14:textId="77777777">
        <w:trPr>
          <w:trHeight w:val="397"/>
        </w:trPr>
        <w:tc>
          <w:tcPr>
            <w:tcW w:w="1893" w:type="pct"/>
            <w:shd w:val="clear" w:color="auto" w:fill="auto"/>
            <w:noWrap/>
            <w:vAlign w:val="center"/>
          </w:tcPr>
          <w:p w14:paraId="37D80020"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机器人集成应用（含压机）</w:t>
            </w:r>
          </w:p>
        </w:tc>
        <w:tc>
          <w:tcPr>
            <w:tcW w:w="749" w:type="pct"/>
            <w:shd w:val="clear" w:color="auto" w:fill="auto"/>
            <w:noWrap/>
            <w:vAlign w:val="center"/>
          </w:tcPr>
          <w:p w14:paraId="74899D9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5,044.16</w:t>
            </w:r>
          </w:p>
        </w:tc>
        <w:tc>
          <w:tcPr>
            <w:tcW w:w="747" w:type="pct"/>
            <w:shd w:val="clear" w:color="auto" w:fill="auto"/>
            <w:noWrap/>
            <w:vAlign w:val="center"/>
          </w:tcPr>
          <w:p w14:paraId="5E6FC57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617" w:type="pct"/>
            <w:shd w:val="clear" w:color="auto" w:fill="auto"/>
            <w:noWrap/>
            <w:vAlign w:val="center"/>
          </w:tcPr>
          <w:p w14:paraId="00F7E3DE"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40ED698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2,194.69</w:t>
            </w:r>
          </w:p>
        </w:tc>
      </w:tr>
      <w:tr w:rsidR="000A0ACD" w14:paraId="70DC55DA" w14:textId="77777777">
        <w:trPr>
          <w:trHeight w:val="397"/>
        </w:trPr>
        <w:tc>
          <w:tcPr>
            <w:tcW w:w="1893" w:type="pct"/>
            <w:shd w:val="clear" w:color="auto" w:fill="auto"/>
            <w:noWrap/>
            <w:vAlign w:val="center"/>
          </w:tcPr>
          <w:p w14:paraId="558A72AA"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物流悬挂输送系统</w:t>
            </w:r>
            <w:r>
              <w:rPr>
                <w:rFonts w:ascii="Times New Roman" w:hAnsi="Times New Roman" w:cs="Times New Roman"/>
                <w:sz w:val="21"/>
                <w:szCs w:val="21"/>
              </w:rPr>
              <w:t>-</w:t>
            </w:r>
            <w:r>
              <w:rPr>
                <w:rFonts w:ascii="Times New Roman" w:hAnsi="Times New Roman" w:cs="Times New Roman" w:hint="eastAsia"/>
                <w:sz w:val="21"/>
                <w:szCs w:val="21"/>
              </w:rPr>
              <w:t>悬挂链</w:t>
            </w:r>
          </w:p>
        </w:tc>
        <w:tc>
          <w:tcPr>
            <w:tcW w:w="749" w:type="pct"/>
            <w:shd w:val="clear" w:color="auto" w:fill="auto"/>
            <w:noWrap/>
            <w:vAlign w:val="center"/>
          </w:tcPr>
          <w:p w14:paraId="3B5DB44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1,432.74</w:t>
            </w:r>
          </w:p>
        </w:tc>
        <w:tc>
          <w:tcPr>
            <w:tcW w:w="747" w:type="pct"/>
            <w:shd w:val="clear" w:color="auto" w:fill="auto"/>
            <w:noWrap/>
            <w:vAlign w:val="center"/>
          </w:tcPr>
          <w:p w14:paraId="14DAF84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1,361.06</w:t>
            </w:r>
          </w:p>
        </w:tc>
        <w:tc>
          <w:tcPr>
            <w:tcW w:w="617" w:type="pct"/>
            <w:shd w:val="clear" w:color="auto" w:fill="auto"/>
            <w:noWrap/>
            <w:vAlign w:val="center"/>
          </w:tcPr>
          <w:p w14:paraId="2F741490"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13459E7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5,946.90</w:t>
            </w:r>
          </w:p>
        </w:tc>
      </w:tr>
      <w:tr w:rsidR="000A0ACD" w14:paraId="0FD5AF5A" w14:textId="77777777">
        <w:trPr>
          <w:trHeight w:val="397"/>
        </w:trPr>
        <w:tc>
          <w:tcPr>
            <w:tcW w:w="1893" w:type="pct"/>
            <w:shd w:val="clear" w:color="auto" w:fill="auto"/>
            <w:noWrap/>
            <w:vAlign w:val="center"/>
          </w:tcPr>
          <w:p w14:paraId="4FD66F40"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模具自动化仓储</w:t>
            </w:r>
          </w:p>
        </w:tc>
        <w:tc>
          <w:tcPr>
            <w:tcW w:w="749" w:type="pct"/>
            <w:shd w:val="clear" w:color="auto" w:fill="auto"/>
            <w:noWrap/>
            <w:vAlign w:val="center"/>
          </w:tcPr>
          <w:p w14:paraId="7076C92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747" w:type="pct"/>
            <w:shd w:val="clear" w:color="auto" w:fill="auto"/>
            <w:noWrap/>
            <w:vAlign w:val="center"/>
          </w:tcPr>
          <w:p w14:paraId="1810EF3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617" w:type="pct"/>
            <w:shd w:val="clear" w:color="auto" w:fill="auto"/>
            <w:noWrap/>
            <w:vAlign w:val="center"/>
          </w:tcPr>
          <w:p w14:paraId="5CB69EA5"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64F1159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424.78</w:t>
            </w:r>
          </w:p>
        </w:tc>
      </w:tr>
      <w:tr w:rsidR="000A0ACD" w14:paraId="3283DD28" w14:textId="77777777">
        <w:trPr>
          <w:trHeight w:val="397"/>
        </w:trPr>
        <w:tc>
          <w:tcPr>
            <w:tcW w:w="1893" w:type="pct"/>
            <w:shd w:val="clear" w:color="auto" w:fill="auto"/>
            <w:noWrap/>
            <w:vAlign w:val="center"/>
          </w:tcPr>
          <w:p w14:paraId="13B4C858"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749" w:type="pct"/>
            <w:shd w:val="clear" w:color="auto" w:fill="auto"/>
            <w:noWrap/>
            <w:vAlign w:val="center"/>
          </w:tcPr>
          <w:p w14:paraId="197697B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2,070.60</w:t>
            </w:r>
          </w:p>
        </w:tc>
        <w:tc>
          <w:tcPr>
            <w:tcW w:w="747" w:type="pct"/>
            <w:shd w:val="clear" w:color="auto" w:fill="auto"/>
            <w:noWrap/>
            <w:vAlign w:val="center"/>
          </w:tcPr>
          <w:p w14:paraId="75A7D0E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7,039.16</w:t>
            </w:r>
          </w:p>
        </w:tc>
        <w:tc>
          <w:tcPr>
            <w:tcW w:w="617" w:type="pct"/>
            <w:shd w:val="clear" w:color="auto" w:fill="auto"/>
            <w:noWrap/>
            <w:vAlign w:val="center"/>
          </w:tcPr>
          <w:p w14:paraId="42050973"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56486627"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3,539.82</w:t>
            </w:r>
          </w:p>
        </w:tc>
      </w:tr>
      <w:tr w:rsidR="000A0ACD" w14:paraId="06446487" w14:textId="77777777">
        <w:trPr>
          <w:trHeight w:val="397"/>
        </w:trPr>
        <w:tc>
          <w:tcPr>
            <w:tcW w:w="1893" w:type="pct"/>
            <w:shd w:val="clear" w:color="auto" w:fill="auto"/>
            <w:noWrap/>
            <w:vAlign w:val="center"/>
          </w:tcPr>
          <w:p w14:paraId="07C80C18" w14:textId="77777777" w:rsidR="000A0ACD" w:rsidRDefault="00362A99">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海信</w:t>
            </w:r>
          </w:p>
        </w:tc>
        <w:tc>
          <w:tcPr>
            <w:tcW w:w="749" w:type="pct"/>
            <w:shd w:val="clear" w:color="auto" w:fill="auto"/>
            <w:noWrap/>
            <w:vAlign w:val="center"/>
          </w:tcPr>
          <w:p w14:paraId="2084AFEA"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312.39</w:t>
            </w:r>
          </w:p>
        </w:tc>
        <w:tc>
          <w:tcPr>
            <w:tcW w:w="747" w:type="pct"/>
            <w:shd w:val="clear" w:color="auto" w:fill="auto"/>
            <w:noWrap/>
            <w:vAlign w:val="center"/>
          </w:tcPr>
          <w:p w14:paraId="1D5D6A85"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394.69</w:t>
            </w:r>
          </w:p>
        </w:tc>
        <w:tc>
          <w:tcPr>
            <w:tcW w:w="617" w:type="pct"/>
            <w:shd w:val="clear" w:color="auto" w:fill="auto"/>
            <w:noWrap/>
            <w:vAlign w:val="center"/>
          </w:tcPr>
          <w:p w14:paraId="23CC20DF"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884.96</w:t>
            </w:r>
          </w:p>
        </w:tc>
        <w:tc>
          <w:tcPr>
            <w:tcW w:w="993" w:type="pct"/>
            <w:shd w:val="clear" w:color="auto" w:fill="auto"/>
            <w:noWrap/>
            <w:vAlign w:val="center"/>
          </w:tcPr>
          <w:p w14:paraId="6915D976"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141.59</w:t>
            </w:r>
          </w:p>
        </w:tc>
      </w:tr>
      <w:tr w:rsidR="000A0ACD" w14:paraId="000C8CFB" w14:textId="77777777">
        <w:trPr>
          <w:trHeight w:val="397"/>
        </w:trPr>
        <w:tc>
          <w:tcPr>
            <w:tcW w:w="1893" w:type="pct"/>
            <w:shd w:val="clear" w:color="auto" w:fill="auto"/>
            <w:noWrap/>
            <w:vAlign w:val="center"/>
          </w:tcPr>
          <w:p w14:paraId="08D14EA9"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749" w:type="pct"/>
            <w:shd w:val="clear" w:color="auto" w:fill="auto"/>
            <w:noWrap/>
            <w:vAlign w:val="center"/>
          </w:tcPr>
          <w:p w14:paraId="60C3650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312.39</w:t>
            </w:r>
          </w:p>
        </w:tc>
        <w:tc>
          <w:tcPr>
            <w:tcW w:w="747" w:type="pct"/>
            <w:shd w:val="clear" w:color="auto" w:fill="auto"/>
            <w:noWrap/>
            <w:vAlign w:val="center"/>
          </w:tcPr>
          <w:p w14:paraId="4307FA9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394.69</w:t>
            </w:r>
          </w:p>
        </w:tc>
        <w:tc>
          <w:tcPr>
            <w:tcW w:w="617" w:type="pct"/>
            <w:shd w:val="clear" w:color="auto" w:fill="auto"/>
            <w:noWrap/>
            <w:vAlign w:val="center"/>
          </w:tcPr>
          <w:p w14:paraId="2425310C"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41D76A0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1B0A9A48" w14:textId="77777777">
        <w:trPr>
          <w:trHeight w:val="397"/>
        </w:trPr>
        <w:tc>
          <w:tcPr>
            <w:tcW w:w="1893" w:type="pct"/>
            <w:shd w:val="clear" w:color="auto" w:fill="auto"/>
            <w:noWrap/>
            <w:vAlign w:val="center"/>
          </w:tcPr>
          <w:p w14:paraId="7C893041"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749" w:type="pct"/>
            <w:shd w:val="clear" w:color="auto" w:fill="auto"/>
            <w:noWrap/>
            <w:vAlign w:val="center"/>
          </w:tcPr>
          <w:p w14:paraId="360D1AD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747" w:type="pct"/>
            <w:shd w:val="clear" w:color="auto" w:fill="auto"/>
            <w:noWrap/>
            <w:vAlign w:val="center"/>
          </w:tcPr>
          <w:p w14:paraId="2FCC4B1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617" w:type="pct"/>
            <w:shd w:val="clear" w:color="auto" w:fill="auto"/>
            <w:noWrap/>
            <w:vAlign w:val="center"/>
          </w:tcPr>
          <w:p w14:paraId="4B6A14D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884.96</w:t>
            </w:r>
          </w:p>
        </w:tc>
        <w:tc>
          <w:tcPr>
            <w:tcW w:w="993" w:type="pct"/>
            <w:shd w:val="clear" w:color="auto" w:fill="auto"/>
            <w:noWrap/>
            <w:vAlign w:val="center"/>
          </w:tcPr>
          <w:p w14:paraId="3FAE414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141.59</w:t>
            </w:r>
          </w:p>
        </w:tc>
      </w:tr>
      <w:tr w:rsidR="000A0ACD" w14:paraId="15F1C2C1" w14:textId="77777777">
        <w:trPr>
          <w:trHeight w:val="397"/>
        </w:trPr>
        <w:tc>
          <w:tcPr>
            <w:tcW w:w="1893" w:type="pct"/>
            <w:shd w:val="clear" w:color="auto" w:fill="auto"/>
            <w:noWrap/>
            <w:vAlign w:val="center"/>
          </w:tcPr>
          <w:p w14:paraId="00CD8810" w14:textId="77777777" w:rsidR="000A0ACD" w:rsidRDefault="00362A99">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崂山矿泉水</w:t>
            </w:r>
          </w:p>
        </w:tc>
        <w:tc>
          <w:tcPr>
            <w:tcW w:w="749" w:type="pct"/>
            <w:shd w:val="clear" w:color="auto" w:fill="auto"/>
            <w:noWrap/>
            <w:vAlign w:val="center"/>
          </w:tcPr>
          <w:p w14:paraId="67E9815C"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20.78</w:t>
            </w:r>
          </w:p>
        </w:tc>
        <w:tc>
          <w:tcPr>
            <w:tcW w:w="747" w:type="pct"/>
            <w:shd w:val="clear" w:color="auto" w:fill="auto"/>
            <w:noWrap/>
            <w:vAlign w:val="center"/>
          </w:tcPr>
          <w:p w14:paraId="0414A56E"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617" w:type="pct"/>
            <w:shd w:val="clear" w:color="auto" w:fill="auto"/>
            <w:noWrap/>
            <w:vAlign w:val="center"/>
          </w:tcPr>
          <w:p w14:paraId="271B2755"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993" w:type="pct"/>
            <w:shd w:val="clear" w:color="auto" w:fill="auto"/>
            <w:noWrap/>
            <w:vAlign w:val="center"/>
          </w:tcPr>
          <w:p w14:paraId="57C0AE76"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w:t>
            </w:r>
          </w:p>
        </w:tc>
      </w:tr>
      <w:tr w:rsidR="000A0ACD" w14:paraId="051D5036" w14:textId="77777777">
        <w:trPr>
          <w:trHeight w:val="397"/>
        </w:trPr>
        <w:tc>
          <w:tcPr>
            <w:tcW w:w="1893" w:type="pct"/>
            <w:shd w:val="clear" w:color="auto" w:fill="auto"/>
            <w:noWrap/>
            <w:vAlign w:val="center"/>
          </w:tcPr>
          <w:p w14:paraId="76C93070"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企业信息化</w:t>
            </w:r>
          </w:p>
        </w:tc>
        <w:tc>
          <w:tcPr>
            <w:tcW w:w="749" w:type="pct"/>
            <w:shd w:val="clear" w:color="auto" w:fill="auto"/>
            <w:noWrap/>
            <w:vAlign w:val="center"/>
          </w:tcPr>
          <w:p w14:paraId="1F54401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20.78</w:t>
            </w:r>
          </w:p>
        </w:tc>
        <w:tc>
          <w:tcPr>
            <w:tcW w:w="747" w:type="pct"/>
            <w:shd w:val="clear" w:color="auto" w:fill="auto"/>
            <w:noWrap/>
            <w:vAlign w:val="center"/>
          </w:tcPr>
          <w:p w14:paraId="7E2B482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617" w:type="pct"/>
            <w:shd w:val="clear" w:color="auto" w:fill="auto"/>
            <w:noWrap/>
            <w:vAlign w:val="center"/>
          </w:tcPr>
          <w:p w14:paraId="5D7C2143" w14:textId="77777777" w:rsidR="000A0ACD" w:rsidRDefault="000A0ACD">
            <w:pPr>
              <w:jc w:val="right"/>
              <w:rPr>
                <w:rFonts w:ascii="Times New Roman" w:hAnsi="Times New Roman" w:cs="Times New Roman"/>
                <w:sz w:val="21"/>
                <w:szCs w:val="21"/>
              </w:rPr>
            </w:pPr>
          </w:p>
        </w:tc>
        <w:tc>
          <w:tcPr>
            <w:tcW w:w="993" w:type="pct"/>
            <w:shd w:val="clear" w:color="auto" w:fill="auto"/>
            <w:noWrap/>
            <w:vAlign w:val="center"/>
          </w:tcPr>
          <w:p w14:paraId="7E14F58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69981913" w14:textId="77777777">
        <w:trPr>
          <w:trHeight w:val="397"/>
        </w:trPr>
        <w:tc>
          <w:tcPr>
            <w:tcW w:w="1893" w:type="pct"/>
            <w:shd w:val="clear" w:color="auto" w:fill="auto"/>
            <w:noWrap/>
            <w:vAlign w:val="center"/>
          </w:tcPr>
          <w:p w14:paraId="509AD267" w14:textId="77777777" w:rsidR="000A0ACD" w:rsidRDefault="00362A99">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小计</w:t>
            </w:r>
          </w:p>
        </w:tc>
        <w:tc>
          <w:tcPr>
            <w:tcW w:w="749" w:type="pct"/>
            <w:shd w:val="clear" w:color="auto" w:fill="auto"/>
            <w:noWrap/>
            <w:vAlign w:val="center"/>
          </w:tcPr>
          <w:p w14:paraId="5E868864"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15,056.17</w:t>
            </w:r>
          </w:p>
        </w:tc>
        <w:tc>
          <w:tcPr>
            <w:tcW w:w="747" w:type="pct"/>
            <w:shd w:val="clear" w:color="auto" w:fill="auto"/>
            <w:noWrap/>
            <w:vAlign w:val="center"/>
          </w:tcPr>
          <w:p w14:paraId="6A2B4F66"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20,477.55</w:t>
            </w:r>
          </w:p>
        </w:tc>
        <w:tc>
          <w:tcPr>
            <w:tcW w:w="617" w:type="pct"/>
            <w:shd w:val="clear" w:color="auto" w:fill="auto"/>
            <w:noWrap/>
            <w:vAlign w:val="center"/>
          </w:tcPr>
          <w:p w14:paraId="1A91EB8D"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884.96</w:t>
            </w:r>
          </w:p>
        </w:tc>
        <w:tc>
          <w:tcPr>
            <w:tcW w:w="993" w:type="pct"/>
            <w:shd w:val="clear" w:color="auto" w:fill="auto"/>
            <w:noWrap/>
            <w:vAlign w:val="center"/>
          </w:tcPr>
          <w:p w14:paraId="6B063E7C"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12,601.77</w:t>
            </w:r>
          </w:p>
        </w:tc>
      </w:tr>
      <w:tr w:rsidR="000A0ACD" w14:paraId="598472D4" w14:textId="77777777">
        <w:trPr>
          <w:trHeight w:val="397"/>
        </w:trPr>
        <w:tc>
          <w:tcPr>
            <w:tcW w:w="1893" w:type="pct"/>
            <w:shd w:val="clear" w:color="auto" w:fill="auto"/>
            <w:noWrap/>
            <w:vAlign w:val="center"/>
          </w:tcPr>
          <w:p w14:paraId="0B06DBD3" w14:textId="77777777" w:rsidR="000A0ACD" w:rsidRDefault="00362A99">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预计可确认收入率</w:t>
            </w:r>
          </w:p>
        </w:tc>
        <w:tc>
          <w:tcPr>
            <w:tcW w:w="749" w:type="pct"/>
            <w:shd w:val="clear" w:color="auto" w:fill="auto"/>
            <w:noWrap/>
            <w:vAlign w:val="center"/>
          </w:tcPr>
          <w:p w14:paraId="212BF30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747" w:type="pct"/>
            <w:shd w:val="clear" w:color="auto" w:fill="auto"/>
            <w:noWrap/>
            <w:vAlign w:val="center"/>
          </w:tcPr>
          <w:p w14:paraId="2E1781C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617" w:type="pct"/>
            <w:shd w:val="clear" w:color="auto" w:fill="auto"/>
            <w:noWrap/>
            <w:vAlign w:val="center"/>
          </w:tcPr>
          <w:p w14:paraId="56D988A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993" w:type="pct"/>
            <w:shd w:val="clear" w:color="auto" w:fill="auto"/>
            <w:noWrap/>
            <w:vAlign w:val="center"/>
          </w:tcPr>
          <w:p w14:paraId="725C49B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79%</w:t>
            </w:r>
          </w:p>
        </w:tc>
      </w:tr>
      <w:tr w:rsidR="000A0ACD" w14:paraId="0AA992A8" w14:textId="77777777">
        <w:trPr>
          <w:trHeight w:val="397"/>
        </w:trPr>
        <w:tc>
          <w:tcPr>
            <w:tcW w:w="1893" w:type="pct"/>
            <w:shd w:val="clear" w:color="auto" w:fill="auto"/>
            <w:noWrap/>
            <w:vAlign w:val="center"/>
          </w:tcPr>
          <w:p w14:paraId="49361358" w14:textId="77777777" w:rsidR="000A0ACD" w:rsidRDefault="00362A99">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预计可确认收入金额</w:t>
            </w:r>
          </w:p>
        </w:tc>
        <w:tc>
          <w:tcPr>
            <w:tcW w:w="749" w:type="pct"/>
            <w:shd w:val="clear" w:color="auto" w:fill="auto"/>
            <w:noWrap/>
            <w:vAlign w:val="center"/>
          </w:tcPr>
          <w:p w14:paraId="3A90F920"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15,056.17</w:t>
            </w:r>
          </w:p>
        </w:tc>
        <w:tc>
          <w:tcPr>
            <w:tcW w:w="747" w:type="pct"/>
            <w:shd w:val="clear" w:color="auto" w:fill="auto"/>
            <w:noWrap/>
            <w:vAlign w:val="center"/>
          </w:tcPr>
          <w:p w14:paraId="66B21884" w14:textId="77777777" w:rsidR="000A0ACD" w:rsidRDefault="00362A99">
            <w:pPr>
              <w:jc w:val="right"/>
              <w:rPr>
                <w:rFonts w:ascii="Times New Roman" w:hAnsi="Times New Roman" w:cs="Times New Roman"/>
                <w:b/>
                <w:bCs/>
                <w:color w:val="000000"/>
                <w:sz w:val="21"/>
                <w:szCs w:val="21"/>
              </w:rPr>
            </w:pPr>
            <w:bookmarkStart w:id="100" w:name="_Hlk69242300"/>
            <w:r>
              <w:rPr>
                <w:rFonts w:ascii="Times New Roman" w:hAnsi="Times New Roman" w:cs="Times New Roman"/>
                <w:b/>
                <w:bCs/>
                <w:color w:val="000000"/>
                <w:sz w:val="21"/>
                <w:szCs w:val="21"/>
              </w:rPr>
              <w:t>20,477.55</w:t>
            </w:r>
            <w:bookmarkEnd w:id="100"/>
          </w:p>
        </w:tc>
        <w:tc>
          <w:tcPr>
            <w:tcW w:w="617" w:type="pct"/>
            <w:shd w:val="clear" w:color="auto" w:fill="auto"/>
            <w:noWrap/>
            <w:vAlign w:val="center"/>
          </w:tcPr>
          <w:p w14:paraId="59635C43"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884.96</w:t>
            </w:r>
          </w:p>
        </w:tc>
        <w:tc>
          <w:tcPr>
            <w:tcW w:w="993" w:type="pct"/>
            <w:shd w:val="clear" w:color="auto" w:fill="auto"/>
            <w:noWrap/>
            <w:vAlign w:val="center"/>
          </w:tcPr>
          <w:p w14:paraId="53D76E26"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9,955.40</w:t>
            </w:r>
          </w:p>
        </w:tc>
      </w:tr>
      <w:tr w:rsidR="000A0ACD" w14:paraId="679F822A" w14:textId="77777777">
        <w:trPr>
          <w:trHeight w:val="397"/>
        </w:trPr>
        <w:tc>
          <w:tcPr>
            <w:tcW w:w="1893" w:type="pct"/>
            <w:tcBorders>
              <w:bottom w:val="single" w:sz="12" w:space="0" w:color="auto"/>
            </w:tcBorders>
            <w:shd w:val="clear" w:color="auto" w:fill="auto"/>
            <w:noWrap/>
            <w:vAlign w:val="center"/>
          </w:tcPr>
          <w:p w14:paraId="266BEB42"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749" w:type="pct"/>
            <w:tcBorders>
              <w:bottom w:val="single" w:sz="12" w:space="0" w:color="auto"/>
            </w:tcBorders>
            <w:shd w:val="clear" w:color="auto" w:fill="auto"/>
            <w:noWrap/>
            <w:vAlign w:val="center"/>
          </w:tcPr>
          <w:p w14:paraId="152D0D9C"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15,056.17</w:t>
            </w:r>
          </w:p>
        </w:tc>
        <w:tc>
          <w:tcPr>
            <w:tcW w:w="2357" w:type="pct"/>
            <w:gridSpan w:val="3"/>
            <w:tcBorders>
              <w:bottom w:val="single" w:sz="12" w:space="0" w:color="auto"/>
            </w:tcBorders>
            <w:shd w:val="clear" w:color="auto" w:fill="auto"/>
            <w:noWrap/>
            <w:vAlign w:val="center"/>
          </w:tcPr>
          <w:p w14:paraId="7C6FC9D9"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31,317.91</w:t>
            </w:r>
          </w:p>
        </w:tc>
      </w:tr>
    </w:tbl>
    <w:p w14:paraId="6D517AAB"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标的公司</w:t>
      </w:r>
      <w:r>
        <w:rPr>
          <w:rFonts w:ascii="Times New Roman" w:hAnsi="Times New Roman" w:cs="Times New Roman"/>
          <w:color w:val="000000"/>
          <w:lang w:val="en-GB"/>
        </w:rPr>
        <w:t>2019</w:t>
      </w:r>
      <w:r>
        <w:rPr>
          <w:rFonts w:ascii="Times New Roman" w:hAnsi="Times New Roman" w:cs="Times New Roman" w:hint="eastAsia"/>
          <w:color w:val="000000"/>
          <w:lang w:val="en-GB"/>
        </w:rPr>
        <w:t>年度及</w:t>
      </w:r>
      <w:r>
        <w:rPr>
          <w:rFonts w:ascii="Times New Roman" w:hAnsi="Times New Roman" w:cs="Times New Roman"/>
          <w:color w:val="000000"/>
          <w:lang w:val="en-GB"/>
        </w:rPr>
        <w:t>2020</w:t>
      </w:r>
      <w:r>
        <w:rPr>
          <w:rFonts w:ascii="Times New Roman" w:hAnsi="Times New Roman" w:cs="Times New Roman" w:hint="eastAsia"/>
          <w:color w:val="000000"/>
          <w:lang w:val="en-GB"/>
        </w:rPr>
        <w:t>年度项目历史平均中标率为</w:t>
      </w:r>
      <w:r>
        <w:rPr>
          <w:rFonts w:ascii="Times New Roman" w:hAnsi="Times New Roman" w:cs="Times New Roman"/>
          <w:color w:val="000000"/>
          <w:lang w:val="en-GB"/>
        </w:rPr>
        <w:t>79%</w:t>
      </w:r>
      <w:r>
        <w:rPr>
          <w:rFonts w:ascii="Times New Roman" w:hAnsi="Times New Roman" w:cs="Times New Roman" w:hint="eastAsia"/>
          <w:color w:val="000000"/>
          <w:lang w:val="en-GB"/>
        </w:rPr>
        <w:t>，根据历史平均中标率水平，预计</w:t>
      </w:r>
      <w:r>
        <w:rPr>
          <w:rFonts w:ascii="Times New Roman" w:hAnsi="Times New Roman" w:cs="Times New Roman"/>
          <w:color w:val="000000"/>
          <w:lang w:val="en-GB"/>
        </w:rPr>
        <w:t>2021</w:t>
      </w:r>
      <w:r>
        <w:rPr>
          <w:rFonts w:ascii="Times New Roman" w:hAnsi="Times New Roman" w:cs="Times New Roman" w:hint="eastAsia"/>
          <w:color w:val="000000"/>
          <w:lang w:val="en-GB"/>
        </w:rPr>
        <w:t>年拟参与投标项目中预计可中标金额约</w:t>
      </w:r>
      <w:r>
        <w:rPr>
          <w:rFonts w:ascii="Times New Roman" w:hAnsi="Times New Roman" w:cs="Times New Roman"/>
          <w:color w:val="000000"/>
          <w:lang w:val="en-GB"/>
        </w:rPr>
        <w:t>9,955.40</w:t>
      </w:r>
      <w:r>
        <w:rPr>
          <w:rFonts w:ascii="Times New Roman" w:hAnsi="Times New Roman" w:cs="Times New Roman" w:hint="eastAsia"/>
          <w:color w:val="000000"/>
          <w:lang w:val="en-GB"/>
        </w:rPr>
        <w:t>万元，同时</w:t>
      </w:r>
      <w:r>
        <w:rPr>
          <w:rFonts w:ascii="Times New Roman" w:hAnsi="Times New Roman" w:cs="Times New Roman"/>
          <w:color w:val="000000"/>
          <w:lang w:val="en-GB"/>
        </w:rPr>
        <w:t>2021</w:t>
      </w:r>
      <w:r>
        <w:rPr>
          <w:rFonts w:ascii="Times New Roman" w:hAnsi="Times New Roman" w:cs="Times New Roman" w:hint="eastAsia"/>
          <w:color w:val="000000"/>
          <w:lang w:val="en-GB"/>
        </w:rPr>
        <w:t>年已签订单可确认收入金额</w:t>
      </w:r>
      <w:r>
        <w:rPr>
          <w:rFonts w:ascii="Times New Roman" w:hAnsi="Times New Roman" w:cs="Times New Roman"/>
          <w:color w:val="000000"/>
          <w:lang w:val="en-GB"/>
        </w:rPr>
        <w:t>20,477.55</w:t>
      </w:r>
      <w:r>
        <w:rPr>
          <w:rFonts w:ascii="Times New Roman" w:hAnsi="Times New Roman" w:cs="Times New Roman" w:hint="eastAsia"/>
          <w:color w:val="000000"/>
          <w:lang w:val="en-GB"/>
        </w:rPr>
        <w:t>万元，获取中标通知书项目可确认收入金额</w:t>
      </w:r>
      <w:r>
        <w:rPr>
          <w:rFonts w:ascii="Times New Roman" w:hAnsi="Times New Roman" w:cs="Times New Roman"/>
          <w:color w:val="000000"/>
          <w:lang w:val="en-GB"/>
        </w:rPr>
        <w:t>884.96</w:t>
      </w:r>
      <w:r>
        <w:rPr>
          <w:rFonts w:ascii="Times New Roman" w:hAnsi="Times New Roman" w:cs="Times New Roman" w:hint="eastAsia"/>
          <w:color w:val="000000"/>
          <w:lang w:val="en-GB"/>
        </w:rPr>
        <w:t>万元，则</w:t>
      </w:r>
      <w:r>
        <w:rPr>
          <w:rFonts w:ascii="Times New Roman" w:hAnsi="Times New Roman" w:cs="Times New Roman"/>
          <w:color w:val="000000"/>
          <w:lang w:val="en-GB"/>
        </w:rPr>
        <w:t>2021</w:t>
      </w:r>
      <w:r>
        <w:rPr>
          <w:rFonts w:ascii="Times New Roman" w:hAnsi="Times New Roman" w:cs="Times New Roman" w:hint="eastAsia"/>
          <w:color w:val="000000"/>
          <w:lang w:val="en-GB"/>
        </w:rPr>
        <w:t>年预计可确认收入金额合计</w:t>
      </w:r>
      <w:r>
        <w:rPr>
          <w:rFonts w:ascii="Times New Roman" w:hAnsi="Times New Roman" w:cs="Times New Roman"/>
          <w:color w:val="000000"/>
          <w:lang w:val="en-GB"/>
        </w:rPr>
        <w:t>31,317.91</w:t>
      </w:r>
      <w:r>
        <w:rPr>
          <w:rFonts w:ascii="Times New Roman" w:hAnsi="Times New Roman" w:cs="Times New Roman" w:hint="eastAsia"/>
          <w:color w:val="000000"/>
          <w:lang w:val="en-GB"/>
        </w:rPr>
        <w:t>万元，高于</w:t>
      </w:r>
      <w:r>
        <w:rPr>
          <w:rFonts w:ascii="Times New Roman" w:hAnsi="Times New Roman" w:cs="Times New Roman"/>
          <w:color w:val="000000"/>
          <w:lang w:val="en-GB"/>
        </w:rPr>
        <w:t>2021</w:t>
      </w:r>
      <w:r>
        <w:rPr>
          <w:rFonts w:ascii="Times New Roman" w:hAnsi="Times New Roman" w:cs="Times New Roman" w:hint="eastAsia"/>
          <w:color w:val="000000"/>
          <w:lang w:val="en-GB"/>
        </w:rPr>
        <w:t>年预测收入规模</w:t>
      </w:r>
      <w:r>
        <w:rPr>
          <w:rFonts w:ascii="Times New Roman" w:hAnsi="Times New Roman" w:cs="Times New Roman"/>
          <w:color w:val="000000"/>
          <w:lang w:val="en-GB"/>
        </w:rPr>
        <w:t>29,249.24</w:t>
      </w:r>
      <w:r>
        <w:rPr>
          <w:rFonts w:ascii="Times New Roman" w:hAnsi="Times New Roman" w:cs="Times New Roman" w:hint="eastAsia"/>
          <w:color w:val="000000"/>
          <w:lang w:val="en-GB"/>
        </w:rPr>
        <w:t>万元，预测收入具有可实现性。</w:t>
      </w:r>
    </w:p>
    <w:p w14:paraId="69DBE429" w14:textId="77777777" w:rsidR="000A0ACD" w:rsidRDefault="00362A99">
      <w:pPr>
        <w:pStyle w:val="03"/>
        <w:spacing w:before="156"/>
        <w:ind w:firstLineChars="200" w:firstLine="482"/>
        <w:jc w:val="both"/>
        <w:rPr>
          <w:rFonts w:ascii="Times New Roman" w:eastAsia="宋体" w:hAnsi="Times New Roman" w:cs="Times New Roman"/>
          <w:b/>
          <w:color w:val="000000"/>
          <w:sz w:val="24"/>
          <w:szCs w:val="21"/>
        </w:rPr>
      </w:pPr>
      <w:r>
        <w:rPr>
          <w:rFonts w:ascii="Times New Roman" w:eastAsia="宋体" w:hAnsi="Times New Roman" w:cs="Times New Roman" w:hint="eastAsia"/>
          <w:b/>
          <w:color w:val="000000"/>
          <w:sz w:val="24"/>
          <w:szCs w:val="21"/>
        </w:rPr>
        <w:t>三、市场竞争及未来市场容量情况</w:t>
      </w:r>
    </w:p>
    <w:p w14:paraId="33CCE46B" w14:textId="77777777" w:rsidR="000A0ACD" w:rsidRDefault="00362A99">
      <w:pPr>
        <w:pStyle w:val="affffd"/>
        <w:spacing w:before="156"/>
        <w:ind w:firstLine="480"/>
        <w:rPr>
          <w:bCs/>
          <w:lang w:val="en-GB"/>
        </w:rPr>
      </w:pPr>
      <w:r>
        <w:rPr>
          <w:rFonts w:hint="eastAsia"/>
          <w:bCs/>
          <w:lang w:val="en-GB"/>
        </w:rPr>
        <w:t>由于我国工业自动化发展起步较晚，核心技术创新能力薄弱。跨国工业自动化企业凭借其质量、资金及技术优势，牢牢占据着高端市场。随着我国自动化行业近年的发展，一批具有较强自主创新能力的优秀企业已经出现，并且凭借产品创新、响应速度及个性化服务，正逐步形成较强的市场竞争力。</w:t>
      </w:r>
    </w:p>
    <w:p w14:paraId="5663A972" w14:textId="77777777" w:rsidR="000A0ACD" w:rsidRDefault="00362A99">
      <w:pPr>
        <w:pStyle w:val="affffd"/>
        <w:spacing w:before="156"/>
        <w:ind w:firstLine="480"/>
        <w:rPr>
          <w:bCs/>
          <w:lang w:val="en-GB"/>
        </w:rPr>
      </w:pPr>
      <w:r>
        <w:rPr>
          <w:rFonts w:hint="eastAsia"/>
          <w:bCs/>
          <w:lang w:val="en-GB"/>
        </w:rPr>
        <w:t>与国内企业相比，国外企业在技术、品牌及资金方面具有较大优势，但在成本、服务及响应速度方面存在一定劣势，因此国外企业加快了本土化进程，通过建立独资或合资企业，逐步缩小了成本、响应速度、服务等方面与国内企业的差距。</w:t>
      </w:r>
    </w:p>
    <w:p w14:paraId="48686CAE" w14:textId="77777777" w:rsidR="000A0ACD" w:rsidRDefault="00362A99">
      <w:pPr>
        <w:pStyle w:val="affffd"/>
        <w:spacing w:before="156"/>
        <w:ind w:firstLine="480"/>
        <w:rPr>
          <w:bCs/>
          <w:lang w:val="en-GB"/>
        </w:rPr>
      </w:pPr>
      <w:r>
        <w:rPr>
          <w:rFonts w:hint="eastAsia"/>
          <w:bCs/>
          <w:lang w:val="en-GB"/>
        </w:rPr>
        <w:t>在非标自动化领域，研发设计需考虑客户的生产线、生产工艺、生产环境等因素，并根据客户定制要求进行零部件、模块的选配和组合，因此对行业内厂商的配套设计能力、项目执行经验、客户服务能力的要求较高。</w:t>
      </w:r>
    </w:p>
    <w:p w14:paraId="691E291F"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（一）行业内主要企业</w:t>
      </w:r>
    </w:p>
    <w:p w14:paraId="451C8944" w14:textId="77777777" w:rsidR="000A0ACD" w:rsidRDefault="00362A99">
      <w:pPr>
        <w:pStyle w:val="affffd"/>
        <w:spacing w:before="156"/>
        <w:ind w:firstLine="480"/>
        <w:rPr>
          <w:bCs/>
          <w:lang w:val="en-GB"/>
        </w:rPr>
      </w:pPr>
      <w:r>
        <w:rPr>
          <w:rFonts w:hint="eastAsia"/>
          <w:bCs/>
          <w:lang w:val="en-GB"/>
        </w:rPr>
        <w:t>标的公司所处行业内有多家竞争公司，国内行业内主要企业有广东拓斯达科技股份有限公司、杭州永创智能设备股份有限公司、快克智能装备股份有限公司、沈阳新松机器人自动化股份有限公司、南京埃斯顿自动化股份有限公司等。</w:t>
      </w:r>
    </w:p>
    <w:p w14:paraId="72CACAF8" w14:textId="77777777" w:rsidR="000A0ACD" w:rsidRDefault="00362A99">
      <w:pPr>
        <w:pStyle w:val="affffd"/>
        <w:spacing w:beforeLines="0" w:before="156"/>
        <w:ind w:firstLine="482"/>
        <w:rPr>
          <w:b/>
          <w:bCs/>
          <w:lang w:val="en-GB"/>
        </w:rPr>
      </w:pPr>
      <w:r>
        <w:rPr>
          <w:rFonts w:hint="eastAsia"/>
          <w:b/>
          <w:bCs/>
        </w:rPr>
        <w:t>1</w:t>
      </w:r>
      <w:r>
        <w:rPr>
          <w:rFonts w:hint="eastAsia"/>
          <w:b/>
          <w:bCs/>
        </w:rPr>
        <w:t>、</w:t>
      </w:r>
      <w:r>
        <w:rPr>
          <w:rFonts w:hint="eastAsia"/>
          <w:b/>
          <w:bCs/>
          <w:lang w:val="en-GB"/>
        </w:rPr>
        <w:t>广东拓斯达科技股份有限公司（股票代码：</w:t>
      </w:r>
      <w:r>
        <w:rPr>
          <w:rFonts w:hint="eastAsia"/>
          <w:b/>
          <w:bCs/>
          <w:lang w:val="en-GB"/>
        </w:rPr>
        <w:t>300607</w:t>
      </w:r>
      <w:r>
        <w:rPr>
          <w:rFonts w:hint="eastAsia"/>
          <w:b/>
          <w:bCs/>
          <w:lang w:val="en-GB"/>
        </w:rPr>
        <w:t>）</w:t>
      </w:r>
    </w:p>
    <w:p w14:paraId="68D9810E" w14:textId="77777777" w:rsidR="000A0ACD" w:rsidRDefault="00362A99">
      <w:pPr>
        <w:pStyle w:val="affffd"/>
        <w:spacing w:before="156"/>
        <w:ind w:firstLine="480"/>
        <w:rPr>
          <w:bCs/>
          <w:lang w:val="en-GB"/>
        </w:rPr>
      </w:pPr>
      <w:r>
        <w:rPr>
          <w:rFonts w:hint="eastAsia"/>
          <w:bCs/>
          <w:lang w:val="en-GB"/>
        </w:rPr>
        <w:t>拓斯达成立于</w:t>
      </w:r>
      <w:r>
        <w:rPr>
          <w:rFonts w:hint="eastAsia"/>
          <w:bCs/>
          <w:lang w:val="en-GB"/>
        </w:rPr>
        <w:t>2007</w:t>
      </w:r>
      <w:r>
        <w:rPr>
          <w:rFonts w:hint="eastAsia"/>
          <w:bCs/>
          <w:lang w:val="en-GB"/>
        </w:rPr>
        <w:t>年</w:t>
      </w:r>
      <w:r>
        <w:rPr>
          <w:rFonts w:hint="eastAsia"/>
          <w:bCs/>
          <w:lang w:val="en-GB"/>
        </w:rPr>
        <w:t>6</w:t>
      </w:r>
      <w:r>
        <w:rPr>
          <w:rFonts w:hint="eastAsia"/>
          <w:bCs/>
          <w:lang w:val="en-GB"/>
        </w:rPr>
        <w:t>月</w:t>
      </w:r>
      <w:r>
        <w:rPr>
          <w:rFonts w:hint="eastAsia"/>
          <w:bCs/>
          <w:lang w:val="en-GB"/>
        </w:rPr>
        <w:t>1</w:t>
      </w:r>
      <w:r>
        <w:rPr>
          <w:rFonts w:hint="eastAsia"/>
          <w:bCs/>
          <w:lang w:val="en-GB"/>
        </w:rPr>
        <w:t>日，</w:t>
      </w:r>
      <w:r>
        <w:rPr>
          <w:rFonts w:hint="eastAsia"/>
          <w:bCs/>
          <w:lang w:val="en-GB"/>
        </w:rPr>
        <w:t>2017</w:t>
      </w:r>
      <w:r>
        <w:rPr>
          <w:rFonts w:hint="eastAsia"/>
          <w:bCs/>
          <w:lang w:val="en-GB"/>
        </w:rPr>
        <w:t>年</w:t>
      </w:r>
      <w:r>
        <w:rPr>
          <w:rFonts w:hint="eastAsia"/>
          <w:bCs/>
          <w:lang w:val="en-GB"/>
        </w:rPr>
        <w:t>2</w:t>
      </w:r>
      <w:r>
        <w:rPr>
          <w:rFonts w:hint="eastAsia"/>
          <w:bCs/>
          <w:lang w:val="en-GB"/>
        </w:rPr>
        <w:t>月在深交所创业板上市，是一家专业为下游制造业客户提供工业自动化整体解决方案及相关设备的高新技术企业。拓斯达的主要产品及服务包括机械手及配套方案、多关节机器人应用方案、注塑机辅机设备、注塑自动化供料及水电气系统等四大系列，广泛应用于</w:t>
      </w:r>
      <w:r>
        <w:rPr>
          <w:rFonts w:hint="eastAsia"/>
          <w:bCs/>
          <w:lang w:val="en-GB"/>
        </w:rPr>
        <w:t>3C</w:t>
      </w:r>
      <w:r>
        <w:rPr>
          <w:rFonts w:hint="eastAsia"/>
          <w:bCs/>
          <w:lang w:val="en-GB"/>
        </w:rPr>
        <w:t>（计算机、通讯和消费电子）、家用电器、汽车零部件、医疗器械等众多领域。经过多年发展，拓斯达凭借自身先进的技术研发能力、快速的客户响应能力及丰富的行业个性化应用经验，正逐渐成为国内工业自动化相关领域的领跑者。</w:t>
      </w:r>
    </w:p>
    <w:p w14:paraId="7B38E4C0" w14:textId="77777777" w:rsidR="000A0ACD" w:rsidRDefault="00362A99">
      <w:pPr>
        <w:pStyle w:val="affffd"/>
        <w:spacing w:beforeLines="0" w:before="156"/>
        <w:ind w:firstLine="482"/>
        <w:rPr>
          <w:b/>
          <w:bCs/>
          <w:lang w:val="en-GB"/>
        </w:rPr>
      </w:pPr>
      <w:r>
        <w:rPr>
          <w:rFonts w:hint="eastAsia"/>
          <w:b/>
          <w:bCs/>
        </w:rPr>
        <w:t>2</w:t>
      </w:r>
      <w:r>
        <w:rPr>
          <w:rFonts w:hint="eastAsia"/>
          <w:b/>
          <w:bCs/>
        </w:rPr>
        <w:t>、</w:t>
      </w:r>
      <w:r>
        <w:rPr>
          <w:rFonts w:hint="eastAsia"/>
          <w:b/>
          <w:bCs/>
          <w:lang w:val="en-GB"/>
        </w:rPr>
        <w:t>杭州永创智能设备股份有限公司（股票代码：</w:t>
      </w:r>
      <w:r>
        <w:rPr>
          <w:rFonts w:hint="eastAsia"/>
          <w:b/>
          <w:bCs/>
          <w:lang w:val="en-GB"/>
        </w:rPr>
        <w:t>603901</w:t>
      </w:r>
      <w:r>
        <w:rPr>
          <w:rFonts w:hint="eastAsia"/>
          <w:b/>
          <w:bCs/>
          <w:lang w:val="en-GB"/>
        </w:rPr>
        <w:t>）</w:t>
      </w:r>
    </w:p>
    <w:p w14:paraId="50ACA4D1" w14:textId="77777777" w:rsidR="000A0ACD" w:rsidRDefault="00362A99">
      <w:pPr>
        <w:pStyle w:val="affffd"/>
        <w:spacing w:before="156"/>
        <w:ind w:firstLine="480"/>
        <w:rPr>
          <w:bCs/>
          <w:lang w:val="en-GB"/>
        </w:rPr>
      </w:pPr>
      <w:r>
        <w:rPr>
          <w:rFonts w:hint="eastAsia"/>
          <w:bCs/>
          <w:lang w:val="en-GB"/>
        </w:rPr>
        <w:t>永创智能成立于</w:t>
      </w:r>
      <w:r>
        <w:rPr>
          <w:rFonts w:hint="eastAsia"/>
          <w:bCs/>
          <w:lang w:val="en-GB"/>
        </w:rPr>
        <w:t>2002</w:t>
      </w:r>
      <w:r>
        <w:rPr>
          <w:rFonts w:hint="eastAsia"/>
          <w:bCs/>
          <w:lang w:val="en-GB"/>
        </w:rPr>
        <w:t>年</w:t>
      </w:r>
      <w:r>
        <w:rPr>
          <w:rFonts w:hint="eastAsia"/>
          <w:bCs/>
          <w:lang w:val="en-GB"/>
        </w:rPr>
        <w:t>11</w:t>
      </w:r>
      <w:r>
        <w:rPr>
          <w:rFonts w:hint="eastAsia"/>
          <w:bCs/>
          <w:lang w:val="en-GB"/>
        </w:rPr>
        <w:t>月</w:t>
      </w:r>
      <w:r>
        <w:rPr>
          <w:rFonts w:hint="eastAsia"/>
          <w:bCs/>
          <w:lang w:val="en-GB"/>
        </w:rPr>
        <w:t>7</w:t>
      </w:r>
      <w:r>
        <w:rPr>
          <w:rFonts w:hint="eastAsia"/>
          <w:bCs/>
          <w:lang w:val="en-GB"/>
        </w:rPr>
        <w:t>日，</w:t>
      </w:r>
      <w:r>
        <w:rPr>
          <w:rFonts w:hint="eastAsia"/>
          <w:bCs/>
          <w:lang w:val="en-GB"/>
        </w:rPr>
        <w:t>2015</w:t>
      </w:r>
      <w:r>
        <w:rPr>
          <w:rFonts w:hint="eastAsia"/>
          <w:bCs/>
          <w:lang w:val="en-GB"/>
        </w:rPr>
        <w:t>年</w:t>
      </w:r>
      <w:r>
        <w:rPr>
          <w:rFonts w:hint="eastAsia"/>
          <w:bCs/>
          <w:lang w:val="en-GB"/>
        </w:rPr>
        <w:t>5</w:t>
      </w:r>
      <w:r>
        <w:rPr>
          <w:rFonts w:hint="eastAsia"/>
          <w:bCs/>
          <w:lang w:val="en-GB"/>
        </w:rPr>
        <w:t>月</w:t>
      </w:r>
      <w:r>
        <w:rPr>
          <w:rFonts w:hint="eastAsia"/>
          <w:bCs/>
          <w:lang w:val="en-GB"/>
        </w:rPr>
        <w:t>29</w:t>
      </w:r>
      <w:r>
        <w:rPr>
          <w:rFonts w:hint="eastAsia"/>
          <w:bCs/>
          <w:lang w:val="en-GB"/>
        </w:rPr>
        <w:t>日于上交所主板上市，永创智能是全国智能包装装备系统领域的行业知名企业，国内大型整套包装生产线解决方案提供商，为客户提供离散</w:t>
      </w:r>
      <w:r>
        <w:rPr>
          <w:rFonts w:hint="eastAsia"/>
          <w:bCs/>
          <w:lang w:val="en-GB"/>
        </w:rPr>
        <w:t>/</w:t>
      </w:r>
      <w:r>
        <w:rPr>
          <w:rFonts w:hint="eastAsia"/>
          <w:bCs/>
          <w:lang w:val="en-GB"/>
        </w:rPr>
        <w:t>混合型智能包装系统。</w:t>
      </w:r>
    </w:p>
    <w:p w14:paraId="0A3BC490" w14:textId="77777777" w:rsidR="000A0ACD" w:rsidRDefault="00362A99">
      <w:pPr>
        <w:pStyle w:val="affffd"/>
        <w:spacing w:beforeLines="0" w:before="156"/>
        <w:ind w:firstLine="482"/>
        <w:rPr>
          <w:b/>
          <w:bCs/>
          <w:lang w:val="en-GB"/>
        </w:rPr>
      </w:pPr>
      <w:r>
        <w:rPr>
          <w:rFonts w:hint="eastAsia"/>
          <w:b/>
          <w:bCs/>
        </w:rPr>
        <w:t>3</w:t>
      </w:r>
      <w:r>
        <w:rPr>
          <w:rFonts w:hint="eastAsia"/>
          <w:b/>
          <w:bCs/>
        </w:rPr>
        <w:t>、</w:t>
      </w:r>
      <w:r>
        <w:rPr>
          <w:rFonts w:hint="eastAsia"/>
          <w:b/>
          <w:bCs/>
          <w:lang w:val="en-GB"/>
        </w:rPr>
        <w:t>快克智能装备股份有限公司（股票代码：</w:t>
      </w:r>
      <w:r>
        <w:rPr>
          <w:rFonts w:hint="eastAsia"/>
          <w:b/>
          <w:bCs/>
          <w:lang w:val="en-GB"/>
        </w:rPr>
        <w:t>603203</w:t>
      </w:r>
      <w:r>
        <w:rPr>
          <w:rFonts w:hint="eastAsia"/>
          <w:b/>
          <w:bCs/>
          <w:lang w:val="en-GB"/>
        </w:rPr>
        <w:t>）</w:t>
      </w:r>
    </w:p>
    <w:p w14:paraId="31F08B99" w14:textId="77777777" w:rsidR="000A0ACD" w:rsidRDefault="00362A99">
      <w:pPr>
        <w:pStyle w:val="affffd"/>
        <w:spacing w:before="156"/>
        <w:ind w:firstLine="480"/>
        <w:rPr>
          <w:bCs/>
          <w:lang w:val="en-GB"/>
        </w:rPr>
      </w:pPr>
      <w:r>
        <w:rPr>
          <w:rFonts w:hint="eastAsia"/>
          <w:bCs/>
          <w:lang w:val="en-GB"/>
        </w:rPr>
        <w:t>快克股份成立于</w:t>
      </w:r>
      <w:r>
        <w:rPr>
          <w:rFonts w:hint="eastAsia"/>
          <w:bCs/>
          <w:lang w:val="en-GB"/>
        </w:rPr>
        <w:t>2006</w:t>
      </w:r>
      <w:r>
        <w:rPr>
          <w:rFonts w:hint="eastAsia"/>
          <w:bCs/>
          <w:lang w:val="en-GB"/>
        </w:rPr>
        <w:t>年</w:t>
      </w:r>
      <w:r>
        <w:rPr>
          <w:rFonts w:hint="eastAsia"/>
          <w:bCs/>
          <w:lang w:val="en-GB"/>
        </w:rPr>
        <w:t>6</w:t>
      </w:r>
      <w:r>
        <w:rPr>
          <w:rFonts w:hint="eastAsia"/>
          <w:bCs/>
          <w:lang w:val="en-GB"/>
        </w:rPr>
        <w:t>月</w:t>
      </w:r>
      <w:r>
        <w:rPr>
          <w:rFonts w:hint="eastAsia"/>
          <w:bCs/>
          <w:lang w:val="en-GB"/>
        </w:rPr>
        <w:t>28</w:t>
      </w:r>
      <w:r>
        <w:rPr>
          <w:rFonts w:hint="eastAsia"/>
          <w:bCs/>
          <w:lang w:val="en-GB"/>
        </w:rPr>
        <w:t>日，</w:t>
      </w:r>
      <w:r>
        <w:rPr>
          <w:rFonts w:hint="eastAsia"/>
          <w:bCs/>
          <w:lang w:val="en-GB"/>
        </w:rPr>
        <w:t>2016</w:t>
      </w:r>
      <w:r>
        <w:rPr>
          <w:rFonts w:hint="eastAsia"/>
          <w:bCs/>
          <w:lang w:val="en-GB"/>
        </w:rPr>
        <w:t>年</w:t>
      </w:r>
      <w:r>
        <w:rPr>
          <w:rFonts w:hint="eastAsia"/>
          <w:bCs/>
          <w:lang w:val="en-GB"/>
        </w:rPr>
        <w:t>11</w:t>
      </w:r>
      <w:r>
        <w:rPr>
          <w:rFonts w:hint="eastAsia"/>
          <w:bCs/>
          <w:lang w:val="en-GB"/>
        </w:rPr>
        <w:t>月</w:t>
      </w:r>
      <w:r>
        <w:rPr>
          <w:rFonts w:hint="eastAsia"/>
          <w:bCs/>
          <w:lang w:val="en-GB"/>
        </w:rPr>
        <w:t>8</w:t>
      </w:r>
      <w:r>
        <w:rPr>
          <w:rFonts w:hint="eastAsia"/>
          <w:bCs/>
          <w:lang w:val="en-GB"/>
        </w:rPr>
        <w:t>日于上交所主板上市。主营业务为以锡焊技术为核心的电子装联专用设备的研发、生产和销售，提供的产品和服务包括锡焊工具和机器人、装联作业的关联性设备以及柔性自动化生产线。</w:t>
      </w:r>
    </w:p>
    <w:p w14:paraId="74284AC4" w14:textId="77777777" w:rsidR="000A0ACD" w:rsidRDefault="00362A99">
      <w:pPr>
        <w:pStyle w:val="affffd"/>
        <w:adjustRightInd w:val="0"/>
        <w:snapToGrid w:val="0"/>
        <w:spacing w:beforeLines="0" w:before="156"/>
        <w:ind w:firstLine="482"/>
        <w:rPr>
          <w:b/>
          <w:bCs/>
        </w:rPr>
      </w:pPr>
      <w:r>
        <w:rPr>
          <w:rFonts w:hint="eastAsia"/>
          <w:b/>
          <w:bCs/>
        </w:rPr>
        <w:t>4</w:t>
      </w:r>
      <w:r>
        <w:rPr>
          <w:rFonts w:hint="eastAsia"/>
          <w:b/>
          <w:bCs/>
        </w:rPr>
        <w:t>、沈阳新松机器人自动化股份有限公司（股票代码：</w:t>
      </w:r>
      <w:r>
        <w:rPr>
          <w:rFonts w:hint="eastAsia"/>
          <w:b/>
          <w:bCs/>
        </w:rPr>
        <w:t>300024</w:t>
      </w:r>
      <w:r>
        <w:rPr>
          <w:rFonts w:hint="eastAsia"/>
          <w:b/>
          <w:bCs/>
        </w:rPr>
        <w:t>）</w:t>
      </w:r>
    </w:p>
    <w:p w14:paraId="48C92768" w14:textId="77777777" w:rsidR="000A0ACD" w:rsidRDefault="00362A99">
      <w:pPr>
        <w:pStyle w:val="affffd"/>
        <w:spacing w:before="156"/>
        <w:ind w:firstLine="480"/>
        <w:rPr>
          <w:bCs/>
          <w:lang w:val="en-GB"/>
        </w:rPr>
      </w:pPr>
      <w:r>
        <w:rPr>
          <w:rFonts w:hint="eastAsia"/>
          <w:bCs/>
          <w:lang w:val="en-GB"/>
        </w:rPr>
        <w:t>沈阳新松机器人自动化股份有限公司成立于</w:t>
      </w:r>
      <w:r>
        <w:rPr>
          <w:bCs/>
          <w:lang w:val="en-GB"/>
        </w:rPr>
        <w:t>2000</w:t>
      </w:r>
      <w:r>
        <w:rPr>
          <w:rFonts w:hint="eastAsia"/>
          <w:bCs/>
          <w:lang w:val="en-GB"/>
        </w:rPr>
        <w:t>年</w:t>
      </w:r>
      <w:r>
        <w:rPr>
          <w:bCs/>
          <w:lang w:val="en-GB"/>
        </w:rPr>
        <w:t>4</w:t>
      </w:r>
      <w:r>
        <w:rPr>
          <w:rFonts w:hint="eastAsia"/>
          <w:bCs/>
          <w:lang w:val="en-GB"/>
        </w:rPr>
        <w:t>月</w:t>
      </w:r>
      <w:r>
        <w:rPr>
          <w:bCs/>
          <w:lang w:val="en-GB"/>
        </w:rPr>
        <w:t>30</w:t>
      </w:r>
      <w:r>
        <w:rPr>
          <w:rFonts w:hint="eastAsia"/>
          <w:bCs/>
          <w:lang w:val="en-GB"/>
        </w:rPr>
        <w:t>日，</w:t>
      </w:r>
      <w:r>
        <w:rPr>
          <w:bCs/>
          <w:lang w:val="en-GB"/>
        </w:rPr>
        <w:t>2009</w:t>
      </w:r>
      <w:r>
        <w:rPr>
          <w:rFonts w:hint="eastAsia"/>
          <w:bCs/>
          <w:lang w:val="en-GB"/>
        </w:rPr>
        <w:t>年</w:t>
      </w:r>
      <w:r>
        <w:rPr>
          <w:bCs/>
          <w:lang w:val="en-GB"/>
        </w:rPr>
        <w:t>10</w:t>
      </w:r>
      <w:r>
        <w:rPr>
          <w:rFonts w:hint="eastAsia"/>
          <w:bCs/>
          <w:lang w:val="en-GB"/>
        </w:rPr>
        <w:t>月</w:t>
      </w:r>
      <w:r>
        <w:rPr>
          <w:bCs/>
          <w:lang w:val="en-GB"/>
        </w:rPr>
        <w:t>30</w:t>
      </w:r>
      <w:r>
        <w:rPr>
          <w:rFonts w:hint="eastAsia"/>
          <w:bCs/>
          <w:lang w:val="en-GB"/>
        </w:rPr>
        <w:t>日于深交所创业板上市。沈阳新松机器人自动化股份有限公司的机器人产品线涵盖工业机器人、洁净</w:t>
      </w:r>
      <w:r>
        <w:rPr>
          <w:bCs/>
          <w:lang w:val="en-GB"/>
        </w:rPr>
        <w:t>(</w:t>
      </w:r>
      <w:r>
        <w:rPr>
          <w:rFonts w:hint="eastAsia"/>
          <w:bCs/>
          <w:lang w:val="en-GB"/>
        </w:rPr>
        <w:t>真空</w:t>
      </w:r>
      <w:r>
        <w:rPr>
          <w:bCs/>
          <w:lang w:val="en-GB"/>
        </w:rPr>
        <w:t>)</w:t>
      </w:r>
      <w:r>
        <w:rPr>
          <w:rFonts w:hint="eastAsia"/>
          <w:bCs/>
          <w:lang w:val="en-GB"/>
        </w:rPr>
        <w:t>机器人、移动机器人、特种机器人及智能服务机器人五大系列。在高端智能装备方面涉及智能物流、自动化成套装备、洁净装备、激光技术装备、轨道交通、节能环保装备、能源装备、特种装备等产业。</w:t>
      </w:r>
    </w:p>
    <w:p w14:paraId="67F99154" w14:textId="77777777" w:rsidR="000A0ACD" w:rsidRDefault="00362A99">
      <w:pPr>
        <w:pStyle w:val="affffd"/>
        <w:adjustRightInd w:val="0"/>
        <w:snapToGrid w:val="0"/>
        <w:spacing w:beforeLines="0" w:before="156"/>
        <w:ind w:firstLine="482"/>
        <w:rPr>
          <w:b/>
          <w:bCs/>
        </w:rPr>
      </w:pPr>
      <w:r>
        <w:rPr>
          <w:rFonts w:hint="eastAsia"/>
          <w:b/>
          <w:bCs/>
        </w:rPr>
        <w:t>5</w:t>
      </w:r>
      <w:r>
        <w:rPr>
          <w:rFonts w:hint="eastAsia"/>
          <w:b/>
          <w:bCs/>
        </w:rPr>
        <w:t>、南京埃斯顿自动化股份有限公司（股票代码：</w:t>
      </w:r>
      <w:r>
        <w:rPr>
          <w:rFonts w:hint="eastAsia"/>
          <w:b/>
          <w:bCs/>
        </w:rPr>
        <w:t>002747</w:t>
      </w:r>
      <w:r>
        <w:rPr>
          <w:rFonts w:hint="eastAsia"/>
          <w:b/>
          <w:bCs/>
        </w:rPr>
        <w:t>）</w:t>
      </w:r>
    </w:p>
    <w:p w14:paraId="6C492778"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南京埃斯顿自动化股份有限公司成立于</w:t>
      </w:r>
      <w:r>
        <w:rPr>
          <w:rFonts w:ascii="Times New Roman" w:hAnsi="Times New Roman" w:cs="Times New Roman" w:hint="eastAsia"/>
        </w:rPr>
        <w:t>2002</w:t>
      </w:r>
      <w:r>
        <w:rPr>
          <w:rFonts w:ascii="Times New Roman" w:hAnsi="Times New Roman" w:cs="Times New Roman" w:hint="eastAsia"/>
        </w:rPr>
        <w:t>年</w:t>
      </w:r>
      <w:r>
        <w:rPr>
          <w:rFonts w:ascii="Times New Roman" w:hAnsi="Times New Roman" w:cs="Times New Roman" w:hint="eastAsia"/>
        </w:rPr>
        <w:t>2</w:t>
      </w:r>
      <w:r>
        <w:rPr>
          <w:rFonts w:ascii="Times New Roman" w:hAnsi="Times New Roman" w:cs="Times New Roman" w:hint="eastAsia"/>
        </w:rPr>
        <w:t>月</w:t>
      </w:r>
      <w:r>
        <w:rPr>
          <w:rFonts w:ascii="Times New Roman" w:hAnsi="Times New Roman" w:cs="Times New Roman" w:hint="eastAsia"/>
        </w:rPr>
        <w:t>26</w:t>
      </w:r>
      <w:r>
        <w:rPr>
          <w:rFonts w:ascii="Times New Roman" w:hAnsi="Times New Roman" w:cs="Times New Roman" w:hint="eastAsia"/>
        </w:rPr>
        <w:t>日，</w:t>
      </w:r>
      <w:r>
        <w:rPr>
          <w:rFonts w:ascii="Times New Roman" w:hAnsi="Times New Roman" w:cs="Times New Roman" w:hint="eastAsia"/>
        </w:rPr>
        <w:t>2015</w:t>
      </w:r>
      <w:r>
        <w:rPr>
          <w:rFonts w:ascii="Times New Roman" w:hAnsi="Times New Roman" w:cs="Times New Roman" w:hint="eastAsia"/>
        </w:rPr>
        <w:t>年</w:t>
      </w:r>
      <w:r>
        <w:rPr>
          <w:rFonts w:ascii="Times New Roman" w:hAnsi="Times New Roman" w:cs="Times New Roman" w:hint="eastAsia"/>
        </w:rPr>
        <w:t>3</w:t>
      </w:r>
      <w:r>
        <w:rPr>
          <w:rFonts w:ascii="Times New Roman" w:hAnsi="Times New Roman" w:cs="Times New Roman" w:hint="eastAsia"/>
        </w:rPr>
        <w:t>月</w:t>
      </w:r>
      <w:r>
        <w:rPr>
          <w:rFonts w:ascii="Times New Roman" w:hAnsi="Times New Roman" w:cs="Times New Roman" w:hint="eastAsia"/>
        </w:rPr>
        <w:t>20</w:t>
      </w:r>
      <w:r>
        <w:rPr>
          <w:rFonts w:ascii="Times New Roman" w:hAnsi="Times New Roman" w:cs="Times New Roman" w:hint="eastAsia"/>
        </w:rPr>
        <w:t>日于深交所中小板上市，埃斯顿业务主要分为两个核心业务模块：一是自动化核心部件及运动控制系统，二是工业机器人及智能制造系统。</w:t>
      </w:r>
    </w:p>
    <w:p w14:paraId="4D7C0C45"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（二）市场规模及供需变化</w:t>
      </w:r>
    </w:p>
    <w:p w14:paraId="2AEF9FA4"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2008-2019</w:t>
      </w:r>
      <w:r>
        <w:rPr>
          <w:rFonts w:ascii="Times New Roman" w:hAnsi="Times New Roman" w:cs="Times New Roman" w:hint="eastAsia"/>
          <w:color w:val="000000"/>
          <w:lang w:val="en-GB"/>
        </w:rPr>
        <w:t>年中国城镇非私营单位就业人员年平均工资由</w:t>
      </w:r>
      <w:r>
        <w:rPr>
          <w:rFonts w:ascii="Times New Roman" w:hAnsi="Times New Roman" w:cs="Times New Roman"/>
          <w:color w:val="000000"/>
          <w:lang w:val="en-GB"/>
        </w:rPr>
        <w:t>2.89</w:t>
      </w:r>
      <w:r>
        <w:rPr>
          <w:rFonts w:ascii="Times New Roman" w:hAnsi="Times New Roman" w:cs="Times New Roman" w:hint="eastAsia"/>
          <w:color w:val="000000"/>
          <w:lang w:val="en-GB"/>
        </w:rPr>
        <w:t>万元增长至</w:t>
      </w:r>
      <w:r>
        <w:rPr>
          <w:rFonts w:ascii="Times New Roman" w:hAnsi="Times New Roman" w:cs="Times New Roman"/>
          <w:color w:val="000000"/>
          <w:lang w:val="en-GB"/>
        </w:rPr>
        <w:t>9.05</w:t>
      </w:r>
      <w:r>
        <w:rPr>
          <w:rFonts w:ascii="Times New Roman" w:hAnsi="Times New Roman" w:cs="Times New Roman" w:hint="eastAsia"/>
          <w:color w:val="000000"/>
          <w:lang w:val="en-GB"/>
        </w:rPr>
        <w:t>万元，复合增速达</w:t>
      </w:r>
      <w:r>
        <w:rPr>
          <w:rFonts w:ascii="Times New Roman" w:hAnsi="Times New Roman" w:cs="Times New Roman"/>
          <w:color w:val="000000"/>
          <w:lang w:val="en-GB"/>
        </w:rPr>
        <w:t>10.94%</w:t>
      </w:r>
      <w:r>
        <w:rPr>
          <w:rFonts w:ascii="Times New Roman" w:hAnsi="Times New Roman" w:cs="Times New Roman" w:hint="eastAsia"/>
          <w:color w:val="000000"/>
          <w:lang w:val="en-GB"/>
        </w:rPr>
        <w:t>；城镇私营单位就业人员年平均工资由</w:t>
      </w:r>
      <w:r>
        <w:rPr>
          <w:rFonts w:ascii="Times New Roman" w:hAnsi="Times New Roman" w:cs="Times New Roman"/>
          <w:color w:val="000000"/>
          <w:lang w:val="en-GB"/>
        </w:rPr>
        <w:t>1.71</w:t>
      </w:r>
      <w:r>
        <w:rPr>
          <w:rFonts w:ascii="Times New Roman" w:hAnsi="Times New Roman" w:cs="Times New Roman" w:hint="eastAsia"/>
          <w:color w:val="000000"/>
          <w:lang w:val="en-GB"/>
        </w:rPr>
        <w:t>万元增长至</w:t>
      </w:r>
      <w:r>
        <w:rPr>
          <w:rFonts w:ascii="Times New Roman" w:hAnsi="Times New Roman" w:cs="Times New Roman"/>
          <w:color w:val="000000"/>
          <w:lang w:val="en-GB"/>
        </w:rPr>
        <w:t>5.36</w:t>
      </w:r>
      <w:r>
        <w:rPr>
          <w:rFonts w:ascii="Times New Roman" w:hAnsi="Times New Roman" w:cs="Times New Roman" w:hint="eastAsia"/>
          <w:color w:val="000000"/>
          <w:lang w:val="en-GB"/>
        </w:rPr>
        <w:t>万元，复合增速达</w:t>
      </w:r>
      <w:r>
        <w:rPr>
          <w:rFonts w:ascii="Times New Roman" w:hAnsi="Times New Roman" w:cs="Times New Roman"/>
          <w:color w:val="000000"/>
          <w:lang w:val="en-GB"/>
        </w:rPr>
        <w:t>10.96%</w:t>
      </w:r>
      <w:r>
        <w:rPr>
          <w:rFonts w:ascii="Times New Roman" w:hAnsi="Times New Roman" w:cs="Times New Roman" w:hint="eastAsia"/>
          <w:color w:val="000000"/>
          <w:lang w:val="en-GB"/>
        </w:rPr>
        <w:t>。随着劳动力成本的快速上升，自动化生产转型升级需求迫切。</w:t>
      </w:r>
      <w:r>
        <w:rPr>
          <w:rFonts w:ascii="Times New Roman" w:hAnsi="Times New Roman" w:cs="Times New Roman"/>
          <w:color w:val="000000"/>
          <w:lang w:val="en-GB"/>
        </w:rPr>
        <w:t>2019</w:t>
      </w:r>
      <w:r>
        <w:rPr>
          <w:rFonts w:ascii="Times New Roman" w:hAnsi="Times New Roman" w:cs="Times New Roman" w:hint="eastAsia"/>
          <w:color w:val="000000"/>
          <w:lang w:val="en-GB"/>
        </w:rPr>
        <w:t>年全球工业自动化市场规模超</w:t>
      </w:r>
      <w:r>
        <w:rPr>
          <w:rFonts w:ascii="Times New Roman" w:hAnsi="Times New Roman" w:cs="Times New Roman"/>
          <w:color w:val="000000"/>
          <w:lang w:val="en-GB"/>
        </w:rPr>
        <w:t>13,000</w:t>
      </w:r>
      <w:r>
        <w:rPr>
          <w:rFonts w:ascii="Times New Roman" w:hAnsi="Times New Roman" w:cs="Times New Roman" w:hint="eastAsia"/>
          <w:color w:val="000000"/>
          <w:lang w:val="en-GB"/>
        </w:rPr>
        <w:t>亿元，中国市场规模仅为</w:t>
      </w:r>
      <w:r>
        <w:rPr>
          <w:rFonts w:ascii="Times New Roman" w:hAnsi="Times New Roman" w:cs="Times New Roman"/>
          <w:color w:val="000000"/>
          <w:lang w:val="en-GB"/>
        </w:rPr>
        <w:t>1,294</w:t>
      </w:r>
      <w:r>
        <w:rPr>
          <w:rFonts w:ascii="Times New Roman" w:hAnsi="Times New Roman" w:cs="Times New Roman" w:hint="eastAsia"/>
          <w:color w:val="000000"/>
          <w:lang w:val="en-GB"/>
        </w:rPr>
        <w:t>亿元。国内企业在产品的纵向拓展、应用领域的横向延伸、应用市场的全球化布局等领域都有着数倍的成长空间。</w:t>
      </w:r>
    </w:p>
    <w:p w14:paraId="45CC119F"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近年来，工业机器人销量飞速上升：</w:t>
      </w:r>
      <w:r>
        <w:rPr>
          <w:rFonts w:ascii="Times New Roman" w:hAnsi="Times New Roman" w:cs="Times New Roman"/>
          <w:color w:val="000000"/>
          <w:lang w:val="en-GB"/>
        </w:rPr>
        <w:t>2009-2012</w:t>
      </w:r>
      <w:r>
        <w:rPr>
          <w:rFonts w:ascii="Times New Roman" w:hAnsi="Times New Roman" w:cs="Times New Roman" w:hint="eastAsia"/>
          <w:color w:val="000000"/>
          <w:lang w:val="en-GB"/>
        </w:rPr>
        <w:t>年年平均销量为</w:t>
      </w:r>
      <w:r>
        <w:rPr>
          <w:rFonts w:ascii="Times New Roman" w:hAnsi="Times New Roman" w:cs="Times New Roman"/>
          <w:color w:val="000000"/>
          <w:lang w:val="en-GB"/>
        </w:rPr>
        <w:t>16,520</w:t>
      </w:r>
      <w:r>
        <w:rPr>
          <w:rFonts w:ascii="Times New Roman" w:hAnsi="Times New Roman" w:cs="Times New Roman" w:hint="eastAsia"/>
          <w:color w:val="000000"/>
          <w:lang w:val="en-GB"/>
        </w:rPr>
        <w:t>台，</w:t>
      </w:r>
      <w:r>
        <w:rPr>
          <w:rFonts w:ascii="Times New Roman" w:hAnsi="Times New Roman" w:cs="Times New Roman"/>
          <w:color w:val="000000"/>
          <w:lang w:val="en-GB"/>
        </w:rPr>
        <w:t>2013-2015</w:t>
      </w:r>
      <w:r>
        <w:rPr>
          <w:rFonts w:ascii="Times New Roman" w:hAnsi="Times New Roman" w:cs="Times New Roman" w:hint="eastAsia"/>
          <w:color w:val="000000"/>
          <w:lang w:val="en-GB"/>
        </w:rPr>
        <w:t>年年平均销量为</w:t>
      </w:r>
      <w:r>
        <w:rPr>
          <w:rFonts w:ascii="Times New Roman" w:hAnsi="Times New Roman" w:cs="Times New Roman"/>
          <w:color w:val="000000"/>
          <w:lang w:val="en-GB"/>
        </w:rPr>
        <w:t>51,906</w:t>
      </w:r>
      <w:r>
        <w:rPr>
          <w:rFonts w:ascii="Times New Roman" w:hAnsi="Times New Roman" w:cs="Times New Roman" w:hint="eastAsia"/>
          <w:color w:val="000000"/>
          <w:lang w:val="en-GB"/>
        </w:rPr>
        <w:t>台、</w:t>
      </w:r>
      <w:r>
        <w:rPr>
          <w:rFonts w:ascii="Times New Roman" w:hAnsi="Times New Roman" w:cs="Times New Roman"/>
          <w:color w:val="000000"/>
          <w:lang w:val="en-GB"/>
        </w:rPr>
        <w:t>2016-2019</w:t>
      </w:r>
      <w:r>
        <w:rPr>
          <w:rFonts w:ascii="Times New Roman" w:hAnsi="Times New Roman" w:cs="Times New Roman" w:hint="eastAsia"/>
          <w:color w:val="000000"/>
          <w:lang w:val="en-GB"/>
        </w:rPr>
        <w:t>年年平均销量为</w:t>
      </w:r>
      <w:r>
        <w:rPr>
          <w:rFonts w:ascii="Times New Roman" w:hAnsi="Times New Roman" w:cs="Times New Roman"/>
          <w:color w:val="000000"/>
          <w:lang w:val="en-GB"/>
        </w:rPr>
        <w:t>128,729</w:t>
      </w:r>
      <w:r>
        <w:rPr>
          <w:rFonts w:ascii="Times New Roman" w:hAnsi="Times New Roman" w:cs="Times New Roman" w:hint="eastAsia"/>
          <w:color w:val="000000"/>
          <w:lang w:val="en-GB"/>
        </w:rPr>
        <w:t>台。自动化行业发展状况与下游制造业景气度紧密相关，疫情冲击后，制造业企业复工复产快速推进，下游制造业全面复苏带动工业自动化进程加速。随着国内疫情缓解，国内工业机器人重回高增速。</w:t>
      </w:r>
      <w:r>
        <w:rPr>
          <w:rFonts w:ascii="Times New Roman" w:hAnsi="Times New Roman" w:cs="Times New Roman"/>
          <w:color w:val="000000"/>
          <w:lang w:val="en-GB"/>
        </w:rPr>
        <w:t>2020</w:t>
      </w:r>
      <w:r>
        <w:rPr>
          <w:rFonts w:ascii="Times New Roman" w:hAnsi="Times New Roman" w:cs="Times New Roman" w:hint="eastAsia"/>
          <w:color w:val="000000"/>
          <w:lang w:val="en-GB"/>
        </w:rPr>
        <w:t>年</w:t>
      </w:r>
      <w:r>
        <w:rPr>
          <w:rFonts w:ascii="Times New Roman" w:hAnsi="Times New Roman" w:cs="Times New Roman"/>
          <w:color w:val="000000"/>
          <w:lang w:val="en-GB"/>
        </w:rPr>
        <w:t>3-7</w:t>
      </w:r>
      <w:r>
        <w:rPr>
          <w:rFonts w:ascii="Times New Roman" w:hAnsi="Times New Roman" w:cs="Times New Roman" w:hint="eastAsia"/>
          <w:color w:val="000000"/>
          <w:lang w:val="en-GB"/>
        </w:rPr>
        <w:t>月工业机器人产量同比增速分别为</w:t>
      </w:r>
      <w:r>
        <w:rPr>
          <w:rFonts w:ascii="Times New Roman" w:hAnsi="Times New Roman" w:cs="Times New Roman"/>
          <w:color w:val="000000"/>
          <w:lang w:val="en-GB"/>
        </w:rPr>
        <w:t>12.90%</w:t>
      </w:r>
      <w:r>
        <w:rPr>
          <w:rFonts w:ascii="Times New Roman" w:hAnsi="Times New Roman" w:cs="Times New Roman" w:hint="eastAsia"/>
          <w:color w:val="000000"/>
          <w:lang w:val="en-GB"/>
        </w:rPr>
        <w:t>、</w:t>
      </w:r>
      <w:r>
        <w:rPr>
          <w:rFonts w:ascii="Times New Roman" w:hAnsi="Times New Roman" w:cs="Times New Roman"/>
          <w:color w:val="000000"/>
          <w:lang w:val="en-GB"/>
        </w:rPr>
        <w:t>26.60%</w:t>
      </w:r>
      <w:r>
        <w:rPr>
          <w:rFonts w:ascii="Times New Roman" w:hAnsi="Times New Roman" w:cs="Times New Roman" w:hint="eastAsia"/>
          <w:color w:val="000000"/>
          <w:lang w:val="en-GB"/>
        </w:rPr>
        <w:t>、</w:t>
      </w:r>
      <w:r>
        <w:rPr>
          <w:rFonts w:ascii="Times New Roman" w:hAnsi="Times New Roman" w:cs="Times New Roman"/>
          <w:color w:val="000000"/>
          <w:lang w:val="en-GB"/>
        </w:rPr>
        <w:t>16.90%</w:t>
      </w:r>
      <w:r>
        <w:rPr>
          <w:rFonts w:ascii="Times New Roman" w:hAnsi="Times New Roman" w:cs="Times New Roman" w:hint="eastAsia"/>
          <w:color w:val="000000"/>
          <w:lang w:val="en-GB"/>
        </w:rPr>
        <w:t>、</w:t>
      </w:r>
      <w:r>
        <w:rPr>
          <w:rFonts w:ascii="Times New Roman" w:hAnsi="Times New Roman" w:cs="Times New Roman"/>
          <w:color w:val="000000"/>
          <w:lang w:val="en-GB"/>
        </w:rPr>
        <w:t>29.20%</w:t>
      </w:r>
      <w:r>
        <w:rPr>
          <w:rFonts w:ascii="Times New Roman" w:hAnsi="Times New Roman" w:cs="Times New Roman" w:hint="eastAsia"/>
          <w:color w:val="000000"/>
          <w:lang w:val="en-GB"/>
        </w:rPr>
        <w:t>和</w:t>
      </w:r>
      <w:r>
        <w:rPr>
          <w:rFonts w:ascii="Times New Roman" w:hAnsi="Times New Roman" w:cs="Times New Roman"/>
          <w:color w:val="000000"/>
          <w:lang w:val="en-GB"/>
        </w:rPr>
        <w:t>19.40%</w:t>
      </w:r>
      <w:r>
        <w:rPr>
          <w:rFonts w:ascii="Times New Roman" w:hAnsi="Times New Roman" w:cs="Times New Roman" w:hint="eastAsia"/>
          <w:color w:val="000000"/>
          <w:lang w:val="en-GB"/>
        </w:rPr>
        <w:t>。</w:t>
      </w:r>
    </w:p>
    <w:p w14:paraId="40CCDFB2" w14:textId="77777777" w:rsidR="000A0ACD" w:rsidRDefault="00362A99">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随着我国人口红利的消失，用工难、用工贵的问题凸显，而与此同时，工业自动化核心零部件、及装备制造产品价格保持着连年稳定下降，截至</w:t>
      </w:r>
      <w:r>
        <w:rPr>
          <w:rFonts w:ascii="Times New Roman" w:hAnsi="Times New Roman" w:cs="Times New Roman"/>
          <w:color w:val="000000"/>
          <w:lang w:val="en-GB"/>
        </w:rPr>
        <w:t>2018</w:t>
      </w:r>
      <w:r>
        <w:rPr>
          <w:rFonts w:ascii="Times New Roman" w:hAnsi="Times New Roman" w:cs="Times New Roman" w:hint="eastAsia"/>
          <w:color w:val="000000"/>
          <w:lang w:val="en-GB"/>
        </w:rPr>
        <w:t>年，中国工业机器人进口均价仅</w:t>
      </w:r>
      <w:r>
        <w:rPr>
          <w:rFonts w:ascii="Times New Roman" w:hAnsi="Times New Roman" w:cs="Times New Roman"/>
          <w:color w:val="000000"/>
          <w:lang w:val="en-GB"/>
        </w:rPr>
        <w:t>1.35</w:t>
      </w:r>
      <w:r>
        <w:rPr>
          <w:rFonts w:ascii="Times New Roman" w:hAnsi="Times New Roman" w:cs="Times New Roman" w:hint="eastAsia"/>
          <w:color w:val="000000"/>
          <w:lang w:val="en-GB"/>
        </w:rPr>
        <w:t>万美元</w:t>
      </w:r>
      <w:r>
        <w:rPr>
          <w:rFonts w:ascii="Times New Roman" w:hAnsi="Times New Roman" w:cs="Times New Roman"/>
          <w:color w:val="000000"/>
          <w:lang w:val="en-GB"/>
        </w:rPr>
        <w:t>/</w:t>
      </w:r>
      <w:r>
        <w:rPr>
          <w:rFonts w:ascii="Times New Roman" w:hAnsi="Times New Roman" w:cs="Times New Roman" w:hint="eastAsia"/>
          <w:color w:val="000000"/>
          <w:lang w:val="en-GB"/>
        </w:rPr>
        <w:t>台，已降至与一位制造业从业人员工资相当的水平。中国工业机器人渗透率目前仍然远低于美国、欧洲等发达国家及地区水平，随着机器换人的性价比逐渐提高，我国工业自动化存在较大市场空间。</w:t>
      </w:r>
    </w:p>
    <w:p w14:paraId="0EAE8ED4" w14:textId="77777777" w:rsidR="000A0ACD" w:rsidRDefault="00362A99">
      <w:pPr>
        <w:pStyle w:val="03"/>
        <w:spacing w:before="156"/>
        <w:ind w:firstLineChars="200" w:firstLine="482"/>
        <w:jc w:val="both"/>
        <w:rPr>
          <w:rFonts w:ascii="Times New Roman" w:eastAsia="宋体" w:hAnsi="Times New Roman" w:cs="Times New Roman"/>
          <w:b/>
          <w:color w:val="000000"/>
          <w:sz w:val="24"/>
          <w:szCs w:val="21"/>
        </w:rPr>
      </w:pPr>
      <w:r>
        <w:rPr>
          <w:rFonts w:ascii="Times New Roman" w:eastAsia="宋体" w:hAnsi="Times New Roman" w:cs="Times New Roman" w:hint="eastAsia"/>
          <w:b/>
          <w:color w:val="000000"/>
          <w:sz w:val="24"/>
          <w:szCs w:val="21"/>
        </w:rPr>
        <w:t>四、新客户开拓和原有大客户维护情况</w:t>
      </w:r>
    </w:p>
    <w:p w14:paraId="59AA025A"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（一）新客户开拓</w:t>
      </w:r>
    </w:p>
    <w:p w14:paraId="6A291E65"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val="en-GB"/>
        </w:rPr>
      </w:pPr>
      <w:r>
        <w:rPr>
          <w:rFonts w:ascii="Times New Roman" w:hAnsi="Times New Roman" w:cs="Times New Roman" w:hint="eastAsia"/>
          <w:lang w:val="en-GB"/>
        </w:rPr>
        <w:t>北洋天青在维护现有家电行业龙头客户的同时，也与其他行业内企业建立了联系，推广各类自动化、信息化技术，努力开发行业内其他客户。</w:t>
      </w:r>
      <w:r>
        <w:rPr>
          <w:rFonts w:ascii="Times New Roman" w:hAnsi="Times New Roman" w:cs="Times New Roman" w:hint="eastAsia"/>
          <w:color w:val="000000"/>
          <w:lang w:val="en-GB"/>
        </w:rPr>
        <w:t>北洋天青</w:t>
      </w:r>
      <w:r>
        <w:rPr>
          <w:rFonts w:ascii="Times New Roman" w:hAnsi="Times New Roman" w:cs="Times New Roman" w:hint="eastAsia"/>
          <w:lang w:val="en-GB"/>
        </w:rPr>
        <w:t>在深耕家电行业的同时，也在积极拓展其他行业。</w:t>
      </w:r>
    </w:p>
    <w:p w14:paraId="467FF184" w14:textId="3C0CBC1B" w:rsidR="000A0ACD" w:rsidRDefault="00362A99">
      <w:pPr>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lang w:val="en-GB"/>
        </w:rPr>
        <w:t>在食品饮料领域，标的公司以现有技术及软件为基础，已经为崂山矿泉水集团提供了相应的自动化、企业信息化服务；与青岛万福集团就仓储物流技术等业务进行</w:t>
      </w:r>
      <w:r>
        <w:rPr>
          <w:rFonts w:ascii="Times New Roman" w:hAnsi="Times New Roman" w:cs="Times New Roman" w:hint="eastAsia"/>
        </w:rPr>
        <w:t>初步探讨</w:t>
      </w:r>
      <w:r>
        <w:rPr>
          <w:rFonts w:ascii="Times New Roman" w:hAnsi="Times New Roman" w:cs="Times New Roman" w:hint="eastAsia"/>
          <w:lang w:val="en-GB"/>
        </w:rPr>
        <w:t>。</w:t>
      </w:r>
    </w:p>
    <w:p w14:paraId="35613337"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在</w:t>
      </w:r>
      <w:r>
        <w:rPr>
          <w:rFonts w:ascii="Times New Roman" w:hAnsi="Times New Roman" w:cs="Times New Roman" w:hint="eastAsia"/>
          <w:bCs/>
        </w:rPr>
        <w:t>3C</w:t>
      </w:r>
      <w:r>
        <w:rPr>
          <w:rFonts w:ascii="Times New Roman" w:hAnsi="Times New Roman" w:cs="Times New Roman" w:hint="eastAsia"/>
          <w:bCs/>
        </w:rPr>
        <w:t>领域，北洋天青主要以现有的物流悬挂输送系统为切入的技术基础，以液晶显示器模组生产为主推市场，拟开发机器人视觉追踪应用技术，柔性部件组装技术、以及任意曲面屏组装技术，并引入行业内有资深自动化行业经验的高水平技术及管理人才，积极拓展</w:t>
      </w:r>
      <w:r>
        <w:rPr>
          <w:rFonts w:ascii="Times New Roman" w:hAnsi="Times New Roman" w:cs="Times New Roman" w:hint="eastAsia"/>
          <w:bCs/>
        </w:rPr>
        <w:t>3C</w:t>
      </w:r>
      <w:r>
        <w:rPr>
          <w:rFonts w:ascii="Times New Roman" w:hAnsi="Times New Roman" w:cs="Times New Roman" w:hint="eastAsia"/>
          <w:bCs/>
        </w:rPr>
        <w:t>领域自动化市场。</w:t>
      </w:r>
    </w:p>
    <w:p w14:paraId="6CF68BC9"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bCs/>
        </w:rPr>
        <w:t>在其他行业，北洋天青积极拓展现有技术及产品可以支持的其他行业智能化、自动化应用。目前标的公司已与</w:t>
      </w:r>
      <w:r>
        <w:rPr>
          <w:rFonts w:ascii="Times New Roman" w:hAnsi="Times New Roman" w:cs="Times New Roman" w:hint="eastAsia"/>
        </w:rPr>
        <w:t>青岛海湾化学集团就智能工厂整体规划、</w:t>
      </w:r>
      <w:r>
        <w:rPr>
          <w:rFonts w:ascii="Times New Roman" w:hAnsi="Times New Roman" w:cs="Times New Roman" w:hint="eastAsia"/>
          <w:bCs/>
        </w:rPr>
        <w:t>企业信息化等业务展开初步接触。</w:t>
      </w:r>
    </w:p>
    <w:p w14:paraId="495D90CF"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（二）原有大客户维护情况</w:t>
      </w:r>
    </w:p>
    <w:p w14:paraId="25893988"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标的公司提供的产品主要为非标自动化设备，客户对供应商的选定有着严格的标准和程序，企业需要深度掌握客户的技术改造需求，研究客户产品加工工艺，一旦合作关系确立，将不会轻易变更。</w:t>
      </w:r>
    </w:p>
    <w:p w14:paraId="1C70D234"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已经与海尔、海信、澳柯玛集团合作五年左右，为上述单家客户提供上百单服务。近年来，北洋天青来自于上述三家主要客户的收入逐年快速上升。标的公司凭借过硬的产品质量和健全的售后服务体系，与主要客户形成良好的合作关系，订单获取较为稳定。</w:t>
      </w:r>
    </w:p>
    <w:p w14:paraId="2F3CC66B" w14:textId="77777777" w:rsidR="000A0ACD" w:rsidRDefault="00362A99">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截至本回复出具日，标的公司</w:t>
      </w:r>
      <w:r>
        <w:rPr>
          <w:rFonts w:ascii="Times New Roman" w:hAnsi="Times New Roman" w:cs="Times New Roman"/>
          <w:color w:val="000000"/>
        </w:rPr>
        <w:t>2020</w:t>
      </w:r>
      <w:r>
        <w:rPr>
          <w:rFonts w:ascii="Times New Roman" w:hAnsi="Times New Roman" w:cs="Times New Roman" w:hint="eastAsia"/>
          <w:color w:val="000000"/>
        </w:rPr>
        <w:t>年已实现收入及</w:t>
      </w:r>
      <w:r>
        <w:rPr>
          <w:rFonts w:ascii="Times New Roman" w:hAnsi="Times New Roman" w:cs="Times New Roman"/>
          <w:color w:val="000000"/>
        </w:rPr>
        <w:t>2021</w:t>
      </w:r>
      <w:r>
        <w:rPr>
          <w:rFonts w:ascii="Times New Roman" w:hAnsi="Times New Roman" w:cs="Times New Roman" w:hint="eastAsia"/>
          <w:color w:val="000000"/>
        </w:rPr>
        <w:t>年合同签订和拟参与投标项目情况：</w:t>
      </w:r>
    </w:p>
    <w:p w14:paraId="4994D32F"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5"/>
        <w:gridCol w:w="1133"/>
        <w:gridCol w:w="1135"/>
        <w:gridCol w:w="852"/>
        <w:gridCol w:w="1137"/>
        <w:gridCol w:w="707"/>
        <w:gridCol w:w="995"/>
        <w:gridCol w:w="1178"/>
      </w:tblGrid>
      <w:tr w:rsidR="000A0ACD" w14:paraId="6F4D7046" w14:textId="77777777">
        <w:trPr>
          <w:trHeight w:val="397"/>
          <w:tblHeader/>
        </w:trPr>
        <w:tc>
          <w:tcPr>
            <w:tcW w:w="812" w:type="pct"/>
            <w:vMerge w:val="restart"/>
            <w:shd w:val="clear" w:color="auto" w:fill="auto"/>
            <w:noWrap/>
            <w:vAlign w:val="center"/>
          </w:tcPr>
          <w:p w14:paraId="6D768385" w14:textId="77777777" w:rsidR="000A0ACD" w:rsidRDefault="00362A99">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业务内容</w:t>
            </w:r>
          </w:p>
        </w:tc>
        <w:tc>
          <w:tcPr>
            <w:tcW w:w="665" w:type="pct"/>
            <w:shd w:val="clear" w:color="auto" w:fill="auto"/>
            <w:noWrap/>
            <w:vAlign w:val="center"/>
          </w:tcPr>
          <w:p w14:paraId="76A07029" w14:textId="77777777" w:rsidR="000A0ACD" w:rsidRDefault="00362A99">
            <w:pPr>
              <w:keepNext/>
              <w:adjustRightInd w:val="0"/>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w:t>
            </w:r>
          </w:p>
        </w:tc>
        <w:tc>
          <w:tcPr>
            <w:tcW w:w="3523" w:type="pct"/>
            <w:gridSpan w:val="6"/>
            <w:shd w:val="clear" w:color="auto" w:fill="auto"/>
            <w:noWrap/>
            <w:vAlign w:val="center"/>
          </w:tcPr>
          <w:p w14:paraId="03FBD600" w14:textId="77777777" w:rsidR="000A0ACD" w:rsidRDefault="00362A99">
            <w:pPr>
              <w:keepNext/>
              <w:adjustRightInd w:val="0"/>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2021</w:t>
            </w:r>
            <w:r>
              <w:rPr>
                <w:rFonts w:ascii="Times New Roman" w:hAnsi="Times New Roman" w:cs="Times New Roman" w:hint="eastAsia"/>
                <w:b/>
                <w:bCs/>
                <w:color w:val="000000"/>
                <w:sz w:val="21"/>
                <w:szCs w:val="21"/>
              </w:rPr>
              <w:t>年</w:t>
            </w:r>
          </w:p>
        </w:tc>
      </w:tr>
      <w:tr w:rsidR="000A0ACD" w14:paraId="0820D976" w14:textId="77777777">
        <w:trPr>
          <w:trHeight w:val="397"/>
          <w:tblHeader/>
        </w:trPr>
        <w:tc>
          <w:tcPr>
            <w:tcW w:w="812" w:type="pct"/>
            <w:vMerge/>
            <w:vAlign w:val="center"/>
          </w:tcPr>
          <w:p w14:paraId="08D92911" w14:textId="77777777" w:rsidR="000A0ACD" w:rsidRDefault="000A0ACD">
            <w:pPr>
              <w:keepNext/>
              <w:adjustRightInd w:val="0"/>
              <w:snapToGrid w:val="0"/>
              <w:rPr>
                <w:rFonts w:ascii="Times New Roman" w:hAnsi="Times New Roman" w:cs="Times New Roman"/>
                <w:b/>
                <w:bCs/>
                <w:sz w:val="21"/>
                <w:szCs w:val="21"/>
              </w:rPr>
            </w:pPr>
          </w:p>
        </w:tc>
        <w:tc>
          <w:tcPr>
            <w:tcW w:w="665" w:type="pct"/>
            <w:vMerge w:val="restart"/>
            <w:shd w:val="clear" w:color="auto" w:fill="auto"/>
            <w:noWrap/>
            <w:vAlign w:val="center"/>
          </w:tcPr>
          <w:p w14:paraId="0E091991" w14:textId="77777777" w:rsidR="000A0ACD" w:rsidRDefault="00362A99">
            <w:pPr>
              <w:keepNext/>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已实现</w:t>
            </w:r>
          </w:p>
        </w:tc>
        <w:tc>
          <w:tcPr>
            <w:tcW w:w="666" w:type="pct"/>
            <w:vMerge w:val="restart"/>
            <w:shd w:val="clear" w:color="auto" w:fill="auto"/>
            <w:noWrap/>
            <w:vAlign w:val="center"/>
          </w:tcPr>
          <w:p w14:paraId="0E267F7C" w14:textId="77777777" w:rsidR="000A0ACD" w:rsidRDefault="00362A99">
            <w:pPr>
              <w:keepNext/>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已签合同</w:t>
            </w:r>
          </w:p>
        </w:tc>
        <w:tc>
          <w:tcPr>
            <w:tcW w:w="500" w:type="pct"/>
            <w:vMerge w:val="restart"/>
            <w:shd w:val="clear" w:color="auto" w:fill="auto"/>
            <w:noWrap/>
            <w:vAlign w:val="center"/>
          </w:tcPr>
          <w:p w14:paraId="75F5672C" w14:textId="77777777" w:rsidR="000A0ACD" w:rsidRDefault="00362A99">
            <w:pPr>
              <w:keepNext/>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已中标</w:t>
            </w:r>
          </w:p>
        </w:tc>
        <w:tc>
          <w:tcPr>
            <w:tcW w:w="1666" w:type="pct"/>
            <w:gridSpan w:val="3"/>
            <w:shd w:val="clear" w:color="auto" w:fill="auto"/>
            <w:noWrap/>
            <w:vAlign w:val="center"/>
          </w:tcPr>
          <w:p w14:paraId="62840CDA" w14:textId="77777777" w:rsidR="000A0ACD" w:rsidRDefault="00362A99">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招投标可确认金额</w:t>
            </w:r>
          </w:p>
        </w:tc>
        <w:tc>
          <w:tcPr>
            <w:tcW w:w="691" w:type="pct"/>
            <w:vMerge w:val="restart"/>
            <w:shd w:val="clear" w:color="auto" w:fill="auto"/>
            <w:noWrap/>
            <w:vAlign w:val="center"/>
          </w:tcPr>
          <w:p w14:paraId="7EEDE96C"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2021</w:t>
            </w:r>
            <w:r>
              <w:rPr>
                <w:rFonts w:ascii="Times New Roman" w:hAnsi="Times New Roman" w:cs="Times New Roman" w:hint="eastAsia"/>
                <w:b/>
                <w:bCs/>
                <w:sz w:val="21"/>
                <w:szCs w:val="21"/>
              </w:rPr>
              <w:t>年小计</w:t>
            </w:r>
          </w:p>
        </w:tc>
      </w:tr>
      <w:tr w:rsidR="000A0ACD" w14:paraId="27DB94D5" w14:textId="77777777">
        <w:trPr>
          <w:trHeight w:val="397"/>
          <w:tblHeader/>
        </w:trPr>
        <w:tc>
          <w:tcPr>
            <w:tcW w:w="812" w:type="pct"/>
            <w:vMerge/>
            <w:vAlign w:val="center"/>
          </w:tcPr>
          <w:p w14:paraId="6F4335D8" w14:textId="77777777" w:rsidR="000A0ACD" w:rsidRDefault="000A0ACD">
            <w:pPr>
              <w:keepNext/>
              <w:adjustRightInd w:val="0"/>
              <w:snapToGrid w:val="0"/>
              <w:rPr>
                <w:rFonts w:ascii="Times New Roman" w:hAnsi="Times New Roman" w:cs="Times New Roman"/>
                <w:b/>
                <w:bCs/>
                <w:sz w:val="21"/>
                <w:szCs w:val="21"/>
              </w:rPr>
            </w:pPr>
          </w:p>
        </w:tc>
        <w:tc>
          <w:tcPr>
            <w:tcW w:w="665" w:type="pct"/>
            <w:vMerge/>
            <w:vAlign w:val="center"/>
          </w:tcPr>
          <w:p w14:paraId="00757F3B" w14:textId="77777777" w:rsidR="000A0ACD" w:rsidRDefault="000A0ACD">
            <w:pPr>
              <w:keepNext/>
              <w:adjustRightInd w:val="0"/>
              <w:snapToGrid w:val="0"/>
              <w:jc w:val="center"/>
              <w:rPr>
                <w:rFonts w:ascii="Times New Roman" w:hAnsi="Times New Roman" w:cs="Times New Roman"/>
                <w:b/>
                <w:bCs/>
                <w:color w:val="000000"/>
                <w:sz w:val="21"/>
                <w:szCs w:val="21"/>
              </w:rPr>
            </w:pPr>
          </w:p>
        </w:tc>
        <w:tc>
          <w:tcPr>
            <w:tcW w:w="666" w:type="pct"/>
            <w:vMerge/>
            <w:vAlign w:val="center"/>
          </w:tcPr>
          <w:p w14:paraId="369EB34E" w14:textId="77777777" w:rsidR="000A0ACD" w:rsidRDefault="000A0ACD">
            <w:pPr>
              <w:keepNext/>
              <w:adjustRightInd w:val="0"/>
              <w:snapToGrid w:val="0"/>
              <w:jc w:val="center"/>
              <w:rPr>
                <w:rFonts w:ascii="Times New Roman" w:hAnsi="Times New Roman" w:cs="Times New Roman"/>
                <w:b/>
                <w:bCs/>
                <w:color w:val="000000"/>
                <w:sz w:val="21"/>
                <w:szCs w:val="21"/>
              </w:rPr>
            </w:pPr>
          </w:p>
        </w:tc>
        <w:tc>
          <w:tcPr>
            <w:tcW w:w="500" w:type="pct"/>
            <w:vMerge/>
            <w:vAlign w:val="center"/>
          </w:tcPr>
          <w:p w14:paraId="01518C03" w14:textId="77777777" w:rsidR="000A0ACD" w:rsidRDefault="000A0ACD">
            <w:pPr>
              <w:keepNext/>
              <w:adjustRightInd w:val="0"/>
              <w:snapToGrid w:val="0"/>
              <w:jc w:val="center"/>
              <w:rPr>
                <w:rFonts w:ascii="Times New Roman" w:hAnsi="Times New Roman" w:cs="Times New Roman"/>
                <w:b/>
                <w:bCs/>
                <w:color w:val="000000"/>
                <w:sz w:val="21"/>
                <w:szCs w:val="21"/>
              </w:rPr>
            </w:pPr>
          </w:p>
        </w:tc>
        <w:tc>
          <w:tcPr>
            <w:tcW w:w="667" w:type="pct"/>
            <w:shd w:val="clear" w:color="auto" w:fill="auto"/>
            <w:noWrap/>
            <w:vAlign w:val="center"/>
          </w:tcPr>
          <w:p w14:paraId="3074F169" w14:textId="77777777" w:rsidR="000A0ACD" w:rsidRDefault="00362A99">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拟参与投标项目</w:t>
            </w:r>
          </w:p>
        </w:tc>
        <w:tc>
          <w:tcPr>
            <w:tcW w:w="415" w:type="pct"/>
            <w:shd w:val="clear" w:color="auto" w:fill="auto"/>
            <w:noWrap/>
            <w:vAlign w:val="center"/>
          </w:tcPr>
          <w:p w14:paraId="115E03F8" w14:textId="77777777" w:rsidR="000A0ACD" w:rsidRDefault="00362A99">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预计中标率</w:t>
            </w:r>
          </w:p>
        </w:tc>
        <w:tc>
          <w:tcPr>
            <w:tcW w:w="584" w:type="pct"/>
            <w:shd w:val="clear" w:color="auto" w:fill="auto"/>
            <w:noWrap/>
            <w:vAlign w:val="center"/>
          </w:tcPr>
          <w:p w14:paraId="5ECAF042" w14:textId="77777777" w:rsidR="000A0ACD" w:rsidRDefault="00362A99">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预计可确认收入金额</w:t>
            </w:r>
          </w:p>
        </w:tc>
        <w:tc>
          <w:tcPr>
            <w:tcW w:w="691" w:type="pct"/>
            <w:vMerge/>
            <w:vAlign w:val="center"/>
          </w:tcPr>
          <w:p w14:paraId="2A700E26" w14:textId="77777777" w:rsidR="000A0ACD" w:rsidRDefault="000A0ACD">
            <w:pPr>
              <w:adjustRightInd w:val="0"/>
              <w:snapToGrid w:val="0"/>
              <w:jc w:val="center"/>
              <w:rPr>
                <w:rFonts w:ascii="Times New Roman" w:hAnsi="Times New Roman" w:cs="Times New Roman"/>
                <w:b/>
                <w:bCs/>
                <w:sz w:val="21"/>
                <w:szCs w:val="21"/>
              </w:rPr>
            </w:pPr>
          </w:p>
        </w:tc>
      </w:tr>
      <w:tr w:rsidR="000A0ACD" w14:paraId="5262BF5F" w14:textId="77777777">
        <w:trPr>
          <w:trHeight w:val="397"/>
        </w:trPr>
        <w:tc>
          <w:tcPr>
            <w:tcW w:w="812" w:type="pct"/>
            <w:shd w:val="clear" w:color="auto" w:fill="auto"/>
            <w:noWrap/>
            <w:vAlign w:val="center"/>
          </w:tcPr>
          <w:p w14:paraId="2DE97EBB" w14:textId="77777777" w:rsidR="000A0ACD" w:rsidRDefault="00362A99">
            <w:pPr>
              <w:adjustRightInd w:val="0"/>
              <w:snapToGrid w:val="0"/>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澳柯玛</w:t>
            </w:r>
          </w:p>
        </w:tc>
        <w:tc>
          <w:tcPr>
            <w:tcW w:w="665" w:type="pct"/>
            <w:shd w:val="clear" w:color="auto" w:fill="auto"/>
            <w:noWrap/>
            <w:vAlign w:val="center"/>
          </w:tcPr>
          <w:p w14:paraId="71AF8D1E"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4,717.70</w:t>
            </w:r>
          </w:p>
        </w:tc>
        <w:tc>
          <w:tcPr>
            <w:tcW w:w="666" w:type="pct"/>
            <w:shd w:val="clear" w:color="auto" w:fill="auto"/>
            <w:noWrap/>
            <w:vAlign w:val="center"/>
          </w:tcPr>
          <w:p w14:paraId="76C5B926"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10,978.22</w:t>
            </w:r>
          </w:p>
        </w:tc>
        <w:tc>
          <w:tcPr>
            <w:tcW w:w="500" w:type="pct"/>
            <w:shd w:val="clear" w:color="auto" w:fill="auto"/>
            <w:noWrap/>
            <w:vAlign w:val="center"/>
          </w:tcPr>
          <w:p w14:paraId="1A5CCD62"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667" w:type="pct"/>
            <w:shd w:val="clear" w:color="auto" w:fill="auto"/>
            <w:noWrap/>
            <w:vAlign w:val="center"/>
          </w:tcPr>
          <w:p w14:paraId="753FF5B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70.80</w:t>
            </w:r>
          </w:p>
        </w:tc>
        <w:tc>
          <w:tcPr>
            <w:tcW w:w="415" w:type="pct"/>
            <w:shd w:val="clear" w:color="auto" w:fill="auto"/>
            <w:noWrap/>
            <w:vAlign w:val="center"/>
          </w:tcPr>
          <w:p w14:paraId="31C1D0B6"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79%</w:t>
            </w:r>
          </w:p>
        </w:tc>
        <w:tc>
          <w:tcPr>
            <w:tcW w:w="584" w:type="pct"/>
            <w:shd w:val="clear" w:color="auto" w:fill="auto"/>
            <w:noWrap/>
            <w:vAlign w:val="center"/>
          </w:tcPr>
          <w:p w14:paraId="7370932E"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55.93</w:t>
            </w:r>
          </w:p>
        </w:tc>
        <w:tc>
          <w:tcPr>
            <w:tcW w:w="691" w:type="pct"/>
            <w:shd w:val="clear" w:color="auto" w:fill="auto"/>
            <w:noWrap/>
            <w:vAlign w:val="center"/>
          </w:tcPr>
          <w:p w14:paraId="40CB4D56"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11,034.15</w:t>
            </w:r>
          </w:p>
        </w:tc>
      </w:tr>
      <w:tr w:rsidR="000A0ACD" w14:paraId="728BBFE1" w14:textId="77777777">
        <w:trPr>
          <w:trHeight w:val="397"/>
        </w:trPr>
        <w:tc>
          <w:tcPr>
            <w:tcW w:w="812" w:type="pct"/>
            <w:shd w:val="clear" w:color="auto" w:fill="auto"/>
            <w:noWrap/>
            <w:vAlign w:val="center"/>
          </w:tcPr>
          <w:p w14:paraId="31548544" w14:textId="77777777" w:rsidR="000A0ACD" w:rsidRDefault="00362A99">
            <w:pPr>
              <w:adjustRightInd w:val="0"/>
              <w:snapToGrid w:val="0"/>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海尔</w:t>
            </w:r>
          </w:p>
        </w:tc>
        <w:tc>
          <w:tcPr>
            <w:tcW w:w="665" w:type="pct"/>
            <w:shd w:val="clear" w:color="auto" w:fill="auto"/>
            <w:noWrap/>
            <w:vAlign w:val="center"/>
          </w:tcPr>
          <w:p w14:paraId="12894ECF"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10,005.29</w:t>
            </w:r>
          </w:p>
        </w:tc>
        <w:tc>
          <w:tcPr>
            <w:tcW w:w="666" w:type="pct"/>
            <w:shd w:val="clear" w:color="auto" w:fill="auto"/>
            <w:noWrap/>
            <w:vAlign w:val="center"/>
          </w:tcPr>
          <w:p w14:paraId="38A10B2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9,104.64</w:t>
            </w:r>
          </w:p>
        </w:tc>
        <w:tc>
          <w:tcPr>
            <w:tcW w:w="500" w:type="pct"/>
            <w:shd w:val="clear" w:color="auto" w:fill="auto"/>
            <w:noWrap/>
            <w:vAlign w:val="center"/>
          </w:tcPr>
          <w:p w14:paraId="1535BA9A"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667" w:type="pct"/>
            <w:shd w:val="clear" w:color="auto" w:fill="auto"/>
            <w:noWrap/>
            <w:vAlign w:val="center"/>
          </w:tcPr>
          <w:p w14:paraId="49445AD8"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12,389.38</w:t>
            </w:r>
          </w:p>
        </w:tc>
        <w:tc>
          <w:tcPr>
            <w:tcW w:w="415" w:type="pct"/>
            <w:shd w:val="clear" w:color="auto" w:fill="auto"/>
            <w:noWrap/>
            <w:vAlign w:val="center"/>
          </w:tcPr>
          <w:p w14:paraId="5E5DF37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79%</w:t>
            </w:r>
          </w:p>
        </w:tc>
        <w:tc>
          <w:tcPr>
            <w:tcW w:w="584" w:type="pct"/>
            <w:shd w:val="clear" w:color="auto" w:fill="auto"/>
            <w:noWrap/>
            <w:vAlign w:val="center"/>
          </w:tcPr>
          <w:p w14:paraId="55515A98"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9,787.61</w:t>
            </w:r>
          </w:p>
        </w:tc>
        <w:tc>
          <w:tcPr>
            <w:tcW w:w="691" w:type="pct"/>
            <w:shd w:val="clear" w:color="auto" w:fill="auto"/>
            <w:noWrap/>
            <w:vAlign w:val="center"/>
          </w:tcPr>
          <w:p w14:paraId="2D0D4E90"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18,892.25</w:t>
            </w:r>
          </w:p>
        </w:tc>
      </w:tr>
      <w:tr w:rsidR="000A0ACD" w14:paraId="1CF529B3" w14:textId="77777777">
        <w:trPr>
          <w:trHeight w:val="397"/>
        </w:trPr>
        <w:tc>
          <w:tcPr>
            <w:tcW w:w="812" w:type="pct"/>
            <w:shd w:val="clear" w:color="auto" w:fill="auto"/>
            <w:noWrap/>
            <w:vAlign w:val="center"/>
          </w:tcPr>
          <w:p w14:paraId="764D0535" w14:textId="77777777" w:rsidR="000A0ACD" w:rsidRDefault="00362A99">
            <w:pPr>
              <w:adjustRightInd w:val="0"/>
              <w:snapToGrid w:val="0"/>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海信</w:t>
            </w:r>
          </w:p>
        </w:tc>
        <w:tc>
          <w:tcPr>
            <w:tcW w:w="665" w:type="pct"/>
            <w:shd w:val="clear" w:color="auto" w:fill="auto"/>
            <w:noWrap/>
            <w:vAlign w:val="center"/>
          </w:tcPr>
          <w:p w14:paraId="03CDC6CE"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312.39</w:t>
            </w:r>
          </w:p>
        </w:tc>
        <w:tc>
          <w:tcPr>
            <w:tcW w:w="666" w:type="pct"/>
            <w:shd w:val="clear" w:color="auto" w:fill="auto"/>
            <w:noWrap/>
            <w:vAlign w:val="center"/>
          </w:tcPr>
          <w:p w14:paraId="08508CC1"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394.69</w:t>
            </w:r>
          </w:p>
        </w:tc>
        <w:tc>
          <w:tcPr>
            <w:tcW w:w="500" w:type="pct"/>
            <w:shd w:val="clear" w:color="auto" w:fill="auto"/>
            <w:noWrap/>
            <w:vAlign w:val="center"/>
          </w:tcPr>
          <w:p w14:paraId="15347945"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884.96</w:t>
            </w:r>
          </w:p>
        </w:tc>
        <w:tc>
          <w:tcPr>
            <w:tcW w:w="667" w:type="pct"/>
            <w:shd w:val="clear" w:color="auto" w:fill="auto"/>
            <w:noWrap/>
            <w:vAlign w:val="center"/>
          </w:tcPr>
          <w:p w14:paraId="191D058A"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141.59</w:t>
            </w:r>
          </w:p>
        </w:tc>
        <w:tc>
          <w:tcPr>
            <w:tcW w:w="415" w:type="pct"/>
            <w:shd w:val="clear" w:color="auto" w:fill="auto"/>
            <w:noWrap/>
            <w:vAlign w:val="center"/>
          </w:tcPr>
          <w:p w14:paraId="096A3ED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79%</w:t>
            </w:r>
          </w:p>
        </w:tc>
        <w:tc>
          <w:tcPr>
            <w:tcW w:w="584" w:type="pct"/>
            <w:shd w:val="clear" w:color="auto" w:fill="auto"/>
            <w:noWrap/>
            <w:vAlign w:val="center"/>
          </w:tcPr>
          <w:p w14:paraId="4BF8E74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111.86</w:t>
            </w:r>
          </w:p>
        </w:tc>
        <w:tc>
          <w:tcPr>
            <w:tcW w:w="691" w:type="pct"/>
            <w:shd w:val="clear" w:color="auto" w:fill="auto"/>
            <w:noWrap/>
            <w:vAlign w:val="center"/>
          </w:tcPr>
          <w:p w14:paraId="26CCE18A"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1,391.50</w:t>
            </w:r>
          </w:p>
        </w:tc>
      </w:tr>
      <w:tr w:rsidR="000A0ACD" w14:paraId="0DA02782" w14:textId="77777777">
        <w:trPr>
          <w:trHeight w:val="397"/>
        </w:trPr>
        <w:tc>
          <w:tcPr>
            <w:tcW w:w="812" w:type="pct"/>
            <w:shd w:val="clear" w:color="auto" w:fill="auto"/>
            <w:noWrap/>
            <w:vAlign w:val="center"/>
          </w:tcPr>
          <w:p w14:paraId="044D8535" w14:textId="77777777" w:rsidR="000A0ACD" w:rsidRDefault="00362A99">
            <w:pPr>
              <w:adjustRightInd w:val="0"/>
              <w:snapToGrid w:val="0"/>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崂山矿泉水</w:t>
            </w:r>
          </w:p>
        </w:tc>
        <w:tc>
          <w:tcPr>
            <w:tcW w:w="665" w:type="pct"/>
            <w:shd w:val="clear" w:color="auto" w:fill="auto"/>
            <w:noWrap/>
            <w:vAlign w:val="center"/>
          </w:tcPr>
          <w:p w14:paraId="2CFBF92E"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20.78</w:t>
            </w:r>
          </w:p>
        </w:tc>
        <w:tc>
          <w:tcPr>
            <w:tcW w:w="666" w:type="pct"/>
            <w:shd w:val="clear" w:color="auto" w:fill="auto"/>
            <w:noWrap/>
            <w:vAlign w:val="center"/>
          </w:tcPr>
          <w:p w14:paraId="599312A8"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00" w:type="pct"/>
            <w:shd w:val="clear" w:color="auto" w:fill="auto"/>
            <w:noWrap/>
            <w:vAlign w:val="center"/>
          </w:tcPr>
          <w:p w14:paraId="7A3F92AA"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667" w:type="pct"/>
            <w:shd w:val="clear" w:color="auto" w:fill="auto"/>
            <w:noWrap/>
            <w:vAlign w:val="center"/>
          </w:tcPr>
          <w:p w14:paraId="73EA8994"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415" w:type="pct"/>
            <w:shd w:val="clear" w:color="auto" w:fill="auto"/>
            <w:noWrap/>
            <w:vAlign w:val="center"/>
          </w:tcPr>
          <w:p w14:paraId="07ACDC7E"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84" w:type="pct"/>
            <w:shd w:val="clear" w:color="auto" w:fill="auto"/>
            <w:noWrap/>
            <w:vAlign w:val="center"/>
          </w:tcPr>
          <w:p w14:paraId="0D938CA4"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691" w:type="pct"/>
            <w:shd w:val="clear" w:color="auto" w:fill="auto"/>
            <w:noWrap/>
            <w:vAlign w:val="center"/>
          </w:tcPr>
          <w:p w14:paraId="7087324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4ABB6F9F" w14:textId="77777777">
        <w:trPr>
          <w:trHeight w:val="397"/>
        </w:trPr>
        <w:tc>
          <w:tcPr>
            <w:tcW w:w="812" w:type="pct"/>
            <w:shd w:val="clear" w:color="auto" w:fill="auto"/>
            <w:noWrap/>
            <w:vAlign w:val="center"/>
          </w:tcPr>
          <w:p w14:paraId="541860BF"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665" w:type="pct"/>
            <w:shd w:val="clear" w:color="auto" w:fill="auto"/>
            <w:noWrap/>
            <w:vAlign w:val="center"/>
          </w:tcPr>
          <w:p w14:paraId="464453E8"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15,056.17</w:t>
            </w:r>
          </w:p>
        </w:tc>
        <w:tc>
          <w:tcPr>
            <w:tcW w:w="666" w:type="pct"/>
            <w:shd w:val="clear" w:color="auto" w:fill="auto"/>
            <w:noWrap/>
            <w:vAlign w:val="center"/>
          </w:tcPr>
          <w:p w14:paraId="4653C0ED"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20,477.55</w:t>
            </w:r>
          </w:p>
        </w:tc>
        <w:tc>
          <w:tcPr>
            <w:tcW w:w="500" w:type="pct"/>
            <w:shd w:val="clear" w:color="auto" w:fill="auto"/>
            <w:noWrap/>
            <w:vAlign w:val="center"/>
          </w:tcPr>
          <w:p w14:paraId="161D0F2E"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884.96</w:t>
            </w:r>
          </w:p>
        </w:tc>
        <w:tc>
          <w:tcPr>
            <w:tcW w:w="667" w:type="pct"/>
            <w:shd w:val="clear" w:color="auto" w:fill="auto"/>
            <w:noWrap/>
            <w:vAlign w:val="center"/>
          </w:tcPr>
          <w:p w14:paraId="73DC0B55"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12,601.77</w:t>
            </w:r>
          </w:p>
        </w:tc>
        <w:tc>
          <w:tcPr>
            <w:tcW w:w="415" w:type="pct"/>
            <w:shd w:val="clear" w:color="auto" w:fill="auto"/>
            <w:noWrap/>
            <w:vAlign w:val="center"/>
          </w:tcPr>
          <w:p w14:paraId="5BABC1D9"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84" w:type="pct"/>
            <w:shd w:val="clear" w:color="auto" w:fill="auto"/>
            <w:noWrap/>
            <w:vAlign w:val="center"/>
          </w:tcPr>
          <w:p w14:paraId="67389957"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9,955.40</w:t>
            </w:r>
          </w:p>
        </w:tc>
        <w:tc>
          <w:tcPr>
            <w:tcW w:w="691" w:type="pct"/>
            <w:shd w:val="clear" w:color="auto" w:fill="auto"/>
            <w:noWrap/>
            <w:vAlign w:val="center"/>
          </w:tcPr>
          <w:p w14:paraId="015F93F3"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31,317.91</w:t>
            </w:r>
          </w:p>
        </w:tc>
      </w:tr>
    </w:tbl>
    <w:p w14:paraId="13B61642"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color w:val="000000"/>
        </w:rPr>
        <w:t>标的公司</w:t>
      </w:r>
      <w:r>
        <w:rPr>
          <w:rFonts w:ascii="Times New Roman" w:hAnsi="Times New Roman" w:cs="Times New Roman" w:hint="eastAsia"/>
        </w:rPr>
        <w:t>业务可以覆盖冰箱、洗衣机、洗碗机、电热设备等白色家电主要产品，是少有的能提供多产品智能生产线及配套系统全流程服务的供应商，</w:t>
      </w:r>
      <w:r>
        <w:rPr>
          <w:rFonts w:ascii="Times New Roman" w:hAnsi="Times New Roman" w:cs="Times New Roman"/>
          <w:color w:val="000000"/>
        </w:rPr>
        <w:t>2021</w:t>
      </w:r>
      <w:r>
        <w:rPr>
          <w:rFonts w:ascii="Times New Roman" w:hAnsi="Times New Roman" w:cs="Times New Roman" w:hint="eastAsia"/>
          <w:color w:val="000000"/>
        </w:rPr>
        <w:t>年标的公司三大客户的在手订单预计收入较</w:t>
      </w:r>
      <w:r>
        <w:rPr>
          <w:rFonts w:ascii="Times New Roman" w:hAnsi="Times New Roman" w:cs="Times New Roman"/>
          <w:color w:val="000000"/>
        </w:rPr>
        <w:t>2020</w:t>
      </w:r>
      <w:r>
        <w:rPr>
          <w:rFonts w:ascii="Times New Roman" w:hAnsi="Times New Roman" w:cs="Times New Roman" w:hint="eastAsia"/>
          <w:color w:val="000000"/>
        </w:rPr>
        <w:t>年均成上升状态，</w:t>
      </w:r>
      <w:r>
        <w:rPr>
          <w:rFonts w:ascii="Times New Roman" w:hAnsi="Times New Roman" w:cs="Times New Roman" w:hint="eastAsia"/>
        </w:rPr>
        <w:t>客户黏性较高。</w:t>
      </w:r>
    </w:p>
    <w:p w14:paraId="4B80ABB5" w14:textId="77777777" w:rsidR="000A0ACD" w:rsidRDefault="00362A99">
      <w:pPr>
        <w:spacing w:beforeLines="50" w:before="156" w:line="360" w:lineRule="auto"/>
        <w:ind w:firstLineChars="200" w:firstLine="482"/>
        <w:jc w:val="both"/>
        <w:outlineLvl w:val="2"/>
        <w:rPr>
          <w:rFonts w:ascii="Times New Roman" w:hAnsi="Times New Roman" w:cs="Times New Roman"/>
          <w:bCs/>
          <w:color w:val="000000"/>
          <w:szCs w:val="21"/>
        </w:rPr>
      </w:pPr>
      <w:r>
        <w:rPr>
          <w:rFonts w:ascii="Times New Roman" w:hAnsi="Times New Roman" w:cs="Times New Roman" w:hint="eastAsia"/>
          <w:b/>
          <w:color w:val="000000"/>
          <w:szCs w:val="21"/>
        </w:rPr>
        <w:t>五、标的公司资产预测期营业收入及利润预测的合理性</w:t>
      </w:r>
    </w:p>
    <w:p w14:paraId="22480E68" w14:textId="77777777" w:rsidR="000A0ACD" w:rsidRDefault="00362A99">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对北洋天青未来预测收入及利润规模如下：</w:t>
      </w:r>
    </w:p>
    <w:p w14:paraId="415D627B"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105"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32"/>
        <w:gridCol w:w="8"/>
        <w:gridCol w:w="1077"/>
        <w:gridCol w:w="1015"/>
        <w:gridCol w:w="1015"/>
        <w:gridCol w:w="1015"/>
        <w:gridCol w:w="1034"/>
        <w:gridCol w:w="1016"/>
        <w:gridCol w:w="980"/>
        <w:gridCol w:w="9"/>
      </w:tblGrid>
      <w:tr w:rsidR="000A0ACD" w14:paraId="38A3209C" w14:textId="77777777">
        <w:trPr>
          <w:trHeight w:val="397"/>
          <w:tblHeader/>
        </w:trPr>
        <w:tc>
          <w:tcPr>
            <w:tcW w:w="881" w:type="pct"/>
            <w:vMerge w:val="restart"/>
            <w:shd w:val="clear" w:color="auto" w:fill="auto"/>
            <w:noWrap/>
            <w:vAlign w:val="center"/>
          </w:tcPr>
          <w:p w14:paraId="3697D317"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4119" w:type="pct"/>
            <w:gridSpan w:val="9"/>
            <w:shd w:val="clear" w:color="auto" w:fill="auto"/>
            <w:noWrap/>
            <w:vAlign w:val="center"/>
          </w:tcPr>
          <w:p w14:paraId="7989DAFD"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未来预测</w:t>
            </w:r>
          </w:p>
        </w:tc>
      </w:tr>
      <w:tr w:rsidR="000A0ACD" w14:paraId="6E541928" w14:textId="77777777">
        <w:trPr>
          <w:gridAfter w:val="1"/>
          <w:wAfter w:w="8" w:type="pct"/>
          <w:trHeight w:val="397"/>
          <w:tblHeader/>
        </w:trPr>
        <w:tc>
          <w:tcPr>
            <w:tcW w:w="881" w:type="pct"/>
            <w:vMerge/>
            <w:shd w:val="clear" w:color="auto" w:fill="auto"/>
            <w:vAlign w:val="center"/>
          </w:tcPr>
          <w:p w14:paraId="6526CE85" w14:textId="77777777" w:rsidR="000A0ACD" w:rsidRDefault="000A0ACD">
            <w:pPr>
              <w:ind w:leftChars="-25" w:left="-60" w:rightChars="-25" w:right="-60"/>
              <w:rPr>
                <w:rFonts w:ascii="Times New Roman" w:hAnsi="Times New Roman" w:cs="Times New Roman"/>
                <w:b/>
                <w:bCs/>
                <w:sz w:val="21"/>
                <w:szCs w:val="21"/>
              </w:rPr>
            </w:pPr>
          </w:p>
        </w:tc>
        <w:tc>
          <w:tcPr>
            <w:tcW w:w="623" w:type="pct"/>
            <w:gridSpan w:val="2"/>
            <w:shd w:val="clear" w:color="auto" w:fill="auto"/>
            <w:vAlign w:val="center"/>
          </w:tcPr>
          <w:p w14:paraId="1CCDB9F5"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83" w:type="pct"/>
            <w:shd w:val="clear" w:color="auto" w:fill="auto"/>
            <w:vAlign w:val="center"/>
          </w:tcPr>
          <w:p w14:paraId="1B63A63A"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c>
          <w:tcPr>
            <w:tcW w:w="583" w:type="pct"/>
            <w:shd w:val="clear" w:color="auto" w:fill="auto"/>
            <w:vAlign w:val="center"/>
          </w:tcPr>
          <w:p w14:paraId="58ECB7B7"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2022</w:t>
            </w:r>
            <w:r>
              <w:rPr>
                <w:rFonts w:ascii="Times New Roman" w:hAnsi="Times New Roman" w:cs="Times New Roman" w:hint="eastAsia"/>
                <w:b/>
                <w:bCs/>
                <w:sz w:val="21"/>
                <w:szCs w:val="21"/>
              </w:rPr>
              <w:t>年</w:t>
            </w:r>
          </w:p>
        </w:tc>
        <w:tc>
          <w:tcPr>
            <w:tcW w:w="583" w:type="pct"/>
            <w:shd w:val="clear" w:color="auto" w:fill="auto"/>
            <w:vAlign w:val="center"/>
          </w:tcPr>
          <w:p w14:paraId="0C50CD9C"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2023</w:t>
            </w:r>
            <w:r>
              <w:rPr>
                <w:rFonts w:ascii="Times New Roman" w:hAnsi="Times New Roman" w:cs="Times New Roman" w:hint="eastAsia"/>
                <w:b/>
                <w:bCs/>
                <w:sz w:val="21"/>
                <w:szCs w:val="21"/>
              </w:rPr>
              <w:t>年</w:t>
            </w:r>
          </w:p>
        </w:tc>
        <w:tc>
          <w:tcPr>
            <w:tcW w:w="594" w:type="pct"/>
            <w:shd w:val="clear" w:color="auto" w:fill="auto"/>
            <w:vAlign w:val="center"/>
          </w:tcPr>
          <w:p w14:paraId="12ECA341"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2024</w:t>
            </w:r>
            <w:r>
              <w:rPr>
                <w:rFonts w:ascii="Times New Roman" w:hAnsi="Times New Roman" w:cs="Times New Roman" w:hint="eastAsia"/>
                <w:b/>
                <w:bCs/>
                <w:sz w:val="21"/>
                <w:szCs w:val="21"/>
              </w:rPr>
              <w:t>年</w:t>
            </w:r>
          </w:p>
        </w:tc>
        <w:tc>
          <w:tcPr>
            <w:tcW w:w="584" w:type="pct"/>
            <w:shd w:val="clear" w:color="auto" w:fill="auto"/>
            <w:vAlign w:val="center"/>
          </w:tcPr>
          <w:p w14:paraId="1B3FB654"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2025</w:t>
            </w:r>
            <w:r>
              <w:rPr>
                <w:rFonts w:ascii="Times New Roman" w:hAnsi="Times New Roman" w:cs="Times New Roman" w:hint="eastAsia"/>
                <w:b/>
                <w:bCs/>
                <w:sz w:val="21"/>
                <w:szCs w:val="21"/>
              </w:rPr>
              <w:t>年</w:t>
            </w:r>
          </w:p>
        </w:tc>
        <w:tc>
          <w:tcPr>
            <w:tcW w:w="563" w:type="pct"/>
            <w:shd w:val="clear" w:color="auto" w:fill="auto"/>
            <w:noWrap/>
            <w:vAlign w:val="center"/>
          </w:tcPr>
          <w:p w14:paraId="76427374"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0A0ACD" w14:paraId="27B9DEF6" w14:textId="77777777">
        <w:trPr>
          <w:gridAfter w:val="1"/>
          <w:wAfter w:w="8" w:type="pct"/>
          <w:trHeight w:val="397"/>
        </w:trPr>
        <w:tc>
          <w:tcPr>
            <w:tcW w:w="886" w:type="pct"/>
            <w:gridSpan w:val="2"/>
            <w:shd w:val="clear" w:color="auto" w:fill="auto"/>
            <w:noWrap/>
            <w:vAlign w:val="center"/>
          </w:tcPr>
          <w:p w14:paraId="2B5602A7" w14:textId="77777777" w:rsidR="000A0ACD" w:rsidRDefault="007D7C70">
            <w:pPr>
              <w:ind w:leftChars="-25" w:left="-60" w:rightChars="-25" w:right="-60"/>
              <w:rPr>
                <w:rFonts w:ascii="Times New Roman" w:hAnsi="Times New Roman" w:cs="Times New Roman"/>
                <w:b/>
                <w:bCs/>
                <w:sz w:val="21"/>
                <w:szCs w:val="21"/>
              </w:rPr>
            </w:pPr>
            <w:hyperlink r:id="rId29" w:anchor="营业收入!A1" w:history="1">
              <w:r w:rsidR="00362A99">
                <w:rPr>
                  <w:rFonts w:ascii="Times New Roman" w:hAnsi="Times New Roman" w:cs="Times New Roman" w:hint="eastAsia"/>
                  <w:b/>
                  <w:bCs/>
                  <w:sz w:val="21"/>
                  <w:szCs w:val="21"/>
                </w:rPr>
                <w:t>一、营业收入</w:t>
              </w:r>
            </w:hyperlink>
          </w:p>
        </w:tc>
        <w:tc>
          <w:tcPr>
            <w:tcW w:w="619" w:type="pct"/>
            <w:shd w:val="clear" w:color="auto" w:fill="auto"/>
            <w:noWrap/>
            <w:vAlign w:val="center"/>
          </w:tcPr>
          <w:p w14:paraId="1DB0828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11,665.26</w:t>
            </w:r>
          </w:p>
        </w:tc>
        <w:tc>
          <w:tcPr>
            <w:tcW w:w="583" w:type="pct"/>
            <w:shd w:val="clear" w:color="auto" w:fill="auto"/>
            <w:noWrap/>
            <w:vAlign w:val="center"/>
          </w:tcPr>
          <w:p w14:paraId="178C6849"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29,249.24</w:t>
            </w:r>
          </w:p>
        </w:tc>
        <w:tc>
          <w:tcPr>
            <w:tcW w:w="583" w:type="pct"/>
            <w:shd w:val="clear" w:color="auto" w:fill="auto"/>
            <w:noWrap/>
            <w:vAlign w:val="center"/>
          </w:tcPr>
          <w:p w14:paraId="008979F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32,361.96</w:t>
            </w:r>
          </w:p>
        </w:tc>
        <w:tc>
          <w:tcPr>
            <w:tcW w:w="583" w:type="pct"/>
            <w:shd w:val="clear" w:color="auto" w:fill="auto"/>
            <w:noWrap/>
            <w:vAlign w:val="center"/>
          </w:tcPr>
          <w:p w14:paraId="35178F4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34,790.00</w:t>
            </w:r>
          </w:p>
        </w:tc>
        <w:tc>
          <w:tcPr>
            <w:tcW w:w="594" w:type="pct"/>
            <w:shd w:val="clear" w:color="auto" w:fill="auto"/>
            <w:noWrap/>
            <w:vAlign w:val="center"/>
          </w:tcPr>
          <w:p w14:paraId="63DF8AC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36,700.00</w:t>
            </w:r>
          </w:p>
        </w:tc>
        <w:tc>
          <w:tcPr>
            <w:tcW w:w="584" w:type="pct"/>
            <w:shd w:val="clear" w:color="auto" w:fill="auto"/>
            <w:noWrap/>
            <w:vAlign w:val="center"/>
          </w:tcPr>
          <w:p w14:paraId="11DAE0C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c>
          <w:tcPr>
            <w:tcW w:w="563" w:type="pct"/>
            <w:shd w:val="clear" w:color="auto" w:fill="auto"/>
            <w:noWrap/>
            <w:vAlign w:val="center"/>
          </w:tcPr>
          <w:p w14:paraId="14EEC9A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r>
      <w:tr w:rsidR="000A0ACD" w14:paraId="1A833D35" w14:textId="77777777">
        <w:trPr>
          <w:gridAfter w:val="1"/>
          <w:wAfter w:w="8" w:type="pct"/>
          <w:trHeight w:val="397"/>
        </w:trPr>
        <w:tc>
          <w:tcPr>
            <w:tcW w:w="886" w:type="pct"/>
            <w:gridSpan w:val="2"/>
            <w:shd w:val="clear" w:color="auto" w:fill="auto"/>
            <w:noWrap/>
            <w:vAlign w:val="center"/>
          </w:tcPr>
          <w:p w14:paraId="20AB430F" w14:textId="77777777" w:rsidR="000A0ACD" w:rsidRDefault="007D7C70">
            <w:pPr>
              <w:ind w:leftChars="-25" w:left="-60" w:rightChars="-25" w:right="-60"/>
              <w:rPr>
                <w:rFonts w:ascii="Times New Roman" w:hAnsi="Times New Roman" w:cs="Times New Roman"/>
                <w:sz w:val="21"/>
                <w:szCs w:val="21"/>
              </w:rPr>
            </w:pPr>
            <w:hyperlink r:id="rId30" w:anchor="营业成本!A1" w:history="1">
              <w:r w:rsidR="00362A99">
                <w:rPr>
                  <w:rFonts w:ascii="Times New Roman" w:hAnsi="Times New Roman" w:cs="Times New Roman" w:hint="eastAsia"/>
                  <w:sz w:val="21"/>
                  <w:szCs w:val="21"/>
                </w:rPr>
                <w:t>减：营业成本</w:t>
              </w:r>
            </w:hyperlink>
          </w:p>
        </w:tc>
        <w:tc>
          <w:tcPr>
            <w:tcW w:w="619" w:type="pct"/>
            <w:shd w:val="clear" w:color="auto" w:fill="auto"/>
            <w:noWrap/>
            <w:vAlign w:val="center"/>
          </w:tcPr>
          <w:p w14:paraId="6538590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6,835.47</w:t>
            </w:r>
          </w:p>
        </w:tc>
        <w:tc>
          <w:tcPr>
            <w:tcW w:w="583" w:type="pct"/>
            <w:shd w:val="clear" w:color="auto" w:fill="auto"/>
            <w:noWrap/>
            <w:vAlign w:val="center"/>
          </w:tcPr>
          <w:p w14:paraId="3DBD80A5"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19,304.50</w:t>
            </w:r>
          </w:p>
        </w:tc>
        <w:tc>
          <w:tcPr>
            <w:tcW w:w="583" w:type="pct"/>
            <w:shd w:val="clear" w:color="auto" w:fill="auto"/>
            <w:noWrap/>
            <w:vAlign w:val="center"/>
          </w:tcPr>
          <w:p w14:paraId="29FD1ED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21,358.89</w:t>
            </w:r>
          </w:p>
        </w:tc>
        <w:tc>
          <w:tcPr>
            <w:tcW w:w="583" w:type="pct"/>
            <w:shd w:val="clear" w:color="auto" w:fill="auto"/>
            <w:noWrap/>
            <w:vAlign w:val="center"/>
          </w:tcPr>
          <w:p w14:paraId="6E961E2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22,961.40</w:t>
            </w:r>
          </w:p>
        </w:tc>
        <w:tc>
          <w:tcPr>
            <w:tcW w:w="594" w:type="pct"/>
            <w:shd w:val="clear" w:color="auto" w:fill="auto"/>
            <w:noWrap/>
            <w:vAlign w:val="center"/>
          </w:tcPr>
          <w:p w14:paraId="1010F4B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24,222.00</w:t>
            </w:r>
          </w:p>
        </w:tc>
        <w:tc>
          <w:tcPr>
            <w:tcW w:w="584" w:type="pct"/>
            <w:shd w:val="clear" w:color="auto" w:fill="auto"/>
            <w:noWrap/>
            <w:vAlign w:val="center"/>
          </w:tcPr>
          <w:p w14:paraId="75893C9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c>
          <w:tcPr>
            <w:tcW w:w="563" w:type="pct"/>
            <w:shd w:val="clear" w:color="auto" w:fill="auto"/>
            <w:noWrap/>
            <w:vAlign w:val="center"/>
          </w:tcPr>
          <w:p w14:paraId="2CE64F7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r>
      <w:tr w:rsidR="000A0ACD" w14:paraId="6C9F5774" w14:textId="77777777">
        <w:trPr>
          <w:gridAfter w:val="1"/>
          <w:wAfter w:w="8" w:type="pct"/>
          <w:trHeight w:val="397"/>
        </w:trPr>
        <w:tc>
          <w:tcPr>
            <w:tcW w:w="886" w:type="pct"/>
            <w:gridSpan w:val="2"/>
            <w:shd w:val="clear" w:color="auto" w:fill="auto"/>
            <w:noWrap/>
            <w:vAlign w:val="center"/>
          </w:tcPr>
          <w:p w14:paraId="37CFDDD7" w14:textId="77777777" w:rsidR="000A0ACD" w:rsidRDefault="007D7C70">
            <w:pPr>
              <w:ind w:leftChars="-25" w:left="-60" w:rightChars="-25" w:right="-60"/>
              <w:rPr>
                <w:rFonts w:ascii="Times New Roman" w:hAnsi="Times New Roman" w:cs="Times New Roman"/>
                <w:sz w:val="21"/>
                <w:szCs w:val="21"/>
              </w:rPr>
            </w:pPr>
            <w:hyperlink r:id="rId31" w:anchor="RANGE!A1" w:history="1">
              <w:r w:rsidR="00362A99">
                <w:rPr>
                  <w:rFonts w:ascii="Times New Roman" w:hAnsi="Times New Roman" w:cs="Times New Roman" w:hint="eastAsia"/>
                  <w:sz w:val="21"/>
                  <w:szCs w:val="21"/>
                </w:rPr>
                <w:t>营业税金及附加</w:t>
              </w:r>
            </w:hyperlink>
          </w:p>
        </w:tc>
        <w:tc>
          <w:tcPr>
            <w:tcW w:w="619" w:type="pct"/>
            <w:shd w:val="clear" w:color="auto" w:fill="auto"/>
            <w:noWrap/>
            <w:vAlign w:val="center"/>
          </w:tcPr>
          <w:p w14:paraId="3C7E54C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67.03</w:t>
            </w:r>
          </w:p>
        </w:tc>
        <w:tc>
          <w:tcPr>
            <w:tcW w:w="583" w:type="pct"/>
            <w:shd w:val="clear" w:color="auto" w:fill="auto"/>
            <w:noWrap/>
            <w:vAlign w:val="center"/>
          </w:tcPr>
          <w:p w14:paraId="5588123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155.36</w:t>
            </w:r>
          </w:p>
        </w:tc>
        <w:tc>
          <w:tcPr>
            <w:tcW w:w="583" w:type="pct"/>
            <w:shd w:val="clear" w:color="auto" w:fill="auto"/>
            <w:noWrap/>
            <w:vAlign w:val="center"/>
          </w:tcPr>
          <w:p w14:paraId="602EB3D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172.05</w:t>
            </w:r>
          </w:p>
        </w:tc>
        <w:tc>
          <w:tcPr>
            <w:tcW w:w="583" w:type="pct"/>
            <w:shd w:val="clear" w:color="auto" w:fill="auto"/>
            <w:noWrap/>
            <w:vAlign w:val="center"/>
          </w:tcPr>
          <w:p w14:paraId="7AB661B2"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185.07</w:t>
            </w:r>
          </w:p>
        </w:tc>
        <w:tc>
          <w:tcPr>
            <w:tcW w:w="594" w:type="pct"/>
            <w:shd w:val="clear" w:color="auto" w:fill="auto"/>
            <w:noWrap/>
            <w:vAlign w:val="center"/>
          </w:tcPr>
          <w:p w14:paraId="41CEF003"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195.31</w:t>
            </w:r>
          </w:p>
        </w:tc>
        <w:tc>
          <w:tcPr>
            <w:tcW w:w="584" w:type="pct"/>
            <w:shd w:val="clear" w:color="auto" w:fill="auto"/>
            <w:noWrap/>
            <w:vAlign w:val="center"/>
          </w:tcPr>
          <w:p w14:paraId="3ADA70C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201.21</w:t>
            </w:r>
          </w:p>
        </w:tc>
        <w:tc>
          <w:tcPr>
            <w:tcW w:w="563" w:type="pct"/>
            <w:shd w:val="clear" w:color="auto" w:fill="auto"/>
            <w:noWrap/>
            <w:vAlign w:val="center"/>
          </w:tcPr>
          <w:p w14:paraId="6925DD15"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201.21</w:t>
            </w:r>
          </w:p>
        </w:tc>
      </w:tr>
      <w:tr w:rsidR="000A0ACD" w14:paraId="13EB1033" w14:textId="77777777">
        <w:trPr>
          <w:gridAfter w:val="1"/>
          <w:wAfter w:w="8" w:type="pct"/>
          <w:trHeight w:val="397"/>
        </w:trPr>
        <w:tc>
          <w:tcPr>
            <w:tcW w:w="886" w:type="pct"/>
            <w:gridSpan w:val="2"/>
            <w:shd w:val="clear" w:color="auto" w:fill="auto"/>
            <w:noWrap/>
            <w:vAlign w:val="center"/>
          </w:tcPr>
          <w:p w14:paraId="37EADB67" w14:textId="77777777" w:rsidR="000A0ACD" w:rsidRDefault="007D7C70">
            <w:pPr>
              <w:ind w:leftChars="-25" w:left="-60" w:rightChars="-25" w:right="-60"/>
              <w:rPr>
                <w:rFonts w:ascii="Times New Roman" w:hAnsi="Times New Roman" w:cs="Times New Roman"/>
                <w:sz w:val="21"/>
                <w:szCs w:val="21"/>
              </w:rPr>
            </w:pPr>
            <w:hyperlink r:id="rId32" w:anchor="销售费用!A1" w:history="1">
              <w:r w:rsidR="00362A99">
                <w:rPr>
                  <w:rFonts w:ascii="Times New Roman" w:hAnsi="Times New Roman" w:cs="Times New Roman" w:hint="eastAsia"/>
                  <w:sz w:val="21"/>
                  <w:szCs w:val="21"/>
                </w:rPr>
                <w:t>销售费用</w:t>
              </w:r>
            </w:hyperlink>
          </w:p>
        </w:tc>
        <w:tc>
          <w:tcPr>
            <w:tcW w:w="619" w:type="pct"/>
            <w:shd w:val="clear" w:color="auto" w:fill="auto"/>
            <w:noWrap/>
            <w:vAlign w:val="center"/>
          </w:tcPr>
          <w:p w14:paraId="47EFC56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352.04</w:t>
            </w:r>
          </w:p>
        </w:tc>
        <w:tc>
          <w:tcPr>
            <w:tcW w:w="583" w:type="pct"/>
            <w:shd w:val="clear" w:color="auto" w:fill="auto"/>
            <w:noWrap/>
            <w:vAlign w:val="center"/>
          </w:tcPr>
          <w:p w14:paraId="5473CE3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891.33</w:t>
            </w:r>
          </w:p>
        </w:tc>
        <w:tc>
          <w:tcPr>
            <w:tcW w:w="583" w:type="pct"/>
            <w:shd w:val="clear" w:color="auto" w:fill="auto"/>
            <w:noWrap/>
            <w:vAlign w:val="center"/>
          </w:tcPr>
          <w:p w14:paraId="79BBD63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982.01</w:t>
            </w:r>
          </w:p>
        </w:tc>
        <w:tc>
          <w:tcPr>
            <w:tcW w:w="583" w:type="pct"/>
            <w:shd w:val="clear" w:color="auto" w:fill="auto"/>
            <w:noWrap/>
            <w:vAlign w:val="center"/>
          </w:tcPr>
          <w:p w14:paraId="361711C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1,062.29</w:t>
            </w:r>
          </w:p>
        </w:tc>
        <w:tc>
          <w:tcPr>
            <w:tcW w:w="594" w:type="pct"/>
            <w:shd w:val="clear" w:color="auto" w:fill="auto"/>
            <w:noWrap/>
            <w:vAlign w:val="center"/>
          </w:tcPr>
          <w:p w14:paraId="2E12699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1,116.15</w:t>
            </w:r>
          </w:p>
        </w:tc>
        <w:tc>
          <w:tcPr>
            <w:tcW w:w="584" w:type="pct"/>
            <w:shd w:val="clear" w:color="auto" w:fill="auto"/>
            <w:noWrap/>
            <w:vAlign w:val="center"/>
          </w:tcPr>
          <w:p w14:paraId="1369C5B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1,147.77</w:t>
            </w:r>
          </w:p>
        </w:tc>
        <w:tc>
          <w:tcPr>
            <w:tcW w:w="563" w:type="pct"/>
            <w:shd w:val="clear" w:color="auto" w:fill="auto"/>
            <w:noWrap/>
            <w:vAlign w:val="center"/>
          </w:tcPr>
          <w:p w14:paraId="5BD19FC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1,147.77</w:t>
            </w:r>
          </w:p>
        </w:tc>
      </w:tr>
      <w:tr w:rsidR="000A0ACD" w14:paraId="6E7D1A22" w14:textId="77777777">
        <w:trPr>
          <w:gridAfter w:val="1"/>
          <w:wAfter w:w="8" w:type="pct"/>
          <w:trHeight w:val="397"/>
        </w:trPr>
        <w:tc>
          <w:tcPr>
            <w:tcW w:w="886" w:type="pct"/>
            <w:gridSpan w:val="2"/>
            <w:shd w:val="clear" w:color="auto" w:fill="auto"/>
            <w:noWrap/>
            <w:vAlign w:val="center"/>
          </w:tcPr>
          <w:p w14:paraId="3BD940E1" w14:textId="77777777" w:rsidR="000A0ACD" w:rsidRDefault="007D7C70">
            <w:pPr>
              <w:ind w:leftChars="-25" w:left="-60" w:rightChars="-25" w:right="-60"/>
              <w:rPr>
                <w:rFonts w:ascii="Times New Roman" w:hAnsi="Times New Roman" w:cs="Times New Roman"/>
                <w:sz w:val="21"/>
                <w:szCs w:val="21"/>
              </w:rPr>
            </w:pPr>
            <w:hyperlink r:id="rId33" w:anchor="管理费用!A1" w:history="1">
              <w:r w:rsidR="00362A99">
                <w:rPr>
                  <w:rFonts w:ascii="Times New Roman" w:hAnsi="Times New Roman" w:cs="Times New Roman" w:hint="eastAsia"/>
                  <w:sz w:val="21"/>
                  <w:szCs w:val="21"/>
                </w:rPr>
                <w:t>管理费用</w:t>
              </w:r>
            </w:hyperlink>
          </w:p>
        </w:tc>
        <w:tc>
          <w:tcPr>
            <w:tcW w:w="619" w:type="pct"/>
            <w:shd w:val="clear" w:color="auto" w:fill="auto"/>
            <w:noWrap/>
            <w:vAlign w:val="center"/>
          </w:tcPr>
          <w:p w14:paraId="189AD51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694.96</w:t>
            </w:r>
          </w:p>
        </w:tc>
        <w:tc>
          <w:tcPr>
            <w:tcW w:w="583" w:type="pct"/>
            <w:shd w:val="clear" w:color="auto" w:fill="auto"/>
            <w:noWrap/>
            <w:vAlign w:val="center"/>
          </w:tcPr>
          <w:p w14:paraId="06EE065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2,053.60</w:t>
            </w:r>
          </w:p>
        </w:tc>
        <w:tc>
          <w:tcPr>
            <w:tcW w:w="583" w:type="pct"/>
            <w:shd w:val="clear" w:color="auto" w:fill="auto"/>
            <w:noWrap/>
            <w:vAlign w:val="center"/>
          </w:tcPr>
          <w:p w14:paraId="7476CEE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2,324.17</w:t>
            </w:r>
          </w:p>
        </w:tc>
        <w:tc>
          <w:tcPr>
            <w:tcW w:w="583" w:type="pct"/>
            <w:shd w:val="clear" w:color="auto" w:fill="auto"/>
            <w:noWrap/>
            <w:vAlign w:val="center"/>
          </w:tcPr>
          <w:p w14:paraId="0CEDAD0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2,545.42</w:t>
            </w:r>
          </w:p>
        </w:tc>
        <w:tc>
          <w:tcPr>
            <w:tcW w:w="594" w:type="pct"/>
            <w:shd w:val="clear" w:color="auto" w:fill="auto"/>
            <w:noWrap/>
            <w:vAlign w:val="center"/>
          </w:tcPr>
          <w:p w14:paraId="15137EF2"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2,674.11</w:t>
            </w:r>
          </w:p>
        </w:tc>
        <w:tc>
          <w:tcPr>
            <w:tcW w:w="584" w:type="pct"/>
            <w:shd w:val="clear" w:color="auto" w:fill="auto"/>
            <w:noWrap/>
            <w:vAlign w:val="center"/>
          </w:tcPr>
          <w:p w14:paraId="27F9D37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2,778.33</w:t>
            </w:r>
          </w:p>
        </w:tc>
        <w:tc>
          <w:tcPr>
            <w:tcW w:w="563" w:type="pct"/>
            <w:shd w:val="clear" w:color="auto" w:fill="auto"/>
            <w:noWrap/>
            <w:vAlign w:val="center"/>
          </w:tcPr>
          <w:p w14:paraId="363370D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2,778.33</w:t>
            </w:r>
          </w:p>
        </w:tc>
      </w:tr>
      <w:tr w:rsidR="000A0ACD" w14:paraId="77FBEA35" w14:textId="77777777">
        <w:trPr>
          <w:gridAfter w:val="1"/>
          <w:wAfter w:w="8" w:type="pct"/>
          <w:trHeight w:val="397"/>
        </w:trPr>
        <w:tc>
          <w:tcPr>
            <w:tcW w:w="886" w:type="pct"/>
            <w:gridSpan w:val="2"/>
            <w:shd w:val="clear" w:color="auto" w:fill="auto"/>
            <w:noWrap/>
            <w:vAlign w:val="center"/>
          </w:tcPr>
          <w:p w14:paraId="50607A5E"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研发费用</w:t>
            </w:r>
          </w:p>
        </w:tc>
        <w:tc>
          <w:tcPr>
            <w:tcW w:w="619" w:type="pct"/>
            <w:shd w:val="clear" w:color="auto" w:fill="auto"/>
            <w:noWrap/>
            <w:vAlign w:val="center"/>
          </w:tcPr>
          <w:p w14:paraId="20435745"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721.37</w:t>
            </w:r>
          </w:p>
        </w:tc>
        <w:tc>
          <w:tcPr>
            <w:tcW w:w="583" w:type="pct"/>
            <w:shd w:val="clear" w:color="auto" w:fill="auto"/>
            <w:noWrap/>
            <w:vAlign w:val="center"/>
          </w:tcPr>
          <w:p w14:paraId="5277B3D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2,367.36</w:t>
            </w:r>
          </w:p>
        </w:tc>
        <w:tc>
          <w:tcPr>
            <w:tcW w:w="583" w:type="pct"/>
            <w:shd w:val="clear" w:color="auto" w:fill="auto"/>
            <w:noWrap/>
            <w:vAlign w:val="center"/>
          </w:tcPr>
          <w:p w14:paraId="553B9E7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2,713.05</w:t>
            </w:r>
          </w:p>
        </w:tc>
        <w:tc>
          <w:tcPr>
            <w:tcW w:w="583" w:type="pct"/>
            <w:shd w:val="clear" w:color="auto" w:fill="auto"/>
            <w:noWrap/>
            <w:vAlign w:val="center"/>
          </w:tcPr>
          <w:p w14:paraId="6B3B272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2,977.88</w:t>
            </w:r>
          </w:p>
        </w:tc>
        <w:tc>
          <w:tcPr>
            <w:tcW w:w="594" w:type="pct"/>
            <w:shd w:val="clear" w:color="auto" w:fill="auto"/>
            <w:noWrap/>
            <w:vAlign w:val="center"/>
          </w:tcPr>
          <w:p w14:paraId="5758E60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3,128.79</w:t>
            </w:r>
          </w:p>
        </w:tc>
        <w:tc>
          <w:tcPr>
            <w:tcW w:w="584" w:type="pct"/>
            <w:shd w:val="clear" w:color="auto" w:fill="auto"/>
            <w:noWrap/>
            <w:vAlign w:val="center"/>
          </w:tcPr>
          <w:p w14:paraId="087E11B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3,201.96</w:t>
            </w:r>
          </w:p>
        </w:tc>
        <w:tc>
          <w:tcPr>
            <w:tcW w:w="563" w:type="pct"/>
            <w:shd w:val="clear" w:color="auto" w:fill="auto"/>
            <w:noWrap/>
            <w:vAlign w:val="center"/>
          </w:tcPr>
          <w:p w14:paraId="677B15B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3,201.96</w:t>
            </w:r>
          </w:p>
        </w:tc>
      </w:tr>
      <w:tr w:rsidR="000A0ACD" w14:paraId="73A9D9C7" w14:textId="77777777">
        <w:trPr>
          <w:gridAfter w:val="1"/>
          <w:wAfter w:w="8" w:type="pct"/>
          <w:trHeight w:val="397"/>
        </w:trPr>
        <w:tc>
          <w:tcPr>
            <w:tcW w:w="886" w:type="pct"/>
            <w:gridSpan w:val="2"/>
            <w:shd w:val="clear" w:color="auto" w:fill="auto"/>
            <w:noWrap/>
            <w:vAlign w:val="center"/>
          </w:tcPr>
          <w:p w14:paraId="1654FB54" w14:textId="77777777" w:rsidR="000A0ACD" w:rsidRDefault="007D7C70">
            <w:pPr>
              <w:ind w:leftChars="-25" w:left="-60" w:rightChars="-25" w:right="-60"/>
              <w:rPr>
                <w:rFonts w:ascii="Times New Roman" w:hAnsi="Times New Roman" w:cs="Times New Roman"/>
                <w:sz w:val="21"/>
                <w:szCs w:val="21"/>
              </w:rPr>
            </w:pPr>
            <w:hyperlink r:id="rId34" w:anchor="财务费用!A1" w:history="1">
              <w:r w:rsidR="00362A99">
                <w:rPr>
                  <w:rFonts w:ascii="Times New Roman" w:hAnsi="Times New Roman" w:cs="Times New Roman" w:hint="eastAsia"/>
                  <w:sz w:val="21"/>
                  <w:szCs w:val="21"/>
                </w:rPr>
                <w:t>财务费用</w:t>
              </w:r>
            </w:hyperlink>
          </w:p>
        </w:tc>
        <w:tc>
          <w:tcPr>
            <w:tcW w:w="619" w:type="pct"/>
            <w:shd w:val="clear" w:color="auto" w:fill="auto"/>
            <w:noWrap/>
            <w:vAlign w:val="center"/>
          </w:tcPr>
          <w:p w14:paraId="553A739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2.99</w:t>
            </w:r>
          </w:p>
        </w:tc>
        <w:tc>
          <w:tcPr>
            <w:tcW w:w="583" w:type="pct"/>
            <w:shd w:val="clear" w:color="auto" w:fill="auto"/>
            <w:noWrap/>
            <w:vAlign w:val="center"/>
          </w:tcPr>
          <w:p w14:paraId="3E718342"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7.49</w:t>
            </w:r>
          </w:p>
        </w:tc>
        <w:tc>
          <w:tcPr>
            <w:tcW w:w="583" w:type="pct"/>
            <w:shd w:val="clear" w:color="auto" w:fill="auto"/>
            <w:noWrap/>
            <w:vAlign w:val="center"/>
          </w:tcPr>
          <w:p w14:paraId="23C54A2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8.29</w:t>
            </w:r>
          </w:p>
        </w:tc>
        <w:tc>
          <w:tcPr>
            <w:tcW w:w="583" w:type="pct"/>
            <w:shd w:val="clear" w:color="auto" w:fill="auto"/>
            <w:noWrap/>
            <w:vAlign w:val="center"/>
          </w:tcPr>
          <w:p w14:paraId="62BB79F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8.91</w:t>
            </w:r>
          </w:p>
        </w:tc>
        <w:tc>
          <w:tcPr>
            <w:tcW w:w="594" w:type="pct"/>
            <w:shd w:val="clear" w:color="auto" w:fill="auto"/>
            <w:noWrap/>
            <w:vAlign w:val="center"/>
          </w:tcPr>
          <w:p w14:paraId="4D42B57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9.40</w:t>
            </w:r>
          </w:p>
        </w:tc>
        <w:tc>
          <w:tcPr>
            <w:tcW w:w="584" w:type="pct"/>
            <w:shd w:val="clear" w:color="auto" w:fill="auto"/>
            <w:noWrap/>
            <w:vAlign w:val="center"/>
          </w:tcPr>
          <w:p w14:paraId="1339AEE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9.69</w:t>
            </w:r>
          </w:p>
        </w:tc>
        <w:tc>
          <w:tcPr>
            <w:tcW w:w="563" w:type="pct"/>
            <w:shd w:val="clear" w:color="auto" w:fill="auto"/>
            <w:noWrap/>
            <w:vAlign w:val="center"/>
          </w:tcPr>
          <w:p w14:paraId="26F72DE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9.69</w:t>
            </w:r>
          </w:p>
        </w:tc>
      </w:tr>
      <w:tr w:rsidR="000A0ACD" w14:paraId="6B05C3AA" w14:textId="77777777">
        <w:trPr>
          <w:gridAfter w:val="1"/>
          <w:wAfter w:w="8" w:type="pct"/>
          <w:trHeight w:val="397"/>
        </w:trPr>
        <w:tc>
          <w:tcPr>
            <w:tcW w:w="886" w:type="pct"/>
            <w:gridSpan w:val="2"/>
            <w:shd w:val="clear" w:color="auto" w:fill="auto"/>
            <w:noWrap/>
            <w:vAlign w:val="center"/>
          </w:tcPr>
          <w:p w14:paraId="56148AB9"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信用减值损失</w:t>
            </w:r>
          </w:p>
        </w:tc>
        <w:tc>
          <w:tcPr>
            <w:tcW w:w="619" w:type="pct"/>
            <w:shd w:val="clear" w:color="auto" w:fill="auto"/>
            <w:noWrap/>
          </w:tcPr>
          <w:p w14:paraId="6D1AB68B"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34D9DC72"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24EAD543"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600428A1"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1A9798A9"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44C83BA6"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50A5283E"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0C0ECAF1" w14:textId="77777777">
        <w:trPr>
          <w:gridAfter w:val="1"/>
          <w:wAfter w:w="8" w:type="pct"/>
          <w:trHeight w:val="397"/>
        </w:trPr>
        <w:tc>
          <w:tcPr>
            <w:tcW w:w="886" w:type="pct"/>
            <w:gridSpan w:val="2"/>
            <w:shd w:val="clear" w:color="auto" w:fill="auto"/>
            <w:noWrap/>
            <w:vAlign w:val="center"/>
          </w:tcPr>
          <w:p w14:paraId="5730353C"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加：公允价值变动收益</w:t>
            </w:r>
          </w:p>
        </w:tc>
        <w:tc>
          <w:tcPr>
            <w:tcW w:w="619" w:type="pct"/>
            <w:shd w:val="clear" w:color="auto" w:fill="auto"/>
            <w:noWrap/>
          </w:tcPr>
          <w:p w14:paraId="6F772EF6"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4A519059"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361B7F46"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57EE6B35"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7093B4BB"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6D895A06"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494F8E31"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5B560BE9" w14:textId="77777777">
        <w:trPr>
          <w:gridAfter w:val="1"/>
          <w:wAfter w:w="8" w:type="pct"/>
          <w:trHeight w:val="397"/>
        </w:trPr>
        <w:tc>
          <w:tcPr>
            <w:tcW w:w="886" w:type="pct"/>
            <w:gridSpan w:val="2"/>
            <w:shd w:val="clear" w:color="auto" w:fill="auto"/>
            <w:noWrap/>
            <w:vAlign w:val="center"/>
          </w:tcPr>
          <w:p w14:paraId="2E8C2A90"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投资收益</w:t>
            </w:r>
          </w:p>
        </w:tc>
        <w:tc>
          <w:tcPr>
            <w:tcW w:w="619" w:type="pct"/>
            <w:shd w:val="clear" w:color="auto" w:fill="auto"/>
            <w:noWrap/>
          </w:tcPr>
          <w:p w14:paraId="524993D4"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6BB90AB9"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34DD4BD3"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28B2B7CB"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6B41ADED"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51BA4C5E"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731081F2"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37A545C9" w14:textId="77777777">
        <w:trPr>
          <w:gridAfter w:val="1"/>
          <w:wAfter w:w="8" w:type="pct"/>
          <w:trHeight w:val="397"/>
        </w:trPr>
        <w:tc>
          <w:tcPr>
            <w:tcW w:w="886" w:type="pct"/>
            <w:gridSpan w:val="2"/>
            <w:shd w:val="clear" w:color="auto" w:fill="auto"/>
            <w:vAlign w:val="center"/>
          </w:tcPr>
          <w:p w14:paraId="0F13D22C"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其中：对联营企业和合营企业的投资收益</w:t>
            </w:r>
          </w:p>
        </w:tc>
        <w:tc>
          <w:tcPr>
            <w:tcW w:w="619" w:type="pct"/>
            <w:shd w:val="clear" w:color="auto" w:fill="auto"/>
            <w:noWrap/>
          </w:tcPr>
          <w:p w14:paraId="0672A460"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7718A7CD"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07EA54C5"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43C2AF41"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1ECA3877"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4EE4FDA1"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41E2DF82"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6569D2BC" w14:textId="77777777">
        <w:trPr>
          <w:gridAfter w:val="1"/>
          <w:wAfter w:w="8" w:type="pct"/>
          <w:trHeight w:val="397"/>
        </w:trPr>
        <w:tc>
          <w:tcPr>
            <w:tcW w:w="886" w:type="pct"/>
            <w:gridSpan w:val="2"/>
            <w:shd w:val="clear" w:color="auto" w:fill="auto"/>
            <w:noWrap/>
            <w:vAlign w:val="center"/>
          </w:tcPr>
          <w:p w14:paraId="5A72F567"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其他收益</w:t>
            </w:r>
          </w:p>
        </w:tc>
        <w:tc>
          <w:tcPr>
            <w:tcW w:w="619" w:type="pct"/>
            <w:shd w:val="clear" w:color="auto" w:fill="auto"/>
            <w:noWrap/>
          </w:tcPr>
          <w:p w14:paraId="073D51E7"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567BCA75"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6612C58A"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79313391"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6F944C37"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273CD4A4"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63B65864"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19252770" w14:textId="77777777">
        <w:trPr>
          <w:gridAfter w:val="1"/>
          <w:wAfter w:w="8" w:type="pct"/>
          <w:trHeight w:val="397"/>
        </w:trPr>
        <w:tc>
          <w:tcPr>
            <w:tcW w:w="886" w:type="pct"/>
            <w:gridSpan w:val="2"/>
            <w:shd w:val="clear" w:color="auto" w:fill="auto"/>
            <w:noWrap/>
            <w:vAlign w:val="center"/>
          </w:tcPr>
          <w:p w14:paraId="27C67168"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资产处置收益</w:t>
            </w:r>
          </w:p>
        </w:tc>
        <w:tc>
          <w:tcPr>
            <w:tcW w:w="619" w:type="pct"/>
            <w:shd w:val="clear" w:color="auto" w:fill="auto"/>
            <w:noWrap/>
          </w:tcPr>
          <w:p w14:paraId="02F966F8"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34EFF6CF"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74DC3E50"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404F6F1C"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42665C50"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6BF04C6A"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7CB07929"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46BEFD4E" w14:textId="77777777">
        <w:trPr>
          <w:gridAfter w:val="1"/>
          <w:wAfter w:w="8" w:type="pct"/>
          <w:trHeight w:val="397"/>
        </w:trPr>
        <w:tc>
          <w:tcPr>
            <w:tcW w:w="886" w:type="pct"/>
            <w:gridSpan w:val="2"/>
            <w:shd w:val="clear" w:color="auto" w:fill="auto"/>
            <w:noWrap/>
            <w:vAlign w:val="center"/>
          </w:tcPr>
          <w:p w14:paraId="4166ABCF" w14:textId="77777777" w:rsidR="000A0ACD" w:rsidRDefault="00362A99">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二、营业利润</w:t>
            </w:r>
          </w:p>
        </w:tc>
        <w:tc>
          <w:tcPr>
            <w:tcW w:w="619" w:type="pct"/>
            <w:shd w:val="clear" w:color="auto" w:fill="auto"/>
            <w:noWrap/>
            <w:vAlign w:val="center"/>
          </w:tcPr>
          <w:p w14:paraId="1AD9FFEA"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583" w:type="pct"/>
            <w:shd w:val="clear" w:color="auto" w:fill="auto"/>
            <w:noWrap/>
            <w:vAlign w:val="center"/>
          </w:tcPr>
          <w:p w14:paraId="383B7413"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83" w:type="pct"/>
            <w:shd w:val="clear" w:color="auto" w:fill="auto"/>
            <w:noWrap/>
            <w:vAlign w:val="center"/>
          </w:tcPr>
          <w:p w14:paraId="5BE0BBFE"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83" w:type="pct"/>
            <w:shd w:val="clear" w:color="auto" w:fill="auto"/>
            <w:noWrap/>
            <w:vAlign w:val="center"/>
          </w:tcPr>
          <w:p w14:paraId="5798D6DD"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594" w:type="pct"/>
            <w:shd w:val="clear" w:color="auto" w:fill="auto"/>
            <w:noWrap/>
            <w:vAlign w:val="center"/>
          </w:tcPr>
          <w:p w14:paraId="1D77C317"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584" w:type="pct"/>
            <w:shd w:val="clear" w:color="auto" w:fill="auto"/>
            <w:noWrap/>
            <w:vAlign w:val="center"/>
          </w:tcPr>
          <w:p w14:paraId="168404ED"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563" w:type="pct"/>
            <w:shd w:val="clear" w:color="auto" w:fill="auto"/>
            <w:noWrap/>
            <w:vAlign w:val="center"/>
          </w:tcPr>
          <w:p w14:paraId="61BDBB15"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0A0ACD" w14:paraId="241DEB25" w14:textId="77777777">
        <w:trPr>
          <w:gridAfter w:val="1"/>
          <w:wAfter w:w="8" w:type="pct"/>
          <w:trHeight w:val="397"/>
        </w:trPr>
        <w:tc>
          <w:tcPr>
            <w:tcW w:w="886" w:type="pct"/>
            <w:gridSpan w:val="2"/>
            <w:shd w:val="clear" w:color="auto" w:fill="auto"/>
            <w:noWrap/>
            <w:vAlign w:val="center"/>
          </w:tcPr>
          <w:p w14:paraId="280869A9"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加：营业外收入</w:t>
            </w:r>
          </w:p>
        </w:tc>
        <w:tc>
          <w:tcPr>
            <w:tcW w:w="619" w:type="pct"/>
            <w:shd w:val="clear" w:color="auto" w:fill="auto"/>
            <w:noWrap/>
          </w:tcPr>
          <w:p w14:paraId="65CA477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1C23AC1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1F8DD9B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1FE69993"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6C9E708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1550840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4CE5BA03"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75BD93C3" w14:textId="77777777">
        <w:trPr>
          <w:gridAfter w:val="1"/>
          <w:wAfter w:w="8" w:type="pct"/>
          <w:trHeight w:val="397"/>
        </w:trPr>
        <w:tc>
          <w:tcPr>
            <w:tcW w:w="886" w:type="pct"/>
            <w:gridSpan w:val="2"/>
            <w:shd w:val="clear" w:color="auto" w:fill="auto"/>
            <w:noWrap/>
            <w:vAlign w:val="center"/>
          </w:tcPr>
          <w:p w14:paraId="2AD2AD0E"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减：营业外支出</w:t>
            </w:r>
          </w:p>
        </w:tc>
        <w:tc>
          <w:tcPr>
            <w:tcW w:w="619" w:type="pct"/>
            <w:shd w:val="clear" w:color="auto" w:fill="auto"/>
            <w:noWrap/>
          </w:tcPr>
          <w:p w14:paraId="6F45B7E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60AD974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7E92323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499D98F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3E01F0B5"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6B7C135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11FEC44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6608AAEF" w14:textId="77777777">
        <w:trPr>
          <w:gridAfter w:val="1"/>
          <w:wAfter w:w="8" w:type="pct"/>
          <w:trHeight w:val="397"/>
        </w:trPr>
        <w:tc>
          <w:tcPr>
            <w:tcW w:w="886" w:type="pct"/>
            <w:gridSpan w:val="2"/>
            <w:shd w:val="clear" w:color="auto" w:fill="auto"/>
            <w:vAlign w:val="center"/>
          </w:tcPr>
          <w:p w14:paraId="04DA9F39" w14:textId="77777777" w:rsidR="000A0ACD" w:rsidRDefault="00362A99">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三、利润总额</w:t>
            </w:r>
          </w:p>
        </w:tc>
        <w:tc>
          <w:tcPr>
            <w:tcW w:w="619" w:type="pct"/>
            <w:shd w:val="clear" w:color="auto" w:fill="auto"/>
            <w:noWrap/>
            <w:vAlign w:val="center"/>
          </w:tcPr>
          <w:p w14:paraId="521AF917"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583" w:type="pct"/>
            <w:shd w:val="clear" w:color="auto" w:fill="auto"/>
            <w:noWrap/>
            <w:vAlign w:val="center"/>
          </w:tcPr>
          <w:p w14:paraId="6FD2C7B6"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83" w:type="pct"/>
            <w:shd w:val="clear" w:color="auto" w:fill="auto"/>
            <w:noWrap/>
            <w:vAlign w:val="center"/>
          </w:tcPr>
          <w:p w14:paraId="04448197"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83" w:type="pct"/>
            <w:shd w:val="clear" w:color="auto" w:fill="auto"/>
            <w:noWrap/>
            <w:vAlign w:val="center"/>
          </w:tcPr>
          <w:p w14:paraId="532C23B2"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594" w:type="pct"/>
            <w:shd w:val="clear" w:color="auto" w:fill="auto"/>
            <w:noWrap/>
            <w:vAlign w:val="center"/>
          </w:tcPr>
          <w:p w14:paraId="5F623316"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584" w:type="pct"/>
            <w:shd w:val="clear" w:color="auto" w:fill="auto"/>
            <w:noWrap/>
            <w:vAlign w:val="center"/>
          </w:tcPr>
          <w:p w14:paraId="554EC183"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563" w:type="pct"/>
            <w:shd w:val="clear" w:color="auto" w:fill="auto"/>
            <w:noWrap/>
            <w:vAlign w:val="center"/>
          </w:tcPr>
          <w:p w14:paraId="4962955B"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0A0ACD" w14:paraId="63EFB8DB" w14:textId="77777777">
        <w:trPr>
          <w:gridAfter w:val="1"/>
          <w:wAfter w:w="8" w:type="pct"/>
          <w:trHeight w:val="397"/>
        </w:trPr>
        <w:tc>
          <w:tcPr>
            <w:tcW w:w="886" w:type="pct"/>
            <w:gridSpan w:val="2"/>
            <w:shd w:val="clear" w:color="auto" w:fill="auto"/>
            <w:vAlign w:val="center"/>
          </w:tcPr>
          <w:p w14:paraId="75927BB9"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研发费加计扣除</w:t>
            </w:r>
          </w:p>
        </w:tc>
        <w:tc>
          <w:tcPr>
            <w:tcW w:w="619" w:type="pct"/>
            <w:shd w:val="clear" w:color="auto" w:fill="auto"/>
            <w:noWrap/>
          </w:tcPr>
          <w:p w14:paraId="0FA14D70"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3" w:type="pct"/>
            <w:shd w:val="clear" w:color="auto" w:fill="auto"/>
            <w:noWrap/>
          </w:tcPr>
          <w:p w14:paraId="3A248473"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3" w:type="pct"/>
            <w:shd w:val="clear" w:color="auto" w:fill="auto"/>
            <w:noWrap/>
          </w:tcPr>
          <w:p w14:paraId="25FA038D"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3" w:type="pct"/>
            <w:shd w:val="clear" w:color="auto" w:fill="auto"/>
            <w:noWrap/>
          </w:tcPr>
          <w:p w14:paraId="0366EE8D"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94" w:type="pct"/>
            <w:shd w:val="clear" w:color="auto" w:fill="auto"/>
            <w:noWrap/>
          </w:tcPr>
          <w:p w14:paraId="1EDA3ECA"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4" w:type="pct"/>
            <w:shd w:val="clear" w:color="auto" w:fill="auto"/>
            <w:noWrap/>
          </w:tcPr>
          <w:p w14:paraId="35A77B43"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63" w:type="pct"/>
            <w:shd w:val="clear" w:color="auto" w:fill="auto"/>
            <w:noWrap/>
          </w:tcPr>
          <w:p w14:paraId="753095CC"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r>
      <w:tr w:rsidR="000A0ACD" w14:paraId="11FD7DFF" w14:textId="77777777">
        <w:trPr>
          <w:gridAfter w:val="1"/>
          <w:wAfter w:w="8" w:type="pct"/>
          <w:trHeight w:val="397"/>
        </w:trPr>
        <w:tc>
          <w:tcPr>
            <w:tcW w:w="886" w:type="pct"/>
            <w:gridSpan w:val="2"/>
            <w:shd w:val="clear" w:color="auto" w:fill="auto"/>
            <w:vAlign w:val="center"/>
          </w:tcPr>
          <w:p w14:paraId="7E938C3C"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加计扣除后利润</w:t>
            </w:r>
          </w:p>
        </w:tc>
        <w:tc>
          <w:tcPr>
            <w:tcW w:w="619" w:type="pct"/>
            <w:shd w:val="clear" w:color="auto" w:fill="auto"/>
            <w:noWrap/>
            <w:vAlign w:val="center"/>
          </w:tcPr>
          <w:p w14:paraId="7D77E276"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583" w:type="pct"/>
            <w:shd w:val="clear" w:color="auto" w:fill="auto"/>
            <w:noWrap/>
            <w:vAlign w:val="center"/>
          </w:tcPr>
          <w:p w14:paraId="7B37D50E"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83" w:type="pct"/>
            <w:shd w:val="clear" w:color="auto" w:fill="auto"/>
            <w:noWrap/>
            <w:vAlign w:val="center"/>
          </w:tcPr>
          <w:p w14:paraId="27F57498"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83" w:type="pct"/>
            <w:shd w:val="clear" w:color="auto" w:fill="auto"/>
            <w:noWrap/>
            <w:vAlign w:val="center"/>
          </w:tcPr>
          <w:p w14:paraId="0E86C476"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594" w:type="pct"/>
            <w:shd w:val="clear" w:color="auto" w:fill="auto"/>
            <w:noWrap/>
            <w:vAlign w:val="center"/>
          </w:tcPr>
          <w:p w14:paraId="632BA327"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584" w:type="pct"/>
            <w:shd w:val="clear" w:color="auto" w:fill="auto"/>
            <w:noWrap/>
            <w:vAlign w:val="center"/>
          </w:tcPr>
          <w:p w14:paraId="1C1F0987"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563" w:type="pct"/>
            <w:shd w:val="clear" w:color="auto" w:fill="auto"/>
            <w:noWrap/>
            <w:vAlign w:val="center"/>
          </w:tcPr>
          <w:p w14:paraId="6DBD4B45"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0A0ACD" w14:paraId="440EC822" w14:textId="77777777">
        <w:trPr>
          <w:gridAfter w:val="1"/>
          <w:wAfter w:w="8" w:type="pct"/>
          <w:trHeight w:val="397"/>
        </w:trPr>
        <w:tc>
          <w:tcPr>
            <w:tcW w:w="886" w:type="pct"/>
            <w:gridSpan w:val="2"/>
            <w:shd w:val="clear" w:color="auto" w:fill="auto"/>
            <w:vAlign w:val="center"/>
          </w:tcPr>
          <w:p w14:paraId="44D750B7"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减：所得税费用（</w:t>
            </w:r>
            <w:r>
              <w:rPr>
                <w:rFonts w:ascii="Times New Roman" w:hAnsi="Times New Roman" w:cs="Times New Roman" w:hint="eastAsia"/>
                <w:sz w:val="21"/>
                <w:szCs w:val="21"/>
              </w:rPr>
              <w:t>1</w:t>
            </w:r>
            <w:r>
              <w:rPr>
                <w:rFonts w:ascii="Times New Roman" w:hAnsi="Times New Roman" w:cs="Times New Roman"/>
                <w:sz w:val="21"/>
                <w:szCs w:val="21"/>
              </w:rPr>
              <w:t>5</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619" w:type="pct"/>
            <w:shd w:val="clear" w:color="auto" w:fill="auto"/>
            <w:noWrap/>
            <w:vAlign w:val="center"/>
          </w:tcPr>
          <w:p w14:paraId="13405559"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471.69</w:t>
            </w:r>
          </w:p>
        </w:tc>
        <w:tc>
          <w:tcPr>
            <w:tcW w:w="583" w:type="pct"/>
            <w:shd w:val="clear" w:color="auto" w:fill="auto"/>
            <w:noWrap/>
            <w:vAlign w:val="center"/>
          </w:tcPr>
          <w:p w14:paraId="2616FB25"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670.44</w:t>
            </w:r>
          </w:p>
        </w:tc>
        <w:tc>
          <w:tcPr>
            <w:tcW w:w="583" w:type="pct"/>
            <w:shd w:val="clear" w:color="auto" w:fill="auto"/>
            <w:noWrap/>
            <w:vAlign w:val="center"/>
          </w:tcPr>
          <w:p w14:paraId="5AAD7CA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720.52</w:t>
            </w:r>
          </w:p>
        </w:tc>
        <w:tc>
          <w:tcPr>
            <w:tcW w:w="583" w:type="pct"/>
            <w:shd w:val="clear" w:color="auto" w:fill="auto"/>
            <w:noWrap/>
            <w:vAlign w:val="center"/>
          </w:tcPr>
          <w:p w14:paraId="4C94E89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757.35</w:t>
            </w:r>
          </w:p>
        </w:tc>
        <w:tc>
          <w:tcPr>
            <w:tcW w:w="594" w:type="pct"/>
            <w:shd w:val="clear" w:color="auto" w:fill="auto"/>
            <w:noWrap/>
            <w:vAlign w:val="center"/>
          </w:tcPr>
          <w:p w14:paraId="07AAD5D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803.14</w:t>
            </w:r>
          </w:p>
        </w:tc>
        <w:tc>
          <w:tcPr>
            <w:tcW w:w="584" w:type="pct"/>
            <w:shd w:val="clear" w:color="auto" w:fill="auto"/>
            <w:noWrap/>
            <w:vAlign w:val="center"/>
          </w:tcPr>
          <w:p w14:paraId="3FDAB123"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826.96</w:t>
            </w:r>
          </w:p>
        </w:tc>
        <w:tc>
          <w:tcPr>
            <w:tcW w:w="563" w:type="pct"/>
            <w:shd w:val="clear" w:color="auto" w:fill="auto"/>
            <w:noWrap/>
            <w:vAlign w:val="center"/>
          </w:tcPr>
          <w:p w14:paraId="43CA543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826.96</w:t>
            </w:r>
          </w:p>
        </w:tc>
      </w:tr>
      <w:tr w:rsidR="000A0ACD" w14:paraId="76786817" w14:textId="77777777">
        <w:trPr>
          <w:gridAfter w:val="1"/>
          <w:wAfter w:w="8" w:type="pct"/>
          <w:trHeight w:val="397"/>
        </w:trPr>
        <w:tc>
          <w:tcPr>
            <w:tcW w:w="886" w:type="pct"/>
            <w:gridSpan w:val="2"/>
            <w:shd w:val="clear" w:color="auto" w:fill="auto"/>
            <w:vAlign w:val="center"/>
          </w:tcPr>
          <w:p w14:paraId="062092A0" w14:textId="77777777" w:rsidR="000A0ACD" w:rsidRDefault="00362A99">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四、净利润</w:t>
            </w:r>
          </w:p>
        </w:tc>
        <w:tc>
          <w:tcPr>
            <w:tcW w:w="619" w:type="pct"/>
            <w:shd w:val="clear" w:color="auto" w:fill="auto"/>
            <w:noWrap/>
            <w:vAlign w:val="center"/>
          </w:tcPr>
          <w:p w14:paraId="2AA5C889"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2,519.71</w:t>
            </w:r>
          </w:p>
        </w:tc>
        <w:tc>
          <w:tcPr>
            <w:tcW w:w="583" w:type="pct"/>
            <w:shd w:val="clear" w:color="auto" w:fill="auto"/>
            <w:noWrap/>
            <w:vAlign w:val="center"/>
          </w:tcPr>
          <w:p w14:paraId="350B0364"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3,799.16</w:t>
            </w:r>
          </w:p>
        </w:tc>
        <w:tc>
          <w:tcPr>
            <w:tcW w:w="583" w:type="pct"/>
            <w:shd w:val="clear" w:color="auto" w:fill="auto"/>
            <w:noWrap/>
            <w:vAlign w:val="center"/>
          </w:tcPr>
          <w:p w14:paraId="028DE215"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4,082.97</w:t>
            </w:r>
          </w:p>
        </w:tc>
        <w:tc>
          <w:tcPr>
            <w:tcW w:w="583" w:type="pct"/>
            <w:shd w:val="clear" w:color="auto" w:fill="auto"/>
            <w:noWrap/>
            <w:vAlign w:val="center"/>
          </w:tcPr>
          <w:p w14:paraId="1826EF70"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4,291.68</w:t>
            </w:r>
          </w:p>
        </w:tc>
        <w:tc>
          <w:tcPr>
            <w:tcW w:w="594" w:type="pct"/>
            <w:shd w:val="clear" w:color="auto" w:fill="auto"/>
            <w:noWrap/>
            <w:vAlign w:val="center"/>
          </w:tcPr>
          <w:p w14:paraId="28BC4AD2"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4,551.10</w:t>
            </w:r>
          </w:p>
        </w:tc>
        <w:tc>
          <w:tcPr>
            <w:tcW w:w="584" w:type="pct"/>
            <w:shd w:val="clear" w:color="auto" w:fill="auto"/>
            <w:noWrap/>
            <w:vAlign w:val="center"/>
          </w:tcPr>
          <w:p w14:paraId="5A8F2E6F"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4,686.08</w:t>
            </w:r>
          </w:p>
        </w:tc>
        <w:tc>
          <w:tcPr>
            <w:tcW w:w="563" w:type="pct"/>
            <w:shd w:val="clear" w:color="auto" w:fill="auto"/>
            <w:noWrap/>
            <w:vAlign w:val="center"/>
          </w:tcPr>
          <w:p w14:paraId="41F5317D"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4,686.08</w:t>
            </w:r>
          </w:p>
        </w:tc>
      </w:tr>
    </w:tbl>
    <w:p w14:paraId="043E38D7" w14:textId="77777777" w:rsidR="000A0ACD" w:rsidRDefault="00362A99">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北洋天青预测期营业收入大幅增长的原因主要为家电行业智能化、信息化和自动化需求强烈，未来具有较大的市场空间，标的公司报告期内业绩稳步上升、新签订单规模增加，北洋天青作为少有的家电行业多产品的智能工厂综合方案提供商，客户黏性较高，老客户业务份额占比逐渐扩大。同时北洋天青也在家电行业、食品饮料行业和其他行业积极拓展新客户。</w:t>
      </w:r>
    </w:p>
    <w:p w14:paraId="62173498" w14:textId="77777777" w:rsidR="000A0ACD" w:rsidRDefault="00362A99">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北洋天青未来收入大幅增长具有合理性，符合标的公司经营实际。截至本回复出具日，北洋天青预计</w:t>
      </w:r>
      <w:r>
        <w:rPr>
          <w:rFonts w:ascii="Times New Roman" w:hAnsi="Times New Roman" w:cs="Times New Roman"/>
          <w:color w:val="000000"/>
        </w:rPr>
        <w:t>2021</w:t>
      </w:r>
      <w:r>
        <w:rPr>
          <w:rFonts w:ascii="Times New Roman" w:hAnsi="Times New Roman" w:cs="Times New Roman" w:hint="eastAsia"/>
          <w:color w:val="000000"/>
        </w:rPr>
        <w:t>年可确认在手订单收入规模已达</w:t>
      </w:r>
      <w:r>
        <w:rPr>
          <w:rFonts w:ascii="Times New Roman" w:hAnsi="Times New Roman" w:cs="Times New Roman"/>
          <w:color w:val="000000"/>
        </w:rPr>
        <w:t>3.13</w:t>
      </w:r>
      <w:r>
        <w:rPr>
          <w:rFonts w:ascii="Times New Roman" w:hAnsi="Times New Roman" w:cs="Times New Roman" w:hint="eastAsia"/>
          <w:color w:val="000000"/>
        </w:rPr>
        <w:t>亿元，已超过</w:t>
      </w:r>
      <w:r>
        <w:rPr>
          <w:rFonts w:ascii="Times New Roman" w:hAnsi="Times New Roman" w:cs="Times New Roman"/>
          <w:color w:val="000000"/>
        </w:rPr>
        <w:t>2021</w:t>
      </w:r>
      <w:r>
        <w:rPr>
          <w:rFonts w:ascii="Times New Roman" w:hAnsi="Times New Roman" w:cs="Times New Roman" w:hint="eastAsia"/>
          <w:color w:val="000000"/>
        </w:rPr>
        <w:t>年预测收入规模，标的公司预测收入、净利润和业绩承诺均具有可实现性。</w:t>
      </w:r>
    </w:p>
    <w:p w14:paraId="2F4996AB"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六、补充披露情况</w:t>
      </w:r>
    </w:p>
    <w:p w14:paraId="3525E3BB" w14:textId="77777777" w:rsidR="000A0ACD" w:rsidRDefault="00362A99">
      <w:pPr>
        <w:suppressAutoHyphens/>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rPr>
        <w:t>以上内容已于重组报告书“第六节</w:t>
      </w:r>
      <w:r>
        <w:rPr>
          <w:rFonts w:ascii="Times New Roman" w:hAnsi="Times New Roman" w:cs="Times New Roman"/>
        </w:rPr>
        <w:t xml:space="preserve"> </w:t>
      </w:r>
      <w:r>
        <w:rPr>
          <w:rFonts w:ascii="Times New Roman" w:hAnsi="Times New Roman" w:cs="Times New Roman" w:hint="eastAsia"/>
        </w:rPr>
        <w:t>标的资产评估情况”之“三、收益法评估情况”之“（二）收益预测说明”中补充披露。</w:t>
      </w:r>
    </w:p>
    <w:p w14:paraId="099E4CF6" w14:textId="77777777" w:rsidR="000A0ACD" w:rsidRDefault="00362A99">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）结合前述情况，补充披露标的资产评估增值率较高的原因及合理性。请独立财务顾问和评估师核查并发表明确意见。</w:t>
      </w:r>
    </w:p>
    <w:p w14:paraId="18FB2C8C" w14:textId="77777777" w:rsidR="000A0ACD" w:rsidRDefault="00362A99">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一、评估增值合理性分析</w:t>
      </w:r>
    </w:p>
    <w:p w14:paraId="76E8ACA8" w14:textId="77777777" w:rsidR="000A0ACD" w:rsidRDefault="00362A99">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（一）本次交易标的公司估值情况</w:t>
      </w:r>
    </w:p>
    <w:p w14:paraId="573492E7" w14:textId="77777777" w:rsidR="000A0ACD" w:rsidRDefault="00362A99">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本次采用收益法及市场法对评估对象进行了评估，本次选用收益法结果作为最终评估结论，北洋天青的股东全部权益价值评估结果为</w:t>
      </w:r>
      <w:r>
        <w:rPr>
          <w:rFonts w:ascii="Times New Roman" w:hAnsi="Times New Roman" w:cs="Times New Roman"/>
          <w:color w:val="000000"/>
        </w:rPr>
        <w:t>30,800.00</w:t>
      </w:r>
      <w:r>
        <w:rPr>
          <w:rFonts w:ascii="Times New Roman" w:hAnsi="Times New Roman" w:cs="Times New Roman" w:hint="eastAsia"/>
          <w:color w:val="000000"/>
        </w:rPr>
        <w:t>万元，与评估对象账面价值相对评估增值</w:t>
      </w:r>
      <w:r>
        <w:rPr>
          <w:rFonts w:ascii="Times New Roman" w:hAnsi="Times New Roman" w:cs="Times New Roman"/>
          <w:color w:val="000000"/>
        </w:rPr>
        <w:t>24,444.20</w:t>
      </w:r>
      <w:r>
        <w:rPr>
          <w:rFonts w:ascii="Times New Roman" w:hAnsi="Times New Roman" w:cs="Times New Roman" w:hint="eastAsia"/>
          <w:color w:val="000000"/>
        </w:rPr>
        <w:t>万元，增值率为</w:t>
      </w:r>
      <w:r>
        <w:rPr>
          <w:rFonts w:ascii="Times New Roman" w:hAnsi="Times New Roman" w:cs="Times New Roman"/>
          <w:color w:val="000000"/>
        </w:rPr>
        <w:t>384.60%</w:t>
      </w:r>
      <w:r>
        <w:rPr>
          <w:rFonts w:ascii="Times New Roman" w:hAnsi="Times New Roman" w:cs="Times New Roman" w:hint="eastAsia"/>
          <w:color w:val="000000"/>
        </w:rPr>
        <w:t>。</w:t>
      </w:r>
    </w:p>
    <w:p w14:paraId="16F49B16"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标的公司相对估值水平如下：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817"/>
        <w:gridCol w:w="2705"/>
      </w:tblGrid>
      <w:tr w:rsidR="000A0ACD" w14:paraId="33FB38ED" w14:textId="77777777">
        <w:trPr>
          <w:trHeight w:val="397"/>
          <w:jc w:val="center"/>
        </w:trPr>
        <w:tc>
          <w:tcPr>
            <w:tcW w:w="3413" w:type="pct"/>
            <w:shd w:val="clear" w:color="auto" w:fill="auto"/>
            <w:vAlign w:val="center"/>
          </w:tcPr>
          <w:p w14:paraId="40EE5570" w14:textId="77777777" w:rsidR="000A0ACD" w:rsidRDefault="00362A99">
            <w:pPr>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1587" w:type="pct"/>
            <w:shd w:val="clear" w:color="auto" w:fill="auto"/>
            <w:vAlign w:val="center"/>
          </w:tcPr>
          <w:p w14:paraId="1250773E" w14:textId="77777777" w:rsidR="000A0ACD" w:rsidRDefault="00362A99">
            <w:pPr>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估值结果</w:t>
            </w:r>
          </w:p>
        </w:tc>
      </w:tr>
      <w:tr w:rsidR="000A0ACD" w14:paraId="16510866" w14:textId="77777777">
        <w:trPr>
          <w:trHeight w:val="397"/>
          <w:jc w:val="center"/>
        </w:trPr>
        <w:tc>
          <w:tcPr>
            <w:tcW w:w="3413" w:type="pct"/>
            <w:shd w:val="clear" w:color="auto" w:fill="auto"/>
            <w:vAlign w:val="center"/>
          </w:tcPr>
          <w:p w14:paraId="47C3A6CD" w14:textId="77777777" w:rsidR="000A0ACD" w:rsidRDefault="00362A99">
            <w:pPr>
              <w:jc w:val="center"/>
              <w:outlineLvl w:val="1"/>
              <w:rPr>
                <w:rFonts w:ascii="Times New Roman" w:hAnsi="Times New Roman" w:cs="Times New Roman"/>
                <w:sz w:val="21"/>
                <w:szCs w:val="21"/>
              </w:rPr>
            </w:pPr>
            <w:r>
              <w:rPr>
                <w:rFonts w:ascii="Times New Roman" w:hAnsi="Times New Roman" w:cs="Times New Roman" w:hint="eastAsia"/>
                <w:bCs/>
                <w:sz w:val="21"/>
                <w:szCs w:val="21"/>
              </w:rPr>
              <w:t>评估值（万元）</w:t>
            </w:r>
          </w:p>
        </w:tc>
        <w:tc>
          <w:tcPr>
            <w:tcW w:w="1587" w:type="pct"/>
            <w:shd w:val="clear" w:color="auto" w:fill="auto"/>
            <w:vAlign w:val="center"/>
          </w:tcPr>
          <w:p w14:paraId="37E2E3F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30,800.00</w:t>
            </w:r>
          </w:p>
        </w:tc>
      </w:tr>
      <w:tr w:rsidR="000A0ACD" w14:paraId="7F96D916" w14:textId="77777777">
        <w:trPr>
          <w:trHeight w:val="397"/>
          <w:jc w:val="center"/>
        </w:trPr>
        <w:tc>
          <w:tcPr>
            <w:tcW w:w="3413" w:type="pct"/>
            <w:shd w:val="clear" w:color="auto" w:fill="auto"/>
            <w:vAlign w:val="center"/>
          </w:tcPr>
          <w:p w14:paraId="3DBC0054" w14:textId="77777777" w:rsidR="000A0ACD" w:rsidRDefault="00362A99">
            <w:pPr>
              <w:jc w:val="center"/>
              <w:outlineLvl w:val="1"/>
              <w:rPr>
                <w:rFonts w:ascii="Times New Roman" w:hAnsi="Times New Roman" w:cs="Times New Roman"/>
                <w:sz w:val="21"/>
                <w:szCs w:val="21"/>
              </w:rPr>
            </w:pPr>
            <w:r>
              <w:rPr>
                <w:rFonts w:ascii="Times New Roman" w:hAnsi="Times New Roman" w:cs="Times New Roman" w:hint="eastAsia"/>
                <w:bCs/>
                <w:sz w:val="21"/>
                <w:szCs w:val="21"/>
              </w:rPr>
              <w:t>2020</w:t>
            </w:r>
            <w:r>
              <w:rPr>
                <w:rFonts w:ascii="Times New Roman" w:hAnsi="Times New Roman" w:cs="Times New Roman" w:hint="eastAsia"/>
                <w:bCs/>
                <w:sz w:val="21"/>
                <w:szCs w:val="21"/>
              </w:rPr>
              <w:t>年净利润（万元）（合并口径）</w:t>
            </w:r>
          </w:p>
        </w:tc>
        <w:tc>
          <w:tcPr>
            <w:tcW w:w="1587" w:type="pct"/>
            <w:shd w:val="clear" w:color="auto" w:fill="auto"/>
            <w:vAlign w:val="center"/>
          </w:tcPr>
          <w:p w14:paraId="7065771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2,958.31</w:t>
            </w:r>
          </w:p>
        </w:tc>
      </w:tr>
      <w:tr w:rsidR="000A0ACD" w14:paraId="48C83D12" w14:textId="77777777">
        <w:trPr>
          <w:trHeight w:val="397"/>
          <w:jc w:val="center"/>
        </w:trPr>
        <w:tc>
          <w:tcPr>
            <w:tcW w:w="3413" w:type="pct"/>
            <w:shd w:val="clear" w:color="auto" w:fill="auto"/>
            <w:vAlign w:val="center"/>
          </w:tcPr>
          <w:p w14:paraId="59132D7B" w14:textId="77777777" w:rsidR="000A0ACD" w:rsidRDefault="00362A99">
            <w:pPr>
              <w:jc w:val="center"/>
              <w:outlineLvl w:val="1"/>
              <w:rPr>
                <w:rFonts w:ascii="Times New Roman" w:hAnsi="Times New Roman" w:cs="Times New Roman"/>
                <w:bCs/>
                <w:sz w:val="21"/>
                <w:szCs w:val="21"/>
              </w:rPr>
            </w:pPr>
            <w:r>
              <w:rPr>
                <w:rFonts w:ascii="Times New Roman" w:hAnsi="Times New Roman" w:cs="Times New Roman" w:hint="eastAsia"/>
                <w:bCs/>
                <w:sz w:val="21"/>
                <w:szCs w:val="21"/>
              </w:rPr>
              <w:t>2020</w:t>
            </w:r>
            <w:r>
              <w:rPr>
                <w:rFonts w:ascii="Times New Roman" w:hAnsi="Times New Roman" w:cs="Times New Roman" w:hint="eastAsia"/>
                <w:bCs/>
                <w:sz w:val="21"/>
                <w:szCs w:val="21"/>
              </w:rPr>
              <w:t>年市盈率（倍）</w:t>
            </w:r>
          </w:p>
        </w:tc>
        <w:tc>
          <w:tcPr>
            <w:tcW w:w="1587" w:type="pct"/>
            <w:shd w:val="clear" w:color="auto" w:fill="auto"/>
            <w:vAlign w:val="center"/>
          </w:tcPr>
          <w:p w14:paraId="4FC4B7B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10.41</w:t>
            </w:r>
          </w:p>
        </w:tc>
      </w:tr>
      <w:tr w:rsidR="000A0ACD" w14:paraId="0A921C53" w14:textId="77777777">
        <w:trPr>
          <w:trHeight w:val="397"/>
          <w:jc w:val="center"/>
        </w:trPr>
        <w:tc>
          <w:tcPr>
            <w:tcW w:w="3413" w:type="pct"/>
            <w:shd w:val="clear" w:color="auto" w:fill="auto"/>
            <w:vAlign w:val="center"/>
          </w:tcPr>
          <w:p w14:paraId="44DBBCB9" w14:textId="77777777" w:rsidR="000A0ACD" w:rsidRDefault="00362A99">
            <w:pPr>
              <w:jc w:val="center"/>
              <w:outlineLvl w:val="1"/>
              <w:rPr>
                <w:rFonts w:ascii="Times New Roman" w:hAnsi="Times New Roman" w:cs="Times New Roman"/>
                <w:bCs/>
                <w:sz w:val="21"/>
                <w:szCs w:val="21"/>
              </w:rPr>
            </w:pPr>
            <w:r>
              <w:rPr>
                <w:rFonts w:ascii="Times New Roman" w:hAnsi="Times New Roman" w:cs="Times New Roman" w:hint="eastAsia"/>
                <w:bCs/>
                <w:sz w:val="21"/>
                <w:szCs w:val="21"/>
              </w:rPr>
              <w:t>2019</w:t>
            </w:r>
            <w:r>
              <w:rPr>
                <w:rFonts w:ascii="Times New Roman" w:hAnsi="Times New Roman" w:cs="Times New Roman" w:hint="eastAsia"/>
                <w:bCs/>
                <w:sz w:val="21"/>
                <w:szCs w:val="21"/>
              </w:rPr>
              <w:t>年净利润（万元）（合并口径）</w:t>
            </w:r>
          </w:p>
        </w:tc>
        <w:tc>
          <w:tcPr>
            <w:tcW w:w="1587" w:type="pct"/>
            <w:shd w:val="clear" w:color="auto" w:fill="auto"/>
            <w:vAlign w:val="center"/>
          </w:tcPr>
          <w:p w14:paraId="3CE3CF3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1,347.67</w:t>
            </w:r>
          </w:p>
        </w:tc>
      </w:tr>
      <w:tr w:rsidR="000A0ACD" w14:paraId="1609B8A4" w14:textId="77777777">
        <w:trPr>
          <w:trHeight w:val="397"/>
          <w:jc w:val="center"/>
        </w:trPr>
        <w:tc>
          <w:tcPr>
            <w:tcW w:w="3413" w:type="pct"/>
            <w:shd w:val="clear" w:color="auto" w:fill="auto"/>
            <w:vAlign w:val="center"/>
          </w:tcPr>
          <w:p w14:paraId="2255425E" w14:textId="77777777" w:rsidR="000A0ACD" w:rsidRDefault="00362A99">
            <w:pPr>
              <w:jc w:val="center"/>
              <w:outlineLvl w:val="1"/>
              <w:rPr>
                <w:rFonts w:ascii="Times New Roman" w:hAnsi="Times New Roman" w:cs="Times New Roman"/>
                <w:bCs/>
                <w:sz w:val="21"/>
                <w:szCs w:val="21"/>
              </w:rPr>
            </w:pPr>
            <w:r>
              <w:rPr>
                <w:rFonts w:ascii="Times New Roman" w:hAnsi="Times New Roman" w:cs="Times New Roman" w:hint="eastAsia"/>
                <w:bCs/>
                <w:sz w:val="21"/>
                <w:szCs w:val="21"/>
              </w:rPr>
              <w:t>2019</w:t>
            </w:r>
            <w:r>
              <w:rPr>
                <w:rFonts w:ascii="Times New Roman" w:hAnsi="Times New Roman" w:cs="Times New Roman" w:hint="eastAsia"/>
                <w:bCs/>
                <w:sz w:val="21"/>
                <w:szCs w:val="21"/>
              </w:rPr>
              <w:t>年市盈率（倍）</w:t>
            </w:r>
          </w:p>
        </w:tc>
        <w:tc>
          <w:tcPr>
            <w:tcW w:w="1587" w:type="pct"/>
            <w:shd w:val="clear" w:color="auto" w:fill="auto"/>
            <w:vAlign w:val="center"/>
          </w:tcPr>
          <w:p w14:paraId="3BDFDC0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22.85</w:t>
            </w:r>
          </w:p>
        </w:tc>
      </w:tr>
      <w:tr w:rsidR="000A0ACD" w14:paraId="3E8AA69E" w14:textId="77777777">
        <w:trPr>
          <w:trHeight w:val="397"/>
          <w:jc w:val="center"/>
        </w:trPr>
        <w:tc>
          <w:tcPr>
            <w:tcW w:w="3413" w:type="pct"/>
            <w:shd w:val="clear" w:color="auto" w:fill="auto"/>
            <w:vAlign w:val="center"/>
          </w:tcPr>
          <w:p w14:paraId="0DFD1DDC" w14:textId="77777777" w:rsidR="000A0ACD" w:rsidRDefault="00362A99">
            <w:pPr>
              <w:jc w:val="center"/>
              <w:outlineLvl w:val="1"/>
              <w:rPr>
                <w:rFonts w:ascii="Times New Roman" w:hAnsi="Times New Roman" w:cs="Times New Roman"/>
                <w:bCs/>
                <w:sz w:val="21"/>
                <w:szCs w:val="21"/>
              </w:rPr>
            </w:pPr>
            <w:r>
              <w:rPr>
                <w:rFonts w:ascii="Times New Roman" w:hAnsi="Times New Roman" w:cs="Times New Roman" w:hint="eastAsia"/>
                <w:bCs/>
                <w:sz w:val="21"/>
                <w:szCs w:val="21"/>
              </w:rPr>
              <w:t>增值率（相对评估基准日合并净资产）</w:t>
            </w:r>
          </w:p>
        </w:tc>
        <w:tc>
          <w:tcPr>
            <w:tcW w:w="1587" w:type="pct"/>
            <w:shd w:val="clear" w:color="auto" w:fill="auto"/>
            <w:vAlign w:val="center"/>
          </w:tcPr>
          <w:p w14:paraId="426F2FD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384.60%</w:t>
            </w:r>
          </w:p>
        </w:tc>
      </w:tr>
    </w:tbl>
    <w:p w14:paraId="6826C3A1"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注：市盈率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估值</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年度净利润。</w:t>
      </w:r>
    </w:p>
    <w:p w14:paraId="322BD53A" w14:textId="77777777" w:rsidR="000A0ACD" w:rsidRDefault="00362A99">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（二）可比上市公司的估值情况</w:t>
      </w:r>
    </w:p>
    <w:p w14:paraId="569FCE76" w14:textId="79231AE8" w:rsidR="000A0ACD" w:rsidRDefault="00362A99">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本次交易标的公司的主营业务为定制化集成业务和机器人</w:t>
      </w:r>
      <w:r w:rsidR="0037747A">
        <w:rPr>
          <w:rFonts w:ascii="Times New Roman" w:hAnsi="Times New Roman" w:cs="Times New Roman" w:hint="eastAsia"/>
          <w:color w:val="000000"/>
        </w:rPr>
        <w:t>及</w:t>
      </w:r>
      <w:r>
        <w:rPr>
          <w:rFonts w:ascii="Times New Roman" w:hAnsi="Times New Roman" w:cs="Times New Roman" w:hint="eastAsia"/>
          <w:color w:val="000000"/>
        </w:rPr>
        <w:t>配套业务，按细分行业难以找到主营业务与北洋天青完全一致的可比上市公司。根据标的公司所处行业、主营业务和主要产品情况，选取有相似业务的可比上市公司如下：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69"/>
        <w:gridCol w:w="5457"/>
        <w:gridCol w:w="1396"/>
      </w:tblGrid>
      <w:tr w:rsidR="000A0ACD" w14:paraId="4D8406E8" w14:textId="77777777">
        <w:trPr>
          <w:trHeight w:val="397"/>
          <w:tblHeader/>
          <w:jc w:val="center"/>
        </w:trPr>
        <w:tc>
          <w:tcPr>
            <w:tcW w:w="979" w:type="pct"/>
            <w:shd w:val="clear" w:color="auto" w:fill="auto"/>
            <w:vAlign w:val="center"/>
          </w:tcPr>
          <w:p w14:paraId="4BC06E24" w14:textId="77777777" w:rsidR="000A0ACD" w:rsidRDefault="00362A99">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可比上市公司</w:t>
            </w:r>
          </w:p>
        </w:tc>
        <w:tc>
          <w:tcPr>
            <w:tcW w:w="3202" w:type="pct"/>
            <w:shd w:val="clear" w:color="auto" w:fill="auto"/>
            <w:vAlign w:val="center"/>
          </w:tcPr>
          <w:p w14:paraId="304E3CC9" w14:textId="77777777" w:rsidR="000A0ACD" w:rsidRDefault="00362A99">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主营业务</w:t>
            </w:r>
          </w:p>
        </w:tc>
        <w:tc>
          <w:tcPr>
            <w:tcW w:w="819" w:type="pct"/>
            <w:shd w:val="clear" w:color="auto" w:fill="auto"/>
            <w:vAlign w:val="center"/>
          </w:tcPr>
          <w:p w14:paraId="447EBF77" w14:textId="77777777" w:rsidR="000A0ACD" w:rsidRDefault="00362A99">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年末市盈率（倍）</w:t>
            </w:r>
          </w:p>
        </w:tc>
      </w:tr>
      <w:tr w:rsidR="000A0ACD" w14:paraId="2C0EF36A" w14:textId="77777777">
        <w:trPr>
          <w:trHeight w:val="397"/>
          <w:jc w:val="center"/>
        </w:trPr>
        <w:tc>
          <w:tcPr>
            <w:tcW w:w="979" w:type="pct"/>
            <w:shd w:val="clear" w:color="auto" w:fill="auto"/>
            <w:vAlign w:val="center"/>
          </w:tcPr>
          <w:p w14:paraId="5D09C17B" w14:textId="77777777" w:rsidR="000A0ACD" w:rsidRDefault="00362A99">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快克股份（</w:t>
            </w:r>
            <w:r>
              <w:rPr>
                <w:rFonts w:ascii="Times New Roman" w:hAnsi="Times New Roman" w:cs="Times New Roman" w:hint="eastAsia"/>
                <w:sz w:val="21"/>
                <w:szCs w:val="21"/>
              </w:rPr>
              <w:t>603203.SH</w:t>
            </w:r>
            <w:r>
              <w:rPr>
                <w:rFonts w:ascii="Times New Roman" w:hAnsi="Times New Roman" w:cs="Times New Roman" w:hint="eastAsia"/>
                <w:sz w:val="21"/>
                <w:szCs w:val="21"/>
              </w:rPr>
              <w:t>）</w:t>
            </w:r>
          </w:p>
        </w:tc>
        <w:tc>
          <w:tcPr>
            <w:tcW w:w="3202" w:type="pct"/>
            <w:shd w:val="clear" w:color="auto" w:fill="auto"/>
            <w:vAlign w:val="center"/>
          </w:tcPr>
          <w:p w14:paraId="5A50654C" w14:textId="77777777" w:rsidR="000A0ACD" w:rsidRDefault="00362A99">
            <w:pPr>
              <w:adjustRightInd w:val="0"/>
              <w:snapToGrid w:val="0"/>
              <w:ind w:right="210"/>
              <w:rPr>
                <w:rFonts w:ascii="Times New Roman" w:hAnsi="Times New Roman" w:cs="Times New Roman"/>
                <w:sz w:val="21"/>
                <w:szCs w:val="21"/>
              </w:rPr>
            </w:pPr>
            <w:r>
              <w:rPr>
                <w:rFonts w:ascii="Times New Roman" w:hAnsi="Times New Roman" w:cs="Times New Roman" w:hint="eastAsia"/>
                <w:bCs/>
                <w:sz w:val="21"/>
                <w:szCs w:val="21"/>
                <w:lang w:val="en-GB"/>
              </w:rPr>
              <w:t>锡焊技术为核心的电子装联专用设备的研发、生产和销售。提供的产品和服务包括锡焊工具和机器人、装联作业的关联性设备以及柔性自动化生产线</w:t>
            </w:r>
          </w:p>
        </w:tc>
        <w:tc>
          <w:tcPr>
            <w:tcW w:w="819" w:type="pct"/>
            <w:shd w:val="clear" w:color="auto" w:fill="auto"/>
            <w:vAlign w:val="center"/>
          </w:tcPr>
          <w:p w14:paraId="594AF7BD"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25.09</w:t>
            </w:r>
          </w:p>
        </w:tc>
      </w:tr>
      <w:tr w:rsidR="000A0ACD" w14:paraId="658991DE" w14:textId="77777777">
        <w:trPr>
          <w:trHeight w:val="397"/>
          <w:jc w:val="center"/>
        </w:trPr>
        <w:tc>
          <w:tcPr>
            <w:tcW w:w="979" w:type="pct"/>
            <w:shd w:val="clear" w:color="auto" w:fill="auto"/>
            <w:vAlign w:val="center"/>
          </w:tcPr>
          <w:p w14:paraId="549CF69C" w14:textId="77777777" w:rsidR="000A0ACD" w:rsidRDefault="00362A99">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拓斯达（</w:t>
            </w:r>
            <w:r>
              <w:rPr>
                <w:rFonts w:ascii="Times New Roman" w:hAnsi="Times New Roman" w:cs="Times New Roman" w:hint="eastAsia"/>
                <w:sz w:val="21"/>
                <w:szCs w:val="21"/>
              </w:rPr>
              <w:t>300607.SZ</w:t>
            </w:r>
            <w:r>
              <w:rPr>
                <w:rFonts w:ascii="Times New Roman" w:hAnsi="Times New Roman" w:cs="Times New Roman" w:hint="eastAsia"/>
                <w:sz w:val="21"/>
                <w:szCs w:val="21"/>
              </w:rPr>
              <w:t>）</w:t>
            </w:r>
          </w:p>
        </w:tc>
        <w:tc>
          <w:tcPr>
            <w:tcW w:w="3202" w:type="pct"/>
            <w:shd w:val="clear" w:color="auto" w:fill="auto"/>
            <w:vAlign w:val="center"/>
          </w:tcPr>
          <w:p w14:paraId="24AD94FE"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工业机器人及自动化应用系统，注塑机、配套设备及自动供料系统，智能能源及环境管理系统</w:t>
            </w:r>
          </w:p>
        </w:tc>
        <w:tc>
          <w:tcPr>
            <w:tcW w:w="819" w:type="pct"/>
            <w:shd w:val="clear" w:color="auto" w:fill="auto"/>
            <w:vAlign w:val="center"/>
          </w:tcPr>
          <w:p w14:paraId="3239915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37.90</w:t>
            </w:r>
          </w:p>
        </w:tc>
      </w:tr>
      <w:tr w:rsidR="000A0ACD" w14:paraId="53F115C7" w14:textId="77777777">
        <w:trPr>
          <w:trHeight w:val="397"/>
          <w:jc w:val="center"/>
        </w:trPr>
        <w:tc>
          <w:tcPr>
            <w:tcW w:w="979" w:type="pct"/>
            <w:shd w:val="clear" w:color="auto" w:fill="auto"/>
            <w:vAlign w:val="center"/>
          </w:tcPr>
          <w:p w14:paraId="69ADD4A0" w14:textId="77777777" w:rsidR="000A0ACD" w:rsidRDefault="00362A99">
            <w:pPr>
              <w:adjustRightInd w:val="0"/>
              <w:snapToGrid w:val="0"/>
              <w:jc w:val="center"/>
              <w:outlineLvl w:val="1"/>
              <w:rPr>
                <w:rFonts w:ascii="Times New Roman" w:hAnsi="Times New Roman" w:cs="Times New Roman"/>
                <w:bCs/>
                <w:sz w:val="21"/>
                <w:szCs w:val="21"/>
              </w:rPr>
            </w:pPr>
            <w:r>
              <w:rPr>
                <w:rFonts w:ascii="Times New Roman" w:hAnsi="Times New Roman" w:cs="Times New Roman" w:hint="eastAsia"/>
                <w:bCs/>
                <w:sz w:val="21"/>
                <w:szCs w:val="21"/>
              </w:rPr>
              <w:t>永创智能（</w:t>
            </w:r>
            <w:r>
              <w:rPr>
                <w:rFonts w:ascii="Times New Roman" w:hAnsi="Times New Roman" w:cs="Times New Roman" w:hint="eastAsia"/>
                <w:bCs/>
                <w:sz w:val="21"/>
                <w:szCs w:val="21"/>
              </w:rPr>
              <w:t>603901.SH</w:t>
            </w:r>
            <w:r>
              <w:rPr>
                <w:rFonts w:ascii="Times New Roman" w:hAnsi="Times New Roman" w:cs="Times New Roman" w:hint="eastAsia"/>
                <w:bCs/>
                <w:sz w:val="21"/>
                <w:szCs w:val="21"/>
              </w:rPr>
              <w:t>）</w:t>
            </w:r>
          </w:p>
        </w:tc>
        <w:tc>
          <w:tcPr>
            <w:tcW w:w="3202" w:type="pct"/>
            <w:shd w:val="clear" w:color="auto" w:fill="auto"/>
          </w:tcPr>
          <w:p w14:paraId="4CC2FC4E"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国内大型整套包装生产线解决方案提供商，为客户提供离散</w:t>
            </w:r>
            <w:r>
              <w:rPr>
                <w:rFonts w:ascii="Times New Roman" w:hAnsi="Times New Roman" w:cs="Times New Roman" w:hint="eastAsia"/>
                <w:sz w:val="21"/>
                <w:szCs w:val="21"/>
              </w:rPr>
              <w:t>/</w:t>
            </w:r>
            <w:r>
              <w:rPr>
                <w:rFonts w:ascii="Times New Roman" w:hAnsi="Times New Roman" w:cs="Times New Roman" w:hint="eastAsia"/>
                <w:sz w:val="21"/>
                <w:szCs w:val="21"/>
              </w:rPr>
              <w:t>混合型智能包装系统</w:t>
            </w:r>
          </w:p>
        </w:tc>
        <w:tc>
          <w:tcPr>
            <w:tcW w:w="819" w:type="pct"/>
            <w:shd w:val="clear" w:color="auto" w:fill="auto"/>
            <w:vAlign w:val="center"/>
          </w:tcPr>
          <w:p w14:paraId="6F5611AD"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47.44</w:t>
            </w:r>
          </w:p>
        </w:tc>
      </w:tr>
      <w:tr w:rsidR="000A0ACD" w14:paraId="368E7AAF" w14:textId="77777777">
        <w:trPr>
          <w:trHeight w:val="397"/>
          <w:jc w:val="center"/>
        </w:trPr>
        <w:tc>
          <w:tcPr>
            <w:tcW w:w="979" w:type="pct"/>
            <w:shd w:val="clear" w:color="auto" w:fill="auto"/>
            <w:vAlign w:val="center"/>
          </w:tcPr>
          <w:p w14:paraId="62DD5DEA" w14:textId="77777777" w:rsidR="000A0ACD" w:rsidRDefault="00362A99">
            <w:pPr>
              <w:adjustRightInd w:val="0"/>
              <w:snapToGrid w:val="0"/>
              <w:jc w:val="center"/>
              <w:outlineLvl w:val="1"/>
              <w:rPr>
                <w:rFonts w:ascii="Times New Roman" w:hAnsi="Times New Roman" w:cs="Times New Roman"/>
                <w:bCs/>
                <w:sz w:val="21"/>
                <w:szCs w:val="21"/>
              </w:rPr>
            </w:pPr>
            <w:r>
              <w:rPr>
                <w:rFonts w:ascii="Times New Roman" w:hAnsi="Times New Roman" w:cs="Times New Roman" w:hint="eastAsia"/>
                <w:sz w:val="21"/>
                <w:szCs w:val="21"/>
              </w:rPr>
              <w:t>埃斯顿（</w:t>
            </w:r>
            <w:r>
              <w:rPr>
                <w:rFonts w:ascii="Times New Roman" w:hAnsi="Times New Roman" w:cs="Times New Roman" w:hint="eastAsia"/>
                <w:sz w:val="21"/>
                <w:szCs w:val="21"/>
              </w:rPr>
              <w:t>002747.SZ</w:t>
            </w:r>
            <w:r>
              <w:rPr>
                <w:rFonts w:ascii="Times New Roman" w:hAnsi="Times New Roman" w:cs="Times New Roman" w:hint="eastAsia"/>
                <w:sz w:val="21"/>
                <w:szCs w:val="21"/>
              </w:rPr>
              <w:t>）</w:t>
            </w:r>
          </w:p>
        </w:tc>
        <w:tc>
          <w:tcPr>
            <w:tcW w:w="3202" w:type="pct"/>
            <w:shd w:val="clear" w:color="auto" w:fill="auto"/>
            <w:vAlign w:val="center"/>
          </w:tcPr>
          <w:p w14:paraId="6168C60D"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公司业务主要分为两个核心业务模块：一是自动化核心部件及运动控制系统，二是工业机器人及智能制造系统</w:t>
            </w:r>
          </w:p>
        </w:tc>
        <w:tc>
          <w:tcPr>
            <w:tcW w:w="819" w:type="pct"/>
            <w:shd w:val="clear" w:color="auto" w:fill="auto"/>
            <w:vAlign w:val="center"/>
          </w:tcPr>
          <w:p w14:paraId="0B82DE15"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92.87</w:t>
            </w:r>
          </w:p>
        </w:tc>
      </w:tr>
      <w:tr w:rsidR="000A0ACD" w14:paraId="719C4DF8" w14:textId="77777777">
        <w:trPr>
          <w:trHeight w:val="397"/>
          <w:jc w:val="center"/>
        </w:trPr>
        <w:tc>
          <w:tcPr>
            <w:tcW w:w="979" w:type="pct"/>
            <w:shd w:val="clear" w:color="auto" w:fill="auto"/>
            <w:vAlign w:val="center"/>
          </w:tcPr>
          <w:p w14:paraId="1305681D" w14:textId="77777777" w:rsidR="000A0ACD" w:rsidRDefault="00362A99">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机器人（</w:t>
            </w:r>
            <w:r>
              <w:rPr>
                <w:rFonts w:ascii="Times New Roman" w:hAnsi="Times New Roman" w:cs="Times New Roman" w:hint="eastAsia"/>
                <w:sz w:val="21"/>
                <w:szCs w:val="21"/>
              </w:rPr>
              <w:t>300024.SZ</w:t>
            </w:r>
            <w:r>
              <w:rPr>
                <w:rFonts w:ascii="Times New Roman" w:hAnsi="Times New Roman" w:cs="Times New Roman" w:hint="eastAsia"/>
                <w:sz w:val="21"/>
                <w:szCs w:val="21"/>
              </w:rPr>
              <w:t>）</w:t>
            </w:r>
          </w:p>
        </w:tc>
        <w:tc>
          <w:tcPr>
            <w:tcW w:w="3202" w:type="pct"/>
            <w:shd w:val="clear" w:color="auto" w:fill="auto"/>
            <w:vAlign w:val="center"/>
          </w:tcPr>
          <w:p w14:paraId="5177E086" w14:textId="77777777" w:rsidR="000A0ACD" w:rsidRDefault="00362A99">
            <w:pPr>
              <w:adjustRightInd w:val="0"/>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以自主核心技术、关键零部件、领先产品及行业系统解决方案为一体的完整产业链，并将产业战略提升到涵盖产品全生命周期的数字化、智能化制造全过程</w:t>
            </w:r>
          </w:p>
        </w:tc>
        <w:tc>
          <w:tcPr>
            <w:tcW w:w="819" w:type="pct"/>
            <w:shd w:val="clear" w:color="auto" w:fill="auto"/>
            <w:vAlign w:val="center"/>
          </w:tcPr>
          <w:p w14:paraId="7EED5329"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48.61</w:t>
            </w:r>
          </w:p>
        </w:tc>
      </w:tr>
      <w:tr w:rsidR="000A0ACD" w14:paraId="60BFF507" w14:textId="77777777">
        <w:trPr>
          <w:trHeight w:val="397"/>
          <w:jc w:val="center"/>
        </w:trPr>
        <w:tc>
          <w:tcPr>
            <w:tcW w:w="4181" w:type="pct"/>
            <w:gridSpan w:val="2"/>
            <w:shd w:val="clear" w:color="auto" w:fill="auto"/>
            <w:vAlign w:val="center"/>
          </w:tcPr>
          <w:p w14:paraId="14680986" w14:textId="77777777" w:rsidR="000A0ACD" w:rsidRDefault="00362A99">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平均值</w:t>
            </w:r>
          </w:p>
        </w:tc>
        <w:tc>
          <w:tcPr>
            <w:tcW w:w="819" w:type="pct"/>
            <w:shd w:val="clear" w:color="auto" w:fill="auto"/>
            <w:vAlign w:val="center"/>
          </w:tcPr>
          <w:p w14:paraId="764218D7" w14:textId="77777777" w:rsidR="000A0ACD" w:rsidRDefault="00362A99">
            <w:pPr>
              <w:adjustRightInd w:val="0"/>
              <w:snapToGrid w:val="0"/>
              <w:jc w:val="right"/>
              <w:rPr>
                <w:rFonts w:ascii="Times New Roman" w:hAnsi="Times New Roman" w:cs="Times New Roman"/>
                <w:b/>
                <w:sz w:val="21"/>
                <w:szCs w:val="21"/>
              </w:rPr>
            </w:pPr>
            <w:r>
              <w:rPr>
                <w:rFonts w:ascii="Times New Roman" w:hAnsi="Times New Roman" w:cs="Times New Roman"/>
                <w:b/>
                <w:sz w:val="21"/>
                <w:szCs w:val="21"/>
              </w:rPr>
              <w:t>50.38</w:t>
            </w:r>
          </w:p>
        </w:tc>
      </w:tr>
      <w:tr w:rsidR="000A0ACD" w14:paraId="1844E8ED" w14:textId="77777777">
        <w:trPr>
          <w:trHeight w:val="397"/>
          <w:jc w:val="center"/>
        </w:trPr>
        <w:tc>
          <w:tcPr>
            <w:tcW w:w="979" w:type="pct"/>
            <w:shd w:val="clear" w:color="auto" w:fill="auto"/>
            <w:vAlign w:val="center"/>
          </w:tcPr>
          <w:p w14:paraId="3F27F060" w14:textId="77777777" w:rsidR="000A0ACD" w:rsidRDefault="00362A99">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北洋天青</w:t>
            </w:r>
          </w:p>
        </w:tc>
        <w:tc>
          <w:tcPr>
            <w:tcW w:w="3202" w:type="pct"/>
            <w:shd w:val="clear" w:color="auto" w:fill="auto"/>
            <w:vAlign w:val="center"/>
          </w:tcPr>
          <w:p w14:paraId="7A3D5CC0" w14:textId="77777777" w:rsidR="000A0ACD" w:rsidRDefault="00362A99">
            <w:pPr>
              <w:adjustRightInd w:val="0"/>
              <w:snapToGrid w:val="0"/>
              <w:rPr>
                <w:rFonts w:ascii="Times New Roman" w:hAnsi="Times New Roman" w:cs="Times New Roman"/>
                <w:b/>
                <w:sz w:val="21"/>
                <w:szCs w:val="21"/>
              </w:rPr>
            </w:pPr>
            <w:r>
              <w:rPr>
                <w:rFonts w:ascii="Times New Roman" w:hAnsi="Times New Roman" w:cs="Times New Roman" w:hint="eastAsia"/>
                <w:b/>
                <w:sz w:val="21"/>
                <w:szCs w:val="21"/>
              </w:rPr>
              <w:t>家电行业生产线的智能化建设、升级、改造整体解决方案</w:t>
            </w:r>
          </w:p>
        </w:tc>
        <w:tc>
          <w:tcPr>
            <w:tcW w:w="819" w:type="pct"/>
            <w:shd w:val="clear" w:color="auto" w:fill="auto"/>
            <w:vAlign w:val="center"/>
          </w:tcPr>
          <w:p w14:paraId="1F1C35B3"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22.85</w:t>
            </w:r>
          </w:p>
        </w:tc>
      </w:tr>
    </w:tbl>
    <w:p w14:paraId="26A877DC"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280AE966"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与标的公司业务相近的可比上市公司</w:t>
      </w:r>
      <w:r>
        <w:rPr>
          <w:rFonts w:ascii="Times New Roman" w:hAnsi="Times New Roman" w:cs="Times New Roman"/>
        </w:rPr>
        <w:t>2019</w:t>
      </w:r>
      <w:r>
        <w:rPr>
          <w:rFonts w:ascii="Times New Roman" w:hAnsi="Times New Roman" w:cs="Times New Roman" w:hint="eastAsia"/>
        </w:rPr>
        <w:t>年末市盈率最高为</w:t>
      </w:r>
      <w:r>
        <w:rPr>
          <w:rFonts w:ascii="Times New Roman" w:hAnsi="Times New Roman" w:cs="Times New Roman"/>
        </w:rPr>
        <w:t>92.87</w:t>
      </w:r>
      <w:r>
        <w:rPr>
          <w:rFonts w:ascii="Times New Roman" w:hAnsi="Times New Roman" w:cs="Times New Roman" w:hint="eastAsia"/>
        </w:rPr>
        <w:t>倍，最低为</w:t>
      </w:r>
      <w:r>
        <w:rPr>
          <w:rFonts w:ascii="Times New Roman" w:hAnsi="Times New Roman" w:cs="Times New Roman"/>
        </w:rPr>
        <w:t>25.09</w:t>
      </w:r>
      <w:r>
        <w:rPr>
          <w:rFonts w:ascii="Times New Roman" w:hAnsi="Times New Roman" w:cs="Times New Roman" w:hint="eastAsia"/>
        </w:rPr>
        <w:t>倍，平均为</w:t>
      </w:r>
      <w:r>
        <w:rPr>
          <w:rFonts w:ascii="Times New Roman" w:hAnsi="Times New Roman" w:cs="Times New Roman"/>
        </w:rPr>
        <w:t>50.38</w:t>
      </w:r>
      <w:r>
        <w:rPr>
          <w:rFonts w:ascii="Times New Roman" w:hAnsi="Times New Roman" w:cs="Times New Roman" w:hint="eastAsia"/>
        </w:rPr>
        <w:t>倍。由于标的公司股权流动性较差，</w:t>
      </w:r>
      <w:r>
        <w:rPr>
          <w:rFonts w:ascii="Times New Roman" w:hAnsi="Times New Roman" w:cs="Times New Roman"/>
        </w:rPr>
        <w:t>100%</w:t>
      </w:r>
      <w:r>
        <w:rPr>
          <w:rFonts w:ascii="Times New Roman" w:hAnsi="Times New Roman" w:cs="Times New Roman" w:hint="eastAsia"/>
        </w:rPr>
        <w:t>股权评估值市盈率低于可比上市公司。</w:t>
      </w:r>
    </w:p>
    <w:p w14:paraId="45A8A38E" w14:textId="77777777" w:rsidR="000A0ACD" w:rsidRDefault="00362A99">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（三）可比交易案例的估值情况</w:t>
      </w:r>
    </w:p>
    <w:p w14:paraId="71974C95" w14:textId="52CC2181" w:rsidR="000A0ACD" w:rsidRDefault="00362A99">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本次交易标的公司的主营业务为定制化集成业务和机器人</w:t>
      </w:r>
      <w:r w:rsidR="0037747A">
        <w:rPr>
          <w:rFonts w:ascii="Times New Roman" w:hAnsi="Times New Roman" w:cs="Times New Roman" w:hint="eastAsia"/>
          <w:color w:val="000000"/>
        </w:rPr>
        <w:t>及</w:t>
      </w:r>
      <w:r>
        <w:rPr>
          <w:rFonts w:ascii="Times New Roman" w:hAnsi="Times New Roman" w:cs="Times New Roman" w:hint="eastAsia"/>
          <w:color w:val="000000"/>
        </w:rPr>
        <w:t>配套业务，根据细分行业难以找到主营业务与北洋天青完全一致的可比交易案例，根据标的公司所处行业、主营业务和主要产品情况，选取的近年相似业务的可比交易如下：</w:t>
      </w:r>
    </w:p>
    <w:tbl>
      <w:tblPr>
        <w:tblW w:w="4933"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84"/>
        <w:gridCol w:w="1532"/>
        <w:gridCol w:w="3839"/>
        <w:gridCol w:w="849"/>
        <w:gridCol w:w="1004"/>
      </w:tblGrid>
      <w:tr w:rsidR="000A0ACD" w14:paraId="1145A27D" w14:textId="77777777">
        <w:trPr>
          <w:trHeight w:val="397"/>
          <w:tblHeader/>
          <w:jc w:val="center"/>
        </w:trPr>
        <w:tc>
          <w:tcPr>
            <w:tcW w:w="704" w:type="pct"/>
            <w:shd w:val="clear" w:color="auto" w:fill="auto"/>
            <w:vAlign w:val="center"/>
          </w:tcPr>
          <w:p w14:paraId="5461F3B4"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上市公司</w:t>
            </w:r>
          </w:p>
        </w:tc>
        <w:tc>
          <w:tcPr>
            <w:tcW w:w="911" w:type="pct"/>
            <w:shd w:val="clear" w:color="auto" w:fill="auto"/>
            <w:vAlign w:val="center"/>
          </w:tcPr>
          <w:p w14:paraId="4CCF18BB"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标的资产</w:t>
            </w:r>
          </w:p>
        </w:tc>
        <w:tc>
          <w:tcPr>
            <w:tcW w:w="2281" w:type="pct"/>
            <w:vAlign w:val="center"/>
          </w:tcPr>
          <w:p w14:paraId="3FF49DB1"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标的公司的主营业务</w:t>
            </w:r>
          </w:p>
        </w:tc>
        <w:tc>
          <w:tcPr>
            <w:tcW w:w="504" w:type="pct"/>
            <w:shd w:val="clear" w:color="auto" w:fill="auto"/>
            <w:vAlign w:val="center"/>
          </w:tcPr>
          <w:p w14:paraId="26526E63"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市盈率（倍）</w:t>
            </w:r>
          </w:p>
        </w:tc>
        <w:tc>
          <w:tcPr>
            <w:tcW w:w="597" w:type="pct"/>
            <w:shd w:val="clear" w:color="auto" w:fill="auto"/>
            <w:vAlign w:val="center"/>
          </w:tcPr>
          <w:p w14:paraId="436192B3"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评估增值率</w:t>
            </w:r>
          </w:p>
        </w:tc>
      </w:tr>
      <w:tr w:rsidR="000A0ACD" w14:paraId="238019EA" w14:textId="77777777">
        <w:trPr>
          <w:trHeight w:val="397"/>
          <w:jc w:val="center"/>
        </w:trPr>
        <w:tc>
          <w:tcPr>
            <w:tcW w:w="704" w:type="pct"/>
            <w:shd w:val="clear" w:color="auto" w:fill="auto"/>
            <w:vAlign w:val="center"/>
          </w:tcPr>
          <w:p w14:paraId="3777577F"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拓斯达</w:t>
            </w:r>
          </w:p>
        </w:tc>
        <w:tc>
          <w:tcPr>
            <w:tcW w:w="911" w:type="pct"/>
            <w:shd w:val="clear" w:color="auto" w:fill="auto"/>
            <w:vAlign w:val="center"/>
          </w:tcPr>
          <w:p w14:paraId="786484E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东莞市野田智能装备有限公司</w:t>
            </w:r>
          </w:p>
        </w:tc>
        <w:tc>
          <w:tcPr>
            <w:tcW w:w="2281" w:type="pct"/>
            <w:vAlign w:val="center"/>
          </w:tcPr>
          <w:p w14:paraId="434C06C9"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研发、制造、销售：工业机器人、无人化车间设计，解决方案系统、智能焊接设备、智能自动化生产线、</w:t>
            </w:r>
          </w:p>
        </w:tc>
        <w:tc>
          <w:tcPr>
            <w:tcW w:w="504" w:type="pct"/>
            <w:shd w:val="clear" w:color="auto" w:fill="auto"/>
            <w:vAlign w:val="center"/>
          </w:tcPr>
          <w:p w14:paraId="56AD179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27.02</w:t>
            </w:r>
          </w:p>
        </w:tc>
        <w:tc>
          <w:tcPr>
            <w:tcW w:w="597" w:type="pct"/>
            <w:shd w:val="clear" w:color="auto" w:fill="auto"/>
            <w:vAlign w:val="center"/>
          </w:tcPr>
          <w:p w14:paraId="496E31F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977.83%</w:t>
            </w:r>
          </w:p>
        </w:tc>
      </w:tr>
      <w:tr w:rsidR="000A0ACD" w14:paraId="462EB607" w14:textId="77777777">
        <w:trPr>
          <w:trHeight w:val="397"/>
          <w:jc w:val="center"/>
        </w:trPr>
        <w:tc>
          <w:tcPr>
            <w:tcW w:w="704" w:type="pct"/>
            <w:shd w:val="clear" w:color="auto" w:fill="auto"/>
            <w:vAlign w:val="center"/>
          </w:tcPr>
          <w:p w14:paraId="046EF489"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德新交运</w:t>
            </w:r>
          </w:p>
        </w:tc>
        <w:tc>
          <w:tcPr>
            <w:tcW w:w="911" w:type="pct"/>
            <w:shd w:val="clear" w:color="auto" w:fill="auto"/>
            <w:vAlign w:val="center"/>
          </w:tcPr>
          <w:p w14:paraId="2FA7ED09"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东莞致宏精密模具有限公司</w:t>
            </w:r>
          </w:p>
        </w:tc>
        <w:tc>
          <w:tcPr>
            <w:tcW w:w="2281" w:type="pct"/>
            <w:vAlign w:val="center"/>
          </w:tcPr>
          <w:p w14:paraId="583D2DC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产销：高精密锂电池自动裁切模具、精密工具装夹具、治具、工业机器人、新能源材料生产的辅助设备；非标自动化设备及零部件的研发、生产及销售</w:t>
            </w:r>
          </w:p>
        </w:tc>
        <w:tc>
          <w:tcPr>
            <w:tcW w:w="504" w:type="pct"/>
            <w:shd w:val="clear" w:color="auto" w:fill="auto"/>
            <w:vAlign w:val="center"/>
          </w:tcPr>
          <w:p w14:paraId="3E11743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13.97</w:t>
            </w:r>
          </w:p>
        </w:tc>
        <w:tc>
          <w:tcPr>
            <w:tcW w:w="597" w:type="pct"/>
            <w:shd w:val="clear" w:color="auto" w:fill="auto"/>
            <w:vAlign w:val="center"/>
          </w:tcPr>
          <w:p w14:paraId="3EA4752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661.50%</w:t>
            </w:r>
          </w:p>
        </w:tc>
      </w:tr>
      <w:tr w:rsidR="000A0ACD" w14:paraId="04B6A1CF" w14:textId="77777777">
        <w:trPr>
          <w:trHeight w:val="397"/>
          <w:jc w:val="center"/>
        </w:trPr>
        <w:tc>
          <w:tcPr>
            <w:tcW w:w="704" w:type="pct"/>
            <w:shd w:val="clear" w:color="auto" w:fill="auto"/>
            <w:vAlign w:val="center"/>
          </w:tcPr>
          <w:p w14:paraId="0909FD1E"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东土科技</w:t>
            </w:r>
          </w:p>
        </w:tc>
        <w:tc>
          <w:tcPr>
            <w:tcW w:w="911" w:type="pct"/>
            <w:shd w:val="clear" w:color="auto" w:fill="auto"/>
            <w:vAlign w:val="center"/>
          </w:tcPr>
          <w:p w14:paraId="5F4021D1"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北京佰能电气技术有限公司</w:t>
            </w:r>
          </w:p>
        </w:tc>
        <w:tc>
          <w:tcPr>
            <w:tcW w:w="2281" w:type="pct"/>
            <w:vAlign w:val="center"/>
          </w:tcPr>
          <w:p w14:paraId="3A5E386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冶金工业领域的电气自动化控制技术和设备的开发和应用，为客户提供包含硬件设备和软件产品的整体电气自动化控制系统解决方案</w:t>
            </w:r>
          </w:p>
        </w:tc>
        <w:tc>
          <w:tcPr>
            <w:tcW w:w="504" w:type="pct"/>
            <w:shd w:val="clear" w:color="auto" w:fill="auto"/>
            <w:vAlign w:val="center"/>
          </w:tcPr>
          <w:p w14:paraId="4BA77DD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19.89</w:t>
            </w:r>
          </w:p>
        </w:tc>
        <w:tc>
          <w:tcPr>
            <w:tcW w:w="597" w:type="pct"/>
            <w:shd w:val="clear" w:color="auto" w:fill="auto"/>
            <w:vAlign w:val="center"/>
          </w:tcPr>
          <w:p w14:paraId="7393B5E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236.26%</w:t>
            </w:r>
          </w:p>
        </w:tc>
      </w:tr>
      <w:tr w:rsidR="000A0ACD" w14:paraId="1C90CEA6" w14:textId="77777777">
        <w:trPr>
          <w:trHeight w:val="397"/>
          <w:jc w:val="center"/>
        </w:trPr>
        <w:tc>
          <w:tcPr>
            <w:tcW w:w="704" w:type="pct"/>
            <w:shd w:val="clear" w:color="auto" w:fill="auto"/>
            <w:vAlign w:val="center"/>
          </w:tcPr>
          <w:p w14:paraId="6D6A46E8"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矩子科技</w:t>
            </w:r>
          </w:p>
        </w:tc>
        <w:tc>
          <w:tcPr>
            <w:tcW w:w="911" w:type="pct"/>
            <w:shd w:val="clear" w:color="auto" w:fill="auto"/>
            <w:vAlign w:val="center"/>
          </w:tcPr>
          <w:p w14:paraId="212F21C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苏州矩度电子科技有限公司</w:t>
            </w:r>
          </w:p>
        </w:tc>
        <w:tc>
          <w:tcPr>
            <w:tcW w:w="2281" w:type="pct"/>
            <w:vAlign w:val="center"/>
          </w:tcPr>
          <w:p w14:paraId="282F8D8F"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智能设备及组件的研发、生产和销售，主要产品为控制线缆组件和智能设备</w:t>
            </w:r>
          </w:p>
        </w:tc>
        <w:tc>
          <w:tcPr>
            <w:tcW w:w="504" w:type="pct"/>
            <w:shd w:val="clear" w:color="auto" w:fill="auto"/>
            <w:vAlign w:val="center"/>
          </w:tcPr>
          <w:p w14:paraId="43567E9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13.06</w:t>
            </w:r>
          </w:p>
        </w:tc>
        <w:tc>
          <w:tcPr>
            <w:tcW w:w="597" w:type="pct"/>
            <w:shd w:val="clear" w:color="auto" w:fill="auto"/>
            <w:vAlign w:val="center"/>
          </w:tcPr>
          <w:p w14:paraId="68443AC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223.65%</w:t>
            </w:r>
          </w:p>
        </w:tc>
      </w:tr>
      <w:tr w:rsidR="000A0ACD" w14:paraId="4468CBCF" w14:textId="77777777">
        <w:trPr>
          <w:trHeight w:val="397"/>
          <w:jc w:val="center"/>
        </w:trPr>
        <w:tc>
          <w:tcPr>
            <w:tcW w:w="704" w:type="pct"/>
            <w:shd w:val="clear" w:color="auto" w:fill="auto"/>
            <w:vAlign w:val="center"/>
          </w:tcPr>
          <w:p w14:paraId="7A5479A9"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三丰智能</w:t>
            </w:r>
          </w:p>
        </w:tc>
        <w:tc>
          <w:tcPr>
            <w:tcW w:w="911" w:type="pct"/>
            <w:shd w:val="clear" w:color="auto" w:fill="auto"/>
            <w:vAlign w:val="center"/>
          </w:tcPr>
          <w:p w14:paraId="15CC53E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合肥天海小松自动化设备有限公司</w:t>
            </w:r>
          </w:p>
        </w:tc>
        <w:tc>
          <w:tcPr>
            <w:tcW w:w="2281" w:type="pct"/>
            <w:vAlign w:val="center"/>
          </w:tcPr>
          <w:p w14:paraId="5ABBF3E0"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自动化物流系统方案设计、咨询及系统集成；自动化物流设备及其控制软件系统设计、生产、销售等</w:t>
            </w:r>
          </w:p>
        </w:tc>
        <w:tc>
          <w:tcPr>
            <w:tcW w:w="504" w:type="pct"/>
            <w:shd w:val="clear" w:color="auto" w:fill="auto"/>
            <w:vAlign w:val="center"/>
          </w:tcPr>
          <w:p w14:paraId="7787B73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29.24</w:t>
            </w:r>
          </w:p>
        </w:tc>
        <w:tc>
          <w:tcPr>
            <w:tcW w:w="597" w:type="pct"/>
            <w:shd w:val="clear" w:color="auto" w:fill="auto"/>
            <w:vAlign w:val="center"/>
          </w:tcPr>
          <w:p w14:paraId="2C8D50F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115.57%</w:t>
            </w:r>
          </w:p>
        </w:tc>
      </w:tr>
      <w:tr w:rsidR="000A0ACD" w14:paraId="40824156" w14:textId="77777777">
        <w:trPr>
          <w:trHeight w:val="397"/>
          <w:jc w:val="center"/>
        </w:trPr>
        <w:tc>
          <w:tcPr>
            <w:tcW w:w="3898" w:type="pct"/>
            <w:gridSpan w:val="3"/>
            <w:shd w:val="clear" w:color="auto" w:fill="auto"/>
            <w:vAlign w:val="center"/>
          </w:tcPr>
          <w:p w14:paraId="035F8C22"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平均值</w:t>
            </w:r>
          </w:p>
        </w:tc>
        <w:tc>
          <w:tcPr>
            <w:tcW w:w="504" w:type="pct"/>
            <w:shd w:val="clear" w:color="auto" w:fill="auto"/>
            <w:vAlign w:val="center"/>
          </w:tcPr>
          <w:p w14:paraId="038FB638"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20.64</w:t>
            </w:r>
          </w:p>
        </w:tc>
        <w:tc>
          <w:tcPr>
            <w:tcW w:w="597" w:type="pct"/>
            <w:shd w:val="clear" w:color="auto" w:fill="auto"/>
            <w:vAlign w:val="center"/>
          </w:tcPr>
          <w:p w14:paraId="3B4E28DC"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442.96%</w:t>
            </w:r>
          </w:p>
        </w:tc>
      </w:tr>
      <w:tr w:rsidR="000A0ACD" w14:paraId="2DEAC99B" w14:textId="77777777">
        <w:trPr>
          <w:trHeight w:val="397"/>
          <w:jc w:val="center"/>
        </w:trPr>
        <w:tc>
          <w:tcPr>
            <w:tcW w:w="3898" w:type="pct"/>
            <w:gridSpan w:val="3"/>
            <w:shd w:val="clear" w:color="auto" w:fill="auto"/>
            <w:vAlign w:val="center"/>
          </w:tcPr>
          <w:p w14:paraId="601149AC"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北洋天青</w:t>
            </w:r>
          </w:p>
        </w:tc>
        <w:tc>
          <w:tcPr>
            <w:tcW w:w="504" w:type="pct"/>
            <w:shd w:val="clear" w:color="auto" w:fill="auto"/>
            <w:vAlign w:val="center"/>
          </w:tcPr>
          <w:p w14:paraId="124425A0" w14:textId="77777777" w:rsidR="000A0ACD" w:rsidRDefault="00362A99">
            <w:pPr>
              <w:jc w:val="right"/>
              <w:rPr>
                <w:rFonts w:ascii="Times New Roman" w:hAnsi="Times New Roman" w:cs="Times New Roman"/>
                <w:sz w:val="21"/>
                <w:szCs w:val="21"/>
              </w:rPr>
            </w:pPr>
            <w:r>
              <w:rPr>
                <w:rFonts w:ascii="Times New Roman" w:hAnsi="Times New Roman" w:cs="Times New Roman"/>
                <w:b/>
                <w:bCs/>
                <w:sz w:val="21"/>
                <w:szCs w:val="21"/>
              </w:rPr>
              <w:t>22.85</w:t>
            </w:r>
          </w:p>
        </w:tc>
        <w:tc>
          <w:tcPr>
            <w:tcW w:w="597" w:type="pct"/>
            <w:shd w:val="clear" w:color="auto" w:fill="auto"/>
            <w:vAlign w:val="center"/>
          </w:tcPr>
          <w:p w14:paraId="5B64324E" w14:textId="77777777" w:rsidR="000A0ACD" w:rsidRDefault="00362A99">
            <w:pPr>
              <w:jc w:val="right"/>
              <w:rPr>
                <w:rFonts w:ascii="Times New Roman" w:hAnsi="Times New Roman" w:cs="Times New Roman"/>
                <w:sz w:val="21"/>
                <w:szCs w:val="21"/>
              </w:rPr>
            </w:pPr>
            <w:r>
              <w:rPr>
                <w:rFonts w:ascii="Times New Roman" w:hAnsi="Times New Roman" w:cs="Times New Roman"/>
                <w:b/>
                <w:bCs/>
                <w:sz w:val="21"/>
                <w:szCs w:val="21"/>
              </w:rPr>
              <w:t>384.60%</w:t>
            </w:r>
          </w:p>
        </w:tc>
      </w:tr>
    </w:tbl>
    <w:p w14:paraId="23450F09"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2B5E89F0"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近年上市公司收购的可比案例中，标的公司市盈率为</w:t>
      </w:r>
      <w:r>
        <w:rPr>
          <w:rFonts w:ascii="Times New Roman" w:hAnsi="Times New Roman" w:cs="Times New Roman"/>
          <w:bCs/>
          <w:color w:val="000000"/>
          <w:szCs w:val="21"/>
        </w:rPr>
        <w:t>22.85</w:t>
      </w:r>
      <w:r>
        <w:rPr>
          <w:rFonts w:ascii="Times New Roman" w:hAnsi="Times New Roman" w:cs="Times New Roman" w:hint="eastAsia"/>
          <w:bCs/>
          <w:color w:val="000000"/>
          <w:szCs w:val="21"/>
        </w:rPr>
        <w:t>倍，与被交易市盈率均值</w:t>
      </w:r>
      <w:r>
        <w:rPr>
          <w:rFonts w:ascii="Times New Roman" w:hAnsi="Times New Roman" w:cs="Times New Roman"/>
          <w:bCs/>
          <w:color w:val="000000"/>
          <w:szCs w:val="21"/>
        </w:rPr>
        <w:t>20.64</w:t>
      </w:r>
      <w:r>
        <w:rPr>
          <w:rFonts w:ascii="Times New Roman" w:hAnsi="Times New Roman" w:cs="Times New Roman" w:hint="eastAsia"/>
          <w:bCs/>
          <w:color w:val="000000"/>
          <w:szCs w:val="21"/>
        </w:rPr>
        <w:t>倍相近。评估增值率平均值为</w:t>
      </w:r>
      <w:r>
        <w:rPr>
          <w:rFonts w:ascii="Times New Roman" w:hAnsi="Times New Roman" w:cs="Times New Roman"/>
          <w:bCs/>
          <w:color w:val="000000"/>
          <w:szCs w:val="21"/>
        </w:rPr>
        <w:t>442.96%</w:t>
      </w:r>
      <w:r>
        <w:rPr>
          <w:rFonts w:ascii="Times New Roman" w:hAnsi="Times New Roman" w:cs="Times New Roman" w:hint="eastAsia"/>
          <w:bCs/>
          <w:color w:val="000000"/>
          <w:szCs w:val="21"/>
        </w:rPr>
        <w:t>。标的公司预评估增值率为</w:t>
      </w:r>
      <w:r>
        <w:rPr>
          <w:rFonts w:ascii="Times New Roman" w:hAnsi="Times New Roman" w:cs="Times New Roman"/>
          <w:bCs/>
          <w:color w:val="000000"/>
          <w:szCs w:val="21"/>
        </w:rPr>
        <w:t>384.60%</w:t>
      </w:r>
      <w:r>
        <w:rPr>
          <w:rFonts w:ascii="Times New Roman" w:hAnsi="Times New Roman" w:cs="Times New Roman" w:hint="eastAsia"/>
          <w:bCs/>
          <w:color w:val="000000"/>
          <w:szCs w:val="21"/>
        </w:rPr>
        <w:t>，与可比案例平均值相近。</w:t>
      </w:r>
    </w:p>
    <w:p w14:paraId="64DE8278" w14:textId="77777777" w:rsidR="000A0ACD" w:rsidRDefault="00362A99">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（四）评估增值率较高的原因及合理性</w:t>
      </w:r>
    </w:p>
    <w:p w14:paraId="47401DF8"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所处行业未来具有较大的发展空间，标的公司近几年业绩持续增长，在手订单充足，在可预计的未来年度具有较强的盈利能力，北洋天青作为少有的家电行业多产品的智能工厂综合方案提供商，客户黏性较高，老客户业务份额占比逐渐扩大。同时北洋天青也在家电行业、食品饮料行业和其他行业积极拓展新客户。北洋天青预测收入及利润大幅增长具有合理性和可实现性，为本次评估增值提供了有利支撑。</w:t>
      </w:r>
    </w:p>
    <w:p w14:paraId="01CA8DE9" w14:textId="200E0169"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收益法在评估过程中不仅考虑了</w:t>
      </w:r>
      <w:r w:rsidR="00475E42">
        <w:rPr>
          <w:rFonts w:ascii="Times New Roman" w:hAnsi="Times New Roman" w:cs="Times New Roman" w:hint="eastAsia"/>
          <w:bCs/>
          <w:color w:val="000000"/>
          <w:szCs w:val="21"/>
        </w:rPr>
        <w:t>标的公司</w:t>
      </w:r>
      <w:r>
        <w:rPr>
          <w:rFonts w:ascii="Times New Roman" w:hAnsi="Times New Roman" w:cs="Times New Roman" w:hint="eastAsia"/>
          <w:bCs/>
          <w:color w:val="000000"/>
          <w:szCs w:val="21"/>
        </w:rPr>
        <w:t>申报的账内账外资产，同时也考虑了如企业积累的客户资源、科学的经营管理水平等各项表外不可辨识资产对获利能力产生重大影响的因素，以及企业在手及新签合同订单情况。账面净资产价值为历史成本的计量，未考虑企业未来获利对账面股东全部权益价值的影响。标的公司作为轻资产公司，账面净资产较小，因此造成资产账面价值与评估结论存在较大差异。</w:t>
      </w:r>
    </w:p>
    <w:p w14:paraId="52B2DCD0" w14:textId="3956737A"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同时，上述可比上市公司的市盈率平均值为</w:t>
      </w:r>
      <w:r>
        <w:rPr>
          <w:rFonts w:ascii="Times New Roman" w:hAnsi="Times New Roman" w:cs="Times New Roman"/>
          <w:bCs/>
          <w:color w:val="000000"/>
          <w:szCs w:val="21"/>
        </w:rPr>
        <w:t>50.38</w:t>
      </w:r>
      <w:r>
        <w:rPr>
          <w:rFonts w:ascii="Times New Roman" w:hAnsi="Times New Roman" w:cs="Times New Roman" w:hint="eastAsia"/>
          <w:bCs/>
          <w:color w:val="000000"/>
          <w:szCs w:val="21"/>
        </w:rPr>
        <w:t>倍，可比交易案例的市盈率平均值为</w:t>
      </w:r>
      <w:r>
        <w:rPr>
          <w:rFonts w:ascii="Times New Roman" w:hAnsi="Times New Roman" w:cs="Times New Roman"/>
          <w:bCs/>
          <w:color w:val="000000"/>
          <w:szCs w:val="21"/>
        </w:rPr>
        <w:t>20.64</w:t>
      </w:r>
      <w:r>
        <w:rPr>
          <w:rFonts w:ascii="Times New Roman" w:hAnsi="Times New Roman" w:cs="Times New Roman" w:hint="eastAsia"/>
          <w:bCs/>
          <w:color w:val="000000"/>
          <w:szCs w:val="21"/>
        </w:rPr>
        <w:t>倍，评估增值率平均值为</w:t>
      </w:r>
      <w:r>
        <w:rPr>
          <w:rFonts w:ascii="Times New Roman" w:hAnsi="Times New Roman" w:cs="Times New Roman"/>
          <w:bCs/>
          <w:color w:val="000000"/>
          <w:szCs w:val="21"/>
        </w:rPr>
        <w:t>442.96%</w:t>
      </w:r>
      <w:r>
        <w:rPr>
          <w:rFonts w:ascii="Times New Roman" w:hAnsi="Times New Roman" w:cs="Times New Roman" w:hint="eastAsia"/>
          <w:bCs/>
          <w:color w:val="000000"/>
          <w:szCs w:val="21"/>
        </w:rPr>
        <w:t>。本次交易估值所对应的北洋天青市盈率为</w:t>
      </w:r>
      <w:r>
        <w:rPr>
          <w:rFonts w:ascii="Times New Roman" w:hAnsi="Times New Roman" w:cs="Times New Roman"/>
          <w:bCs/>
          <w:color w:val="000000"/>
          <w:szCs w:val="21"/>
        </w:rPr>
        <w:t>22.85</w:t>
      </w:r>
      <w:r>
        <w:rPr>
          <w:rFonts w:ascii="Times New Roman" w:hAnsi="Times New Roman" w:cs="Times New Roman" w:hint="eastAsia"/>
          <w:bCs/>
          <w:color w:val="000000"/>
          <w:szCs w:val="21"/>
        </w:rPr>
        <w:t>倍，增值率为</w:t>
      </w:r>
      <w:r>
        <w:rPr>
          <w:rFonts w:ascii="Times New Roman" w:hAnsi="Times New Roman" w:cs="Times New Roman"/>
          <w:bCs/>
          <w:color w:val="000000"/>
          <w:szCs w:val="21"/>
        </w:rPr>
        <w:t>384.60%</w:t>
      </w:r>
      <w:r>
        <w:rPr>
          <w:rFonts w:ascii="Times New Roman" w:hAnsi="Times New Roman" w:cs="Times New Roman" w:hint="eastAsia"/>
          <w:bCs/>
          <w:color w:val="000000"/>
          <w:szCs w:val="21"/>
        </w:rPr>
        <w:t>。</w:t>
      </w:r>
    </w:p>
    <w:p w14:paraId="32CE081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标的公司估值水平略低于同行业可比上市公司的平均估值水平。标的公司深耕家电自动化领域，主要从事家电行业的生产线智能化、信息化建设、升级和改造，与相似业务的可比交易标的公司的市盈率、评估增值率相近。</w:t>
      </w:r>
    </w:p>
    <w:p w14:paraId="2519DDE9"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color w:val="000000"/>
          <w:szCs w:val="21"/>
        </w:rPr>
        <w:t>综上所述，本次交易估值综合考虑标的公司业绩增长、近年发展规模、所处行业情况等因素，因此本次评估增值率较高具有合理性。</w:t>
      </w:r>
    </w:p>
    <w:p w14:paraId="6C62EEE9" w14:textId="77777777" w:rsidR="000A0ACD" w:rsidRDefault="00362A99">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二、补充披露情况</w:t>
      </w:r>
    </w:p>
    <w:p w14:paraId="2A74547C" w14:textId="77777777" w:rsidR="000A0ACD" w:rsidRDefault="00362A99">
      <w:pPr>
        <w:suppressAutoHyphens/>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以上内容已于重组报告书“第六节</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标的资产评估情况”之“一、评估的基本情况”之“（二）两种评估方法结果差异及评估增值的主要原因”中补充披露。</w:t>
      </w:r>
    </w:p>
    <w:p w14:paraId="4BD9EBFE"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三、中介机构核查意见</w:t>
      </w:r>
    </w:p>
    <w:p w14:paraId="023F4C0A"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经核查，独立财务顾问和评估师认为：北洋天青预测期营业收入大幅增长的原因主要为家电行业智能化、信息化和自动化需求强烈，未来具有较大的市场空间，标的公司报告期内业绩稳步上升、新签订单规模增加，北洋天青作为少有的家电行业多产品的智能工厂综合方案提供商，客户黏性较高，老客户业务份额占比逐渐扩大。同时北洋天青也在家电行业、食品饮料行业和其他行业积极拓展新客户。</w:t>
      </w:r>
    </w:p>
    <w:p w14:paraId="5154CA2A"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北洋天青未来收入大幅增长具有合理性，符合标的公司经营实际。截至本回复出具日，北洋天青预计</w:t>
      </w:r>
      <w:r>
        <w:rPr>
          <w:rFonts w:ascii="Times New Roman" w:hAnsi="Times New Roman" w:cs="Times New Roman" w:hint="eastAsia"/>
          <w:bCs/>
          <w:color w:val="000000"/>
          <w:szCs w:val="21"/>
        </w:rPr>
        <w:t>2021</w:t>
      </w:r>
      <w:r>
        <w:rPr>
          <w:rFonts w:ascii="Times New Roman" w:hAnsi="Times New Roman" w:cs="Times New Roman" w:hint="eastAsia"/>
          <w:bCs/>
          <w:color w:val="000000"/>
          <w:szCs w:val="21"/>
        </w:rPr>
        <w:t>年可确认在手订单收入规模已达</w:t>
      </w:r>
      <w:r>
        <w:rPr>
          <w:rFonts w:ascii="Times New Roman" w:hAnsi="Times New Roman" w:cs="Times New Roman" w:hint="eastAsia"/>
          <w:bCs/>
          <w:color w:val="000000"/>
          <w:szCs w:val="21"/>
        </w:rPr>
        <w:t>3.1</w:t>
      </w:r>
      <w:r>
        <w:rPr>
          <w:rFonts w:ascii="Times New Roman" w:hAnsi="Times New Roman" w:cs="Times New Roman"/>
          <w:bCs/>
          <w:color w:val="000000"/>
          <w:szCs w:val="21"/>
        </w:rPr>
        <w:t>3</w:t>
      </w:r>
      <w:r>
        <w:rPr>
          <w:rFonts w:ascii="Times New Roman" w:hAnsi="Times New Roman" w:cs="Times New Roman" w:hint="eastAsia"/>
          <w:bCs/>
          <w:color w:val="000000"/>
          <w:szCs w:val="21"/>
        </w:rPr>
        <w:t>亿元，已超过</w:t>
      </w:r>
      <w:r>
        <w:rPr>
          <w:rFonts w:ascii="Times New Roman" w:hAnsi="Times New Roman" w:cs="Times New Roman" w:hint="eastAsia"/>
          <w:bCs/>
          <w:color w:val="000000"/>
          <w:szCs w:val="21"/>
        </w:rPr>
        <w:t>2021</w:t>
      </w:r>
      <w:r>
        <w:rPr>
          <w:rFonts w:ascii="Times New Roman" w:hAnsi="Times New Roman" w:cs="Times New Roman" w:hint="eastAsia"/>
          <w:bCs/>
          <w:color w:val="000000"/>
          <w:szCs w:val="21"/>
        </w:rPr>
        <w:t>年预测收入规模，标的公司预测收入、净利润和业绩承诺均具有可实现性。</w:t>
      </w:r>
    </w:p>
    <w:p w14:paraId="3CDC7F62"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标的公司估值水平略低于同行业可比上市公司的平均估值水平。标的公司深耕家电自动化领域，主要从事家电行业的生产线智能化、信息化建设、升级和改造，与相似业务的可比交易标的公司的市盈率、评估增值率相近。</w:t>
      </w:r>
    </w:p>
    <w:p w14:paraId="720FA013"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综上所述，本次交易估值综合考虑标的公司业绩增长、近年发展规模、所处行业情况等因素，因此本次评估增值率较高具有合理性。</w:t>
      </w:r>
    </w:p>
    <w:p w14:paraId="5C7CF20F" w14:textId="77777777" w:rsidR="000A0ACD" w:rsidRDefault="000A0ACD">
      <w:pPr>
        <w:spacing w:beforeLines="50" w:before="156" w:line="360" w:lineRule="auto"/>
        <w:ind w:firstLineChars="200" w:firstLine="562"/>
        <w:jc w:val="both"/>
        <w:outlineLvl w:val="0"/>
        <w:rPr>
          <w:rFonts w:ascii="Times New Roman" w:eastAsia="黑体" w:hAnsi="Times New Roman" w:cs="Times New Roman"/>
          <w:b/>
          <w:color w:val="000000"/>
          <w:sz w:val="28"/>
          <w:szCs w:val="28"/>
        </w:rPr>
        <w:sectPr w:rsidR="000A0ACD">
          <w:pgSz w:w="11906" w:h="16838"/>
          <w:pgMar w:top="1440" w:right="1800" w:bottom="1440" w:left="1800" w:header="851" w:footer="992" w:gutter="0"/>
          <w:cols w:space="425"/>
          <w:docGrid w:type="lines" w:linePitch="312"/>
        </w:sectPr>
      </w:pPr>
      <w:bookmarkStart w:id="101" w:name="_Toc69256878"/>
      <w:bookmarkStart w:id="102" w:name="_Toc69256860"/>
    </w:p>
    <w:p w14:paraId="405F1EB6" w14:textId="77777777" w:rsidR="000A0ACD" w:rsidRDefault="00362A99">
      <w:pPr>
        <w:spacing w:beforeLines="50" w:before="156" w:line="360" w:lineRule="auto"/>
        <w:ind w:firstLineChars="200" w:firstLine="562"/>
        <w:jc w:val="both"/>
        <w:outlineLvl w:val="0"/>
        <w:rPr>
          <w:rFonts w:ascii="Times New Roman" w:eastAsia="黑体" w:hAnsi="Times New Roman" w:cs="Times New Roman"/>
          <w:b/>
          <w:color w:val="000000"/>
          <w:sz w:val="28"/>
          <w:szCs w:val="28"/>
        </w:rPr>
      </w:pPr>
      <w:r>
        <w:rPr>
          <w:rFonts w:ascii="Times New Roman" w:eastAsia="黑体" w:hAnsi="Times New Roman" w:cs="Times New Roman" w:hint="eastAsia"/>
          <w:b/>
          <w:color w:val="000000"/>
          <w:sz w:val="28"/>
          <w:szCs w:val="28"/>
        </w:rPr>
        <w:t>第十三题</w:t>
      </w:r>
      <w:bookmarkEnd w:id="101"/>
      <w:bookmarkEnd w:id="102"/>
    </w:p>
    <w:p w14:paraId="1C2A1039"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申请文件显示，报告期内各期，标的资产毛利率分别为</w:t>
      </w:r>
      <w:r>
        <w:rPr>
          <w:rFonts w:ascii="Times New Roman" w:eastAsia="黑体" w:hAnsi="Times New Roman" w:cs="Times New Roman" w:hint="eastAsia"/>
          <w:b/>
          <w:color w:val="000000"/>
          <w:szCs w:val="21"/>
        </w:rPr>
        <w:t>32.63%</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33.06%</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26.69%</w:t>
      </w:r>
      <w:r>
        <w:rPr>
          <w:rFonts w:ascii="Times New Roman" w:eastAsia="黑体" w:hAnsi="Times New Roman" w:cs="Times New Roman" w:hint="eastAsia"/>
          <w:b/>
          <w:color w:val="000000"/>
          <w:szCs w:val="21"/>
        </w:rPr>
        <w:t>。其中，定制化集成业务和机器人及配套业务的毛利率均下滑明显。</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7-12</w:t>
      </w:r>
      <w:r>
        <w:rPr>
          <w:rFonts w:ascii="Times New Roman" w:eastAsia="黑体" w:hAnsi="Times New Roman" w:cs="Times New Roman" w:hint="eastAsia"/>
          <w:b/>
          <w:color w:val="000000"/>
          <w:szCs w:val="21"/>
        </w:rPr>
        <w:t>月预测毛利率为</w:t>
      </w:r>
      <w:r>
        <w:rPr>
          <w:rFonts w:ascii="Times New Roman" w:eastAsia="黑体" w:hAnsi="Times New Roman" w:cs="Times New Roman" w:hint="eastAsia"/>
          <w:b/>
          <w:color w:val="000000"/>
          <w:szCs w:val="21"/>
        </w:rPr>
        <w:t>41.4%</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2021</w:t>
      </w:r>
      <w:r>
        <w:rPr>
          <w:rFonts w:ascii="Times New Roman" w:eastAsia="黑体" w:hAnsi="Times New Roman" w:cs="Times New Roman" w:hint="eastAsia"/>
          <w:b/>
          <w:color w:val="000000"/>
          <w:szCs w:val="21"/>
        </w:rPr>
        <w:t>年及之后期间预测毛利率为</w:t>
      </w:r>
      <w:r>
        <w:rPr>
          <w:rFonts w:ascii="Times New Roman" w:eastAsia="黑体" w:hAnsi="Times New Roman" w:cs="Times New Roman" w:hint="eastAsia"/>
          <w:b/>
          <w:color w:val="000000"/>
          <w:szCs w:val="21"/>
        </w:rPr>
        <w:t>34%</w:t>
      </w:r>
      <w:r>
        <w:rPr>
          <w:rFonts w:ascii="Times New Roman" w:eastAsia="黑体" w:hAnsi="Times New Roman" w:cs="Times New Roman" w:hint="eastAsia"/>
          <w:b/>
          <w:color w:val="000000"/>
          <w:szCs w:val="21"/>
        </w:rPr>
        <w:t>。请你公司：结合报告期毛利率、两业务模块毛利率不断下降的情况及行业竞争情况，补充披露预测期毛利率较高的依据及合理性。请独立财务顾问和评估师核查并发表明确意见。</w:t>
      </w:r>
    </w:p>
    <w:p w14:paraId="14BD27F6" w14:textId="77777777" w:rsidR="000A0ACD" w:rsidRDefault="00362A99">
      <w:pPr>
        <w:pStyle w:val="affffd"/>
        <w:spacing w:before="156"/>
        <w:ind w:firstLine="482"/>
        <w:rPr>
          <w:b/>
        </w:rPr>
      </w:pPr>
      <w:r>
        <w:rPr>
          <w:rFonts w:hint="eastAsia"/>
          <w:b/>
        </w:rPr>
        <w:t>【回复说明】</w:t>
      </w:r>
    </w:p>
    <w:p w14:paraId="37B2C642" w14:textId="77777777" w:rsidR="000A0ACD" w:rsidRDefault="00362A99">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一、北洋天青报告期内毛利率情况</w:t>
      </w:r>
    </w:p>
    <w:p w14:paraId="606CAD2A"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北洋天青定制化集成业务和机器人及配套业务的毛利率情况如下表：</w:t>
      </w:r>
    </w:p>
    <w:p w14:paraId="443C0045"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14"/>
        <w:gridCol w:w="2103"/>
        <w:gridCol w:w="2103"/>
        <w:gridCol w:w="2102"/>
      </w:tblGrid>
      <w:tr w:rsidR="000A0ACD" w14:paraId="5914226F" w14:textId="77777777">
        <w:trPr>
          <w:trHeight w:val="397"/>
          <w:tblHeader/>
        </w:trPr>
        <w:tc>
          <w:tcPr>
            <w:tcW w:w="1299" w:type="pct"/>
            <w:shd w:val="clear" w:color="auto" w:fill="auto"/>
            <w:vAlign w:val="center"/>
          </w:tcPr>
          <w:p w14:paraId="4CE33301"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合同分类</w:t>
            </w:r>
          </w:p>
        </w:tc>
        <w:tc>
          <w:tcPr>
            <w:tcW w:w="1234" w:type="pct"/>
            <w:shd w:val="clear" w:color="auto" w:fill="auto"/>
            <w:vAlign w:val="center"/>
          </w:tcPr>
          <w:p w14:paraId="43288255"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年度</w:t>
            </w:r>
          </w:p>
        </w:tc>
        <w:tc>
          <w:tcPr>
            <w:tcW w:w="1234" w:type="pct"/>
            <w:shd w:val="clear" w:color="auto" w:fill="auto"/>
            <w:vAlign w:val="center"/>
          </w:tcPr>
          <w:p w14:paraId="041CCFF9"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年度</w:t>
            </w:r>
          </w:p>
        </w:tc>
        <w:tc>
          <w:tcPr>
            <w:tcW w:w="1233" w:type="pct"/>
            <w:shd w:val="clear" w:color="auto" w:fill="auto"/>
            <w:vAlign w:val="center"/>
          </w:tcPr>
          <w:p w14:paraId="606335CF"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年度</w:t>
            </w:r>
          </w:p>
        </w:tc>
      </w:tr>
      <w:tr w:rsidR="000A0ACD" w14:paraId="1661B25D" w14:textId="77777777">
        <w:trPr>
          <w:trHeight w:val="397"/>
          <w:tblHeader/>
        </w:trPr>
        <w:tc>
          <w:tcPr>
            <w:tcW w:w="1299" w:type="pct"/>
            <w:shd w:val="clear" w:color="auto" w:fill="auto"/>
            <w:vAlign w:val="center"/>
          </w:tcPr>
          <w:p w14:paraId="7479ED2A" w14:textId="77777777" w:rsidR="000A0ACD" w:rsidRDefault="000A0ACD">
            <w:pPr>
              <w:rPr>
                <w:rFonts w:ascii="Times New Roman" w:hAnsi="Times New Roman" w:cs="Times New Roman"/>
                <w:b/>
                <w:bCs/>
                <w:sz w:val="21"/>
                <w:szCs w:val="21"/>
              </w:rPr>
            </w:pPr>
          </w:p>
        </w:tc>
        <w:tc>
          <w:tcPr>
            <w:tcW w:w="3701" w:type="pct"/>
            <w:gridSpan w:val="3"/>
            <w:shd w:val="clear" w:color="auto" w:fill="auto"/>
            <w:vAlign w:val="center"/>
          </w:tcPr>
          <w:p w14:paraId="048C533B"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收入</w:t>
            </w:r>
          </w:p>
        </w:tc>
      </w:tr>
      <w:tr w:rsidR="000A0ACD" w14:paraId="1C385727" w14:textId="77777777">
        <w:trPr>
          <w:trHeight w:val="397"/>
        </w:trPr>
        <w:tc>
          <w:tcPr>
            <w:tcW w:w="1299" w:type="pct"/>
            <w:shd w:val="clear" w:color="auto" w:fill="auto"/>
            <w:vAlign w:val="center"/>
          </w:tcPr>
          <w:p w14:paraId="3D04488A"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1234" w:type="pct"/>
            <w:shd w:val="clear" w:color="auto" w:fill="auto"/>
            <w:noWrap/>
            <w:vAlign w:val="center"/>
          </w:tcPr>
          <w:p w14:paraId="685FBD2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15,056.17</w:t>
            </w:r>
          </w:p>
        </w:tc>
        <w:tc>
          <w:tcPr>
            <w:tcW w:w="1234" w:type="pct"/>
            <w:shd w:val="clear" w:color="auto" w:fill="auto"/>
            <w:noWrap/>
            <w:vAlign w:val="center"/>
          </w:tcPr>
          <w:p w14:paraId="3BE89E5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10,326.14</w:t>
            </w:r>
          </w:p>
        </w:tc>
        <w:tc>
          <w:tcPr>
            <w:tcW w:w="1233" w:type="pct"/>
            <w:shd w:val="clear" w:color="auto" w:fill="auto"/>
            <w:noWrap/>
            <w:vAlign w:val="center"/>
          </w:tcPr>
          <w:p w14:paraId="6610592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6,106.09</w:t>
            </w:r>
          </w:p>
        </w:tc>
      </w:tr>
      <w:tr w:rsidR="000A0ACD" w14:paraId="63218470" w14:textId="77777777">
        <w:trPr>
          <w:trHeight w:val="397"/>
        </w:trPr>
        <w:tc>
          <w:tcPr>
            <w:tcW w:w="1299" w:type="pct"/>
            <w:shd w:val="clear" w:color="auto" w:fill="auto"/>
            <w:vAlign w:val="center"/>
          </w:tcPr>
          <w:p w14:paraId="387438ED"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1234" w:type="pct"/>
            <w:shd w:val="clear" w:color="auto" w:fill="auto"/>
            <w:noWrap/>
            <w:vAlign w:val="center"/>
          </w:tcPr>
          <w:p w14:paraId="5DB8BA0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8,324.40</w:t>
            </w:r>
          </w:p>
        </w:tc>
        <w:tc>
          <w:tcPr>
            <w:tcW w:w="1234" w:type="pct"/>
            <w:shd w:val="clear" w:color="auto" w:fill="auto"/>
            <w:noWrap/>
            <w:vAlign w:val="center"/>
          </w:tcPr>
          <w:p w14:paraId="12C6A2C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8,544.53</w:t>
            </w:r>
          </w:p>
        </w:tc>
        <w:tc>
          <w:tcPr>
            <w:tcW w:w="1233" w:type="pct"/>
            <w:shd w:val="clear" w:color="auto" w:fill="auto"/>
            <w:noWrap/>
            <w:vAlign w:val="center"/>
          </w:tcPr>
          <w:p w14:paraId="695E564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890.75</w:t>
            </w:r>
          </w:p>
        </w:tc>
      </w:tr>
      <w:tr w:rsidR="000A0ACD" w14:paraId="451D0F3E" w14:textId="77777777">
        <w:trPr>
          <w:trHeight w:val="397"/>
        </w:trPr>
        <w:tc>
          <w:tcPr>
            <w:tcW w:w="1299" w:type="pct"/>
            <w:shd w:val="clear" w:color="auto" w:fill="auto"/>
            <w:vAlign w:val="center"/>
          </w:tcPr>
          <w:p w14:paraId="17E2ACEF"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1234" w:type="pct"/>
            <w:shd w:val="clear" w:color="auto" w:fill="auto"/>
            <w:noWrap/>
            <w:vAlign w:val="center"/>
          </w:tcPr>
          <w:p w14:paraId="6E11040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6,731.77</w:t>
            </w:r>
          </w:p>
        </w:tc>
        <w:tc>
          <w:tcPr>
            <w:tcW w:w="1234" w:type="pct"/>
            <w:shd w:val="clear" w:color="auto" w:fill="auto"/>
            <w:noWrap/>
            <w:vAlign w:val="center"/>
          </w:tcPr>
          <w:p w14:paraId="1DD5152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1,781.61</w:t>
            </w:r>
          </w:p>
        </w:tc>
        <w:tc>
          <w:tcPr>
            <w:tcW w:w="1233" w:type="pct"/>
            <w:shd w:val="clear" w:color="auto" w:fill="auto"/>
            <w:noWrap/>
            <w:vAlign w:val="center"/>
          </w:tcPr>
          <w:p w14:paraId="129A50D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5,215.34</w:t>
            </w:r>
          </w:p>
        </w:tc>
      </w:tr>
      <w:tr w:rsidR="000A0ACD" w14:paraId="49C9277D" w14:textId="77777777">
        <w:trPr>
          <w:trHeight w:val="397"/>
        </w:trPr>
        <w:tc>
          <w:tcPr>
            <w:tcW w:w="1299" w:type="pct"/>
            <w:shd w:val="clear" w:color="auto" w:fill="auto"/>
            <w:noWrap/>
            <w:vAlign w:val="center"/>
          </w:tcPr>
          <w:p w14:paraId="06DE9904" w14:textId="77777777" w:rsidR="000A0ACD" w:rsidRDefault="000A0ACD">
            <w:pPr>
              <w:rPr>
                <w:rFonts w:ascii="Times New Roman" w:hAnsi="Times New Roman" w:cs="Times New Roman"/>
                <w:color w:val="000000"/>
                <w:sz w:val="21"/>
                <w:szCs w:val="21"/>
              </w:rPr>
            </w:pPr>
          </w:p>
        </w:tc>
        <w:tc>
          <w:tcPr>
            <w:tcW w:w="3701" w:type="pct"/>
            <w:gridSpan w:val="3"/>
            <w:shd w:val="clear" w:color="auto" w:fill="auto"/>
            <w:vAlign w:val="center"/>
          </w:tcPr>
          <w:p w14:paraId="24A0D99D"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成本</w:t>
            </w:r>
          </w:p>
        </w:tc>
      </w:tr>
      <w:tr w:rsidR="000A0ACD" w14:paraId="21C12758" w14:textId="77777777">
        <w:trPr>
          <w:trHeight w:val="397"/>
        </w:trPr>
        <w:tc>
          <w:tcPr>
            <w:tcW w:w="1299" w:type="pct"/>
            <w:shd w:val="clear" w:color="auto" w:fill="auto"/>
            <w:vAlign w:val="center"/>
          </w:tcPr>
          <w:p w14:paraId="44FCBCE1"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1234" w:type="pct"/>
            <w:shd w:val="clear" w:color="auto" w:fill="auto"/>
            <w:noWrap/>
            <w:vAlign w:val="center"/>
          </w:tcPr>
          <w:p w14:paraId="2EE6CEB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9,300.70</w:t>
            </w:r>
          </w:p>
        </w:tc>
        <w:tc>
          <w:tcPr>
            <w:tcW w:w="1234" w:type="pct"/>
            <w:shd w:val="clear" w:color="auto" w:fill="auto"/>
            <w:noWrap/>
            <w:vAlign w:val="center"/>
          </w:tcPr>
          <w:p w14:paraId="6796220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6,911.95</w:t>
            </w:r>
          </w:p>
        </w:tc>
        <w:tc>
          <w:tcPr>
            <w:tcW w:w="1233" w:type="pct"/>
            <w:shd w:val="clear" w:color="auto" w:fill="auto"/>
            <w:noWrap/>
            <w:vAlign w:val="center"/>
          </w:tcPr>
          <w:p w14:paraId="05A4E3B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4,113.44</w:t>
            </w:r>
          </w:p>
        </w:tc>
      </w:tr>
      <w:tr w:rsidR="000A0ACD" w14:paraId="54CB5989" w14:textId="77777777">
        <w:trPr>
          <w:trHeight w:val="397"/>
        </w:trPr>
        <w:tc>
          <w:tcPr>
            <w:tcW w:w="1299" w:type="pct"/>
            <w:shd w:val="clear" w:color="auto" w:fill="auto"/>
            <w:vAlign w:val="center"/>
          </w:tcPr>
          <w:p w14:paraId="0A0F2D78"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1234" w:type="pct"/>
            <w:shd w:val="clear" w:color="auto" w:fill="auto"/>
            <w:noWrap/>
            <w:vAlign w:val="center"/>
          </w:tcPr>
          <w:p w14:paraId="0350078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4,184.73</w:t>
            </w:r>
          </w:p>
        </w:tc>
        <w:tc>
          <w:tcPr>
            <w:tcW w:w="1234" w:type="pct"/>
            <w:shd w:val="clear" w:color="auto" w:fill="auto"/>
            <w:noWrap/>
            <w:vAlign w:val="center"/>
          </w:tcPr>
          <w:p w14:paraId="303E4D1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5,620.31</w:t>
            </w:r>
          </w:p>
        </w:tc>
        <w:tc>
          <w:tcPr>
            <w:tcW w:w="1233" w:type="pct"/>
            <w:shd w:val="clear" w:color="auto" w:fill="auto"/>
            <w:noWrap/>
            <w:vAlign w:val="center"/>
          </w:tcPr>
          <w:p w14:paraId="612147C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437.38</w:t>
            </w:r>
          </w:p>
        </w:tc>
      </w:tr>
      <w:tr w:rsidR="000A0ACD" w14:paraId="2E88FB70" w14:textId="77777777">
        <w:trPr>
          <w:trHeight w:val="397"/>
        </w:trPr>
        <w:tc>
          <w:tcPr>
            <w:tcW w:w="1299" w:type="pct"/>
            <w:shd w:val="clear" w:color="auto" w:fill="auto"/>
            <w:vAlign w:val="center"/>
          </w:tcPr>
          <w:p w14:paraId="1836B81C"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1234" w:type="pct"/>
            <w:shd w:val="clear" w:color="auto" w:fill="auto"/>
            <w:noWrap/>
            <w:vAlign w:val="center"/>
          </w:tcPr>
          <w:p w14:paraId="0641CDC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5,115.97</w:t>
            </w:r>
          </w:p>
        </w:tc>
        <w:tc>
          <w:tcPr>
            <w:tcW w:w="1234" w:type="pct"/>
            <w:shd w:val="clear" w:color="auto" w:fill="auto"/>
            <w:noWrap/>
            <w:vAlign w:val="center"/>
          </w:tcPr>
          <w:p w14:paraId="257F5F2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1,291.64</w:t>
            </w:r>
          </w:p>
        </w:tc>
        <w:tc>
          <w:tcPr>
            <w:tcW w:w="1233" w:type="pct"/>
            <w:shd w:val="clear" w:color="auto" w:fill="auto"/>
            <w:noWrap/>
            <w:vAlign w:val="center"/>
          </w:tcPr>
          <w:p w14:paraId="2272F0B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3,676.06</w:t>
            </w:r>
          </w:p>
        </w:tc>
      </w:tr>
      <w:tr w:rsidR="000A0ACD" w14:paraId="6000CEAA" w14:textId="77777777">
        <w:trPr>
          <w:trHeight w:val="397"/>
        </w:trPr>
        <w:tc>
          <w:tcPr>
            <w:tcW w:w="1299" w:type="pct"/>
            <w:shd w:val="clear" w:color="auto" w:fill="auto"/>
            <w:noWrap/>
            <w:vAlign w:val="center"/>
          </w:tcPr>
          <w:p w14:paraId="5822CD8E" w14:textId="77777777" w:rsidR="000A0ACD" w:rsidRDefault="000A0ACD">
            <w:pPr>
              <w:rPr>
                <w:rFonts w:ascii="Times New Roman" w:hAnsi="Times New Roman" w:cs="Times New Roman"/>
                <w:sz w:val="21"/>
                <w:szCs w:val="21"/>
              </w:rPr>
            </w:pPr>
          </w:p>
        </w:tc>
        <w:tc>
          <w:tcPr>
            <w:tcW w:w="3701" w:type="pct"/>
            <w:gridSpan w:val="3"/>
            <w:shd w:val="clear" w:color="auto" w:fill="auto"/>
            <w:vAlign w:val="center"/>
          </w:tcPr>
          <w:p w14:paraId="4A34A092"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毛利率</w:t>
            </w:r>
          </w:p>
        </w:tc>
      </w:tr>
      <w:tr w:rsidR="000A0ACD" w14:paraId="2BB5398F" w14:textId="77777777">
        <w:trPr>
          <w:trHeight w:val="397"/>
        </w:trPr>
        <w:tc>
          <w:tcPr>
            <w:tcW w:w="1299" w:type="pct"/>
            <w:shd w:val="clear" w:color="auto" w:fill="auto"/>
            <w:vAlign w:val="center"/>
          </w:tcPr>
          <w:p w14:paraId="1A05307E"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1234" w:type="pct"/>
            <w:shd w:val="clear" w:color="auto" w:fill="auto"/>
            <w:noWrap/>
            <w:vAlign w:val="center"/>
          </w:tcPr>
          <w:p w14:paraId="5422185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38.23%</w:t>
            </w:r>
          </w:p>
        </w:tc>
        <w:tc>
          <w:tcPr>
            <w:tcW w:w="1234" w:type="pct"/>
            <w:shd w:val="clear" w:color="auto" w:fill="auto"/>
            <w:noWrap/>
            <w:vAlign w:val="center"/>
          </w:tcPr>
          <w:p w14:paraId="3B0D38F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33.06%</w:t>
            </w:r>
          </w:p>
        </w:tc>
        <w:tc>
          <w:tcPr>
            <w:tcW w:w="1233" w:type="pct"/>
            <w:shd w:val="clear" w:color="auto" w:fill="auto"/>
            <w:noWrap/>
            <w:vAlign w:val="center"/>
          </w:tcPr>
          <w:p w14:paraId="054E663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32.63%</w:t>
            </w:r>
          </w:p>
        </w:tc>
      </w:tr>
      <w:tr w:rsidR="000A0ACD" w14:paraId="63A6F81E" w14:textId="77777777">
        <w:trPr>
          <w:trHeight w:val="397"/>
        </w:trPr>
        <w:tc>
          <w:tcPr>
            <w:tcW w:w="1299" w:type="pct"/>
            <w:shd w:val="clear" w:color="auto" w:fill="auto"/>
            <w:vAlign w:val="center"/>
          </w:tcPr>
          <w:p w14:paraId="626DDF0A"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1234" w:type="pct"/>
            <w:shd w:val="clear" w:color="auto" w:fill="auto"/>
            <w:noWrap/>
            <w:vAlign w:val="center"/>
          </w:tcPr>
          <w:p w14:paraId="2C12766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49.73%</w:t>
            </w:r>
          </w:p>
        </w:tc>
        <w:tc>
          <w:tcPr>
            <w:tcW w:w="1234" w:type="pct"/>
            <w:shd w:val="clear" w:color="auto" w:fill="auto"/>
            <w:noWrap/>
            <w:vAlign w:val="center"/>
          </w:tcPr>
          <w:p w14:paraId="5B54F2E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34.22%</w:t>
            </w:r>
          </w:p>
        </w:tc>
        <w:tc>
          <w:tcPr>
            <w:tcW w:w="1233" w:type="pct"/>
            <w:shd w:val="clear" w:color="auto" w:fill="auto"/>
            <w:noWrap/>
            <w:vAlign w:val="center"/>
          </w:tcPr>
          <w:p w14:paraId="64F69B0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50.90%</w:t>
            </w:r>
          </w:p>
        </w:tc>
      </w:tr>
      <w:tr w:rsidR="000A0ACD" w14:paraId="5E3C9A92" w14:textId="77777777">
        <w:trPr>
          <w:trHeight w:val="397"/>
        </w:trPr>
        <w:tc>
          <w:tcPr>
            <w:tcW w:w="1299" w:type="pct"/>
            <w:shd w:val="clear" w:color="auto" w:fill="auto"/>
            <w:vAlign w:val="center"/>
          </w:tcPr>
          <w:p w14:paraId="17899229"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1234" w:type="pct"/>
            <w:shd w:val="clear" w:color="auto" w:fill="auto"/>
            <w:noWrap/>
            <w:vAlign w:val="center"/>
          </w:tcPr>
          <w:p w14:paraId="13B8DAA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24.00%</w:t>
            </w:r>
          </w:p>
        </w:tc>
        <w:tc>
          <w:tcPr>
            <w:tcW w:w="1234" w:type="pct"/>
            <w:shd w:val="clear" w:color="auto" w:fill="auto"/>
            <w:noWrap/>
            <w:vAlign w:val="center"/>
          </w:tcPr>
          <w:p w14:paraId="35A9158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27.50%</w:t>
            </w:r>
          </w:p>
        </w:tc>
        <w:tc>
          <w:tcPr>
            <w:tcW w:w="1233" w:type="pct"/>
            <w:shd w:val="clear" w:color="auto" w:fill="auto"/>
            <w:noWrap/>
            <w:vAlign w:val="center"/>
          </w:tcPr>
          <w:p w14:paraId="32AAD1B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29.51%</w:t>
            </w:r>
          </w:p>
        </w:tc>
      </w:tr>
    </w:tbl>
    <w:p w14:paraId="5602B040"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由上表可以看出，北洋天青历史年度自</w:t>
      </w:r>
      <w:r>
        <w:rPr>
          <w:rFonts w:ascii="Times New Roman" w:hAnsi="Times New Roman" w:cs="Times New Roman" w:hint="eastAsia"/>
          <w:bCs/>
          <w:color w:val="000000"/>
          <w:szCs w:val="21"/>
        </w:rPr>
        <w:t>2018</w:t>
      </w:r>
      <w:r>
        <w:rPr>
          <w:rFonts w:ascii="Times New Roman" w:hAnsi="Times New Roman" w:cs="Times New Roman" w:hint="eastAsia"/>
          <w:bCs/>
          <w:color w:val="000000"/>
          <w:szCs w:val="21"/>
        </w:rPr>
        <w:t>年至</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年间毛利率逐年增长、</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年全年毛利水平达到</w:t>
      </w:r>
      <w:r>
        <w:rPr>
          <w:rFonts w:ascii="Times New Roman" w:hAnsi="Times New Roman" w:cs="Times New Roman" w:hint="eastAsia"/>
          <w:bCs/>
          <w:color w:val="000000"/>
          <w:szCs w:val="21"/>
        </w:rPr>
        <w:t>38.23%</w:t>
      </w:r>
      <w:r>
        <w:rPr>
          <w:rFonts w:ascii="Times New Roman" w:hAnsi="Times New Roman" w:cs="Times New Roman" w:hint="eastAsia"/>
          <w:bCs/>
          <w:color w:val="000000"/>
          <w:szCs w:val="21"/>
        </w:rPr>
        <w:t>。</w:t>
      </w:r>
    </w:p>
    <w:p w14:paraId="40305F97"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（一）定制化集成业务</w:t>
      </w:r>
    </w:p>
    <w:p w14:paraId="1AD0039E"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报告期内，标的公司定制化集成业务的毛利及毛利率情况如下：</w:t>
      </w:r>
    </w:p>
    <w:p w14:paraId="39277D1F"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06"/>
        <w:gridCol w:w="1069"/>
        <w:gridCol w:w="1070"/>
        <w:gridCol w:w="1069"/>
        <w:gridCol w:w="1070"/>
        <w:gridCol w:w="1069"/>
        <w:gridCol w:w="1069"/>
      </w:tblGrid>
      <w:tr w:rsidR="000A0ACD" w14:paraId="6924BAE7" w14:textId="77777777">
        <w:trPr>
          <w:trHeight w:val="397"/>
          <w:tblHeader/>
          <w:jc w:val="center"/>
        </w:trPr>
        <w:tc>
          <w:tcPr>
            <w:tcW w:w="1236" w:type="pct"/>
            <w:vMerge w:val="restart"/>
            <w:tcBorders>
              <w:top w:val="single" w:sz="12" w:space="0" w:color="auto"/>
              <w:left w:val="nil"/>
              <w:bottom w:val="single" w:sz="4" w:space="0" w:color="auto"/>
              <w:right w:val="single" w:sz="4" w:space="0" w:color="auto"/>
            </w:tcBorders>
            <w:vAlign w:val="center"/>
          </w:tcPr>
          <w:p w14:paraId="3AF7D4FF"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定制化集成业务</w:t>
            </w:r>
          </w:p>
        </w:tc>
        <w:tc>
          <w:tcPr>
            <w:tcW w:w="1255" w:type="pct"/>
            <w:gridSpan w:val="2"/>
            <w:tcBorders>
              <w:top w:val="single" w:sz="12" w:space="0" w:color="auto"/>
              <w:left w:val="single" w:sz="4" w:space="0" w:color="auto"/>
              <w:bottom w:val="single" w:sz="4" w:space="0" w:color="auto"/>
              <w:right w:val="single" w:sz="4" w:space="0" w:color="auto"/>
            </w:tcBorders>
            <w:vAlign w:val="center"/>
          </w:tcPr>
          <w:p w14:paraId="50B30018"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w:t>
            </w:r>
          </w:p>
        </w:tc>
        <w:tc>
          <w:tcPr>
            <w:tcW w:w="1255" w:type="pct"/>
            <w:gridSpan w:val="2"/>
            <w:tcBorders>
              <w:top w:val="single" w:sz="12" w:space="0" w:color="auto"/>
              <w:left w:val="single" w:sz="4" w:space="0" w:color="auto"/>
              <w:bottom w:val="single" w:sz="4" w:space="0" w:color="auto"/>
              <w:right w:val="single" w:sz="4" w:space="0" w:color="auto"/>
            </w:tcBorders>
            <w:vAlign w:val="center"/>
          </w:tcPr>
          <w:p w14:paraId="7E17812A"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年度</w:t>
            </w:r>
          </w:p>
        </w:tc>
        <w:tc>
          <w:tcPr>
            <w:tcW w:w="1254" w:type="pct"/>
            <w:gridSpan w:val="2"/>
            <w:tcBorders>
              <w:top w:val="single" w:sz="12" w:space="0" w:color="auto"/>
              <w:left w:val="single" w:sz="4" w:space="0" w:color="auto"/>
              <w:bottom w:val="single" w:sz="4" w:space="0" w:color="auto"/>
              <w:right w:val="nil"/>
            </w:tcBorders>
            <w:vAlign w:val="center"/>
          </w:tcPr>
          <w:p w14:paraId="66C33067"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年度</w:t>
            </w:r>
          </w:p>
        </w:tc>
      </w:tr>
      <w:tr w:rsidR="000A0ACD" w14:paraId="15A2653A" w14:textId="77777777">
        <w:trPr>
          <w:trHeight w:val="397"/>
          <w:tblHeader/>
          <w:jc w:val="center"/>
        </w:trPr>
        <w:tc>
          <w:tcPr>
            <w:tcW w:w="1236" w:type="pct"/>
            <w:vMerge/>
            <w:tcBorders>
              <w:top w:val="single" w:sz="12" w:space="0" w:color="auto"/>
              <w:left w:val="nil"/>
              <w:bottom w:val="single" w:sz="4" w:space="0" w:color="auto"/>
              <w:right w:val="single" w:sz="4" w:space="0" w:color="auto"/>
            </w:tcBorders>
            <w:vAlign w:val="center"/>
          </w:tcPr>
          <w:p w14:paraId="412327CE" w14:textId="77777777" w:rsidR="000A0ACD" w:rsidRDefault="000A0ACD">
            <w:pPr>
              <w:rPr>
                <w:rFonts w:ascii="Times New Roman" w:hAnsi="Times New Roman" w:cs="Times New Roman"/>
                <w:b/>
                <w:bCs/>
                <w:color w:val="000000"/>
                <w:sz w:val="21"/>
                <w:szCs w:val="21"/>
              </w:rPr>
            </w:pPr>
          </w:p>
        </w:tc>
        <w:tc>
          <w:tcPr>
            <w:tcW w:w="627" w:type="pct"/>
            <w:tcBorders>
              <w:top w:val="single" w:sz="4" w:space="0" w:color="auto"/>
              <w:left w:val="single" w:sz="4" w:space="0" w:color="auto"/>
              <w:bottom w:val="single" w:sz="4" w:space="0" w:color="auto"/>
              <w:right w:val="single" w:sz="4" w:space="0" w:color="auto"/>
            </w:tcBorders>
            <w:noWrap/>
            <w:vAlign w:val="center"/>
          </w:tcPr>
          <w:p w14:paraId="7CBAD549"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8" w:type="pct"/>
            <w:tcBorders>
              <w:top w:val="single" w:sz="4" w:space="0" w:color="auto"/>
              <w:left w:val="single" w:sz="4" w:space="0" w:color="auto"/>
              <w:bottom w:val="single" w:sz="4" w:space="0" w:color="auto"/>
              <w:right w:val="single" w:sz="4" w:space="0" w:color="auto"/>
            </w:tcBorders>
            <w:noWrap/>
            <w:vAlign w:val="center"/>
          </w:tcPr>
          <w:p w14:paraId="26954E5A"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627" w:type="pct"/>
            <w:tcBorders>
              <w:top w:val="single" w:sz="4" w:space="0" w:color="auto"/>
              <w:left w:val="single" w:sz="4" w:space="0" w:color="auto"/>
              <w:bottom w:val="single" w:sz="4" w:space="0" w:color="auto"/>
              <w:right w:val="single" w:sz="4" w:space="0" w:color="auto"/>
            </w:tcBorders>
            <w:noWrap/>
            <w:vAlign w:val="center"/>
          </w:tcPr>
          <w:p w14:paraId="48EB9DD9"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8" w:type="pct"/>
            <w:tcBorders>
              <w:top w:val="single" w:sz="4" w:space="0" w:color="auto"/>
              <w:left w:val="single" w:sz="4" w:space="0" w:color="auto"/>
              <w:bottom w:val="single" w:sz="4" w:space="0" w:color="auto"/>
              <w:right w:val="single" w:sz="4" w:space="0" w:color="auto"/>
            </w:tcBorders>
            <w:noWrap/>
            <w:vAlign w:val="center"/>
          </w:tcPr>
          <w:p w14:paraId="12136ECB"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627" w:type="pct"/>
            <w:tcBorders>
              <w:top w:val="single" w:sz="4" w:space="0" w:color="auto"/>
              <w:left w:val="single" w:sz="4" w:space="0" w:color="auto"/>
              <w:bottom w:val="single" w:sz="4" w:space="0" w:color="auto"/>
              <w:right w:val="single" w:sz="4" w:space="0" w:color="auto"/>
            </w:tcBorders>
            <w:noWrap/>
            <w:vAlign w:val="center"/>
          </w:tcPr>
          <w:p w14:paraId="0E8E16E0"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7" w:type="pct"/>
            <w:tcBorders>
              <w:top w:val="single" w:sz="4" w:space="0" w:color="auto"/>
              <w:left w:val="single" w:sz="4" w:space="0" w:color="auto"/>
              <w:bottom w:val="single" w:sz="4" w:space="0" w:color="auto"/>
              <w:right w:val="nil"/>
            </w:tcBorders>
            <w:noWrap/>
            <w:vAlign w:val="center"/>
          </w:tcPr>
          <w:p w14:paraId="7C103A88"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0A0ACD" w14:paraId="35606D46" w14:textId="77777777">
        <w:trPr>
          <w:trHeight w:val="397"/>
          <w:jc w:val="center"/>
        </w:trPr>
        <w:tc>
          <w:tcPr>
            <w:tcW w:w="1236" w:type="pct"/>
            <w:tcBorders>
              <w:top w:val="single" w:sz="4" w:space="0" w:color="auto"/>
              <w:left w:val="nil"/>
              <w:bottom w:val="single" w:sz="4" w:space="0" w:color="auto"/>
              <w:right w:val="single" w:sz="4" w:space="0" w:color="auto"/>
            </w:tcBorders>
            <w:vAlign w:val="center"/>
          </w:tcPr>
          <w:p w14:paraId="12121241"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测试系统集成</w:t>
            </w:r>
          </w:p>
        </w:tc>
        <w:tc>
          <w:tcPr>
            <w:tcW w:w="627" w:type="pct"/>
            <w:tcBorders>
              <w:top w:val="single" w:sz="4" w:space="0" w:color="auto"/>
              <w:left w:val="single" w:sz="4" w:space="0" w:color="auto"/>
              <w:bottom w:val="single" w:sz="4" w:space="0" w:color="auto"/>
              <w:right w:val="single" w:sz="4" w:space="0" w:color="auto"/>
            </w:tcBorders>
            <w:vAlign w:val="center"/>
          </w:tcPr>
          <w:p w14:paraId="5A52F338"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3B49A09B"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27" w:type="pct"/>
            <w:tcBorders>
              <w:top w:val="single" w:sz="4" w:space="0" w:color="auto"/>
              <w:left w:val="single" w:sz="4" w:space="0" w:color="auto"/>
              <w:bottom w:val="single" w:sz="4" w:space="0" w:color="auto"/>
              <w:right w:val="single" w:sz="4" w:space="0" w:color="auto"/>
            </w:tcBorders>
            <w:vAlign w:val="center"/>
          </w:tcPr>
          <w:p w14:paraId="12A33E6A"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1B9E35C3"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27" w:type="pct"/>
            <w:tcBorders>
              <w:top w:val="single" w:sz="4" w:space="0" w:color="auto"/>
              <w:left w:val="single" w:sz="4" w:space="0" w:color="auto"/>
              <w:bottom w:val="single" w:sz="4" w:space="0" w:color="auto"/>
              <w:right w:val="single" w:sz="4" w:space="0" w:color="auto"/>
            </w:tcBorders>
            <w:vAlign w:val="center"/>
          </w:tcPr>
          <w:p w14:paraId="1F8137BC"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36.49</w:t>
            </w:r>
          </w:p>
        </w:tc>
        <w:tc>
          <w:tcPr>
            <w:tcW w:w="627" w:type="pct"/>
            <w:tcBorders>
              <w:top w:val="single" w:sz="4" w:space="0" w:color="auto"/>
              <w:left w:val="single" w:sz="4" w:space="0" w:color="auto"/>
              <w:bottom w:val="single" w:sz="4" w:space="0" w:color="auto"/>
              <w:right w:val="nil"/>
            </w:tcBorders>
            <w:noWrap/>
            <w:vAlign w:val="center"/>
          </w:tcPr>
          <w:p w14:paraId="3B43DC1F"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79.06%</w:t>
            </w:r>
          </w:p>
        </w:tc>
      </w:tr>
      <w:tr w:rsidR="000A0ACD" w14:paraId="7E9C17E9" w14:textId="77777777">
        <w:trPr>
          <w:trHeight w:val="397"/>
          <w:jc w:val="center"/>
        </w:trPr>
        <w:tc>
          <w:tcPr>
            <w:tcW w:w="1236" w:type="pct"/>
            <w:tcBorders>
              <w:top w:val="single" w:sz="4" w:space="0" w:color="auto"/>
              <w:left w:val="nil"/>
              <w:bottom w:val="single" w:sz="4" w:space="0" w:color="auto"/>
              <w:right w:val="single" w:sz="4" w:space="0" w:color="auto"/>
            </w:tcBorders>
            <w:vAlign w:val="center"/>
          </w:tcPr>
          <w:p w14:paraId="4F4CF25E"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企业信息化</w:t>
            </w:r>
          </w:p>
        </w:tc>
        <w:tc>
          <w:tcPr>
            <w:tcW w:w="627" w:type="pct"/>
            <w:tcBorders>
              <w:top w:val="single" w:sz="4" w:space="0" w:color="auto"/>
              <w:left w:val="single" w:sz="4" w:space="0" w:color="auto"/>
              <w:bottom w:val="single" w:sz="4" w:space="0" w:color="auto"/>
              <w:right w:val="single" w:sz="4" w:space="0" w:color="auto"/>
            </w:tcBorders>
            <w:vAlign w:val="center"/>
          </w:tcPr>
          <w:p w14:paraId="55FAD51E"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2,722.79</w:t>
            </w:r>
          </w:p>
        </w:tc>
        <w:tc>
          <w:tcPr>
            <w:tcW w:w="628" w:type="pct"/>
            <w:tcBorders>
              <w:top w:val="single" w:sz="4" w:space="0" w:color="auto"/>
              <w:left w:val="single" w:sz="4" w:space="0" w:color="auto"/>
              <w:bottom w:val="single" w:sz="4" w:space="0" w:color="auto"/>
              <w:right w:val="single" w:sz="4" w:space="0" w:color="auto"/>
            </w:tcBorders>
            <w:vAlign w:val="center"/>
          </w:tcPr>
          <w:p w14:paraId="12CEB8FE"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68.19%</w:t>
            </w:r>
          </w:p>
        </w:tc>
        <w:tc>
          <w:tcPr>
            <w:tcW w:w="627" w:type="pct"/>
            <w:tcBorders>
              <w:top w:val="single" w:sz="4" w:space="0" w:color="auto"/>
              <w:left w:val="single" w:sz="4" w:space="0" w:color="auto"/>
              <w:bottom w:val="single" w:sz="4" w:space="0" w:color="auto"/>
              <w:right w:val="single" w:sz="4" w:space="0" w:color="auto"/>
            </w:tcBorders>
            <w:vAlign w:val="center"/>
          </w:tcPr>
          <w:p w14:paraId="1F9B9AA1"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29.47</w:t>
            </w:r>
          </w:p>
        </w:tc>
        <w:tc>
          <w:tcPr>
            <w:tcW w:w="628" w:type="pct"/>
            <w:tcBorders>
              <w:top w:val="single" w:sz="4" w:space="0" w:color="auto"/>
              <w:left w:val="single" w:sz="4" w:space="0" w:color="auto"/>
              <w:bottom w:val="single" w:sz="4" w:space="0" w:color="auto"/>
              <w:right w:val="single" w:sz="4" w:space="0" w:color="auto"/>
            </w:tcBorders>
            <w:vAlign w:val="center"/>
          </w:tcPr>
          <w:p w14:paraId="2F87C85D"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87.70%</w:t>
            </w:r>
          </w:p>
        </w:tc>
        <w:tc>
          <w:tcPr>
            <w:tcW w:w="627" w:type="pct"/>
            <w:tcBorders>
              <w:top w:val="single" w:sz="4" w:space="0" w:color="auto"/>
              <w:left w:val="single" w:sz="4" w:space="0" w:color="auto"/>
              <w:bottom w:val="single" w:sz="4" w:space="0" w:color="auto"/>
              <w:right w:val="single" w:sz="4" w:space="0" w:color="auto"/>
            </w:tcBorders>
            <w:vAlign w:val="center"/>
          </w:tcPr>
          <w:p w14:paraId="071E6245"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165.12</w:t>
            </w:r>
          </w:p>
        </w:tc>
        <w:tc>
          <w:tcPr>
            <w:tcW w:w="627" w:type="pct"/>
            <w:tcBorders>
              <w:top w:val="single" w:sz="4" w:space="0" w:color="auto"/>
              <w:left w:val="single" w:sz="4" w:space="0" w:color="auto"/>
              <w:bottom w:val="single" w:sz="4" w:space="0" w:color="auto"/>
              <w:right w:val="nil"/>
            </w:tcBorders>
            <w:noWrap/>
            <w:vAlign w:val="center"/>
          </w:tcPr>
          <w:p w14:paraId="33AC934F"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93.89%</w:t>
            </w:r>
          </w:p>
        </w:tc>
      </w:tr>
      <w:tr w:rsidR="000A0ACD" w14:paraId="1DAA7B8C" w14:textId="77777777">
        <w:trPr>
          <w:trHeight w:val="397"/>
          <w:jc w:val="center"/>
        </w:trPr>
        <w:tc>
          <w:tcPr>
            <w:tcW w:w="1236" w:type="pct"/>
            <w:tcBorders>
              <w:top w:val="single" w:sz="4" w:space="0" w:color="auto"/>
              <w:left w:val="nil"/>
              <w:bottom w:val="single" w:sz="4" w:space="0" w:color="auto"/>
              <w:right w:val="single" w:sz="4" w:space="0" w:color="auto"/>
            </w:tcBorders>
            <w:vAlign w:val="center"/>
          </w:tcPr>
          <w:p w14:paraId="454E3A28"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物流悬挂输送系统</w:t>
            </w:r>
          </w:p>
        </w:tc>
        <w:tc>
          <w:tcPr>
            <w:tcW w:w="627" w:type="pct"/>
            <w:tcBorders>
              <w:top w:val="single" w:sz="4" w:space="0" w:color="auto"/>
              <w:left w:val="single" w:sz="4" w:space="0" w:color="auto"/>
              <w:bottom w:val="single" w:sz="4" w:space="0" w:color="auto"/>
              <w:right w:val="single" w:sz="4" w:space="0" w:color="auto"/>
            </w:tcBorders>
            <w:vAlign w:val="center"/>
          </w:tcPr>
          <w:p w14:paraId="6519FBC0" w14:textId="77777777" w:rsidR="000A0ACD" w:rsidRDefault="00362A99">
            <w:pPr>
              <w:snapToGrid w:val="0"/>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646.13</w:t>
            </w:r>
          </w:p>
        </w:tc>
        <w:tc>
          <w:tcPr>
            <w:tcW w:w="628" w:type="pct"/>
            <w:tcBorders>
              <w:top w:val="single" w:sz="4" w:space="0" w:color="auto"/>
              <w:left w:val="single" w:sz="4" w:space="0" w:color="auto"/>
              <w:bottom w:val="single" w:sz="4" w:space="0" w:color="auto"/>
              <w:right w:val="single" w:sz="4" w:space="0" w:color="auto"/>
            </w:tcBorders>
            <w:vAlign w:val="center"/>
          </w:tcPr>
          <w:p w14:paraId="30DBF22E" w14:textId="77777777" w:rsidR="000A0ACD" w:rsidRDefault="00362A99">
            <w:pPr>
              <w:snapToGrid w:val="0"/>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32.67%</w:t>
            </w:r>
          </w:p>
        </w:tc>
        <w:tc>
          <w:tcPr>
            <w:tcW w:w="627" w:type="pct"/>
            <w:tcBorders>
              <w:top w:val="single" w:sz="4" w:space="0" w:color="auto"/>
              <w:left w:val="single" w:sz="4" w:space="0" w:color="auto"/>
              <w:bottom w:val="single" w:sz="4" w:space="0" w:color="auto"/>
              <w:right w:val="single" w:sz="4" w:space="0" w:color="auto"/>
            </w:tcBorders>
            <w:vAlign w:val="center"/>
          </w:tcPr>
          <w:p w14:paraId="00E6AB1A"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357.93</w:t>
            </w:r>
          </w:p>
        </w:tc>
        <w:tc>
          <w:tcPr>
            <w:tcW w:w="628" w:type="pct"/>
            <w:tcBorders>
              <w:top w:val="single" w:sz="4" w:space="0" w:color="auto"/>
              <w:left w:val="single" w:sz="4" w:space="0" w:color="auto"/>
              <w:bottom w:val="single" w:sz="4" w:space="0" w:color="auto"/>
              <w:right w:val="single" w:sz="4" w:space="0" w:color="auto"/>
            </w:tcBorders>
            <w:vAlign w:val="center"/>
          </w:tcPr>
          <w:p w14:paraId="2C3EB680"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32.95%</w:t>
            </w:r>
          </w:p>
        </w:tc>
        <w:tc>
          <w:tcPr>
            <w:tcW w:w="627" w:type="pct"/>
            <w:tcBorders>
              <w:top w:val="single" w:sz="4" w:space="0" w:color="auto"/>
              <w:left w:val="single" w:sz="4" w:space="0" w:color="auto"/>
              <w:bottom w:val="single" w:sz="4" w:space="0" w:color="auto"/>
              <w:right w:val="single" w:sz="4" w:space="0" w:color="auto"/>
            </w:tcBorders>
            <w:vAlign w:val="center"/>
          </w:tcPr>
          <w:p w14:paraId="7CEC0CDC"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27" w:type="pct"/>
            <w:tcBorders>
              <w:top w:val="single" w:sz="4" w:space="0" w:color="auto"/>
              <w:left w:val="single" w:sz="4" w:space="0" w:color="auto"/>
              <w:bottom w:val="single" w:sz="4" w:space="0" w:color="auto"/>
              <w:right w:val="nil"/>
            </w:tcBorders>
            <w:noWrap/>
            <w:vAlign w:val="center"/>
          </w:tcPr>
          <w:p w14:paraId="06B660C1"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0A0ACD" w14:paraId="72D2F14E" w14:textId="77777777">
        <w:trPr>
          <w:trHeight w:val="397"/>
          <w:jc w:val="center"/>
        </w:trPr>
        <w:tc>
          <w:tcPr>
            <w:tcW w:w="1236" w:type="pct"/>
            <w:tcBorders>
              <w:top w:val="single" w:sz="4" w:space="0" w:color="auto"/>
              <w:left w:val="nil"/>
              <w:bottom w:val="single" w:sz="4" w:space="0" w:color="auto"/>
              <w:right w:val="single" w:sz="4" w:space="0" w:color="auto"/>
            </w:tcBorders>
            <w:vAlign w:val="center"/>
          </w:tcPr>
          <w:p w14:paraId="30525C83" w14:textId="77777777" w:rsidR="000A0ACD" w:rsidRDefault="00362A99">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智能制造装备</w:t>
            </w:r>
          </w:p>
        </w:tc>
        <w:tc>
          <w:tcPr>
            <w:tcW w:w="627" w:type="pct"/>
            <w:tcBorders>
              <w:top w:val="single" w:sz="4" w:space="0" w:color="auto"/>
              <w:left w:val="single" w:sz="4" w:space="0" w:color="auto"/>
              <w:bottom w:val="single" w:sz="4" w:space="0" w:color="auto"/>
              <w:right w:val="single" w:sz="4" w:space="0" w:color="auto"/>
            </w:tcBorders>
            <w:vAlign w:val="center"/>
          </w:tcPr>
          <w:p w14:paraId="62B3DF56" w14:textId="77777777" w:rsidR="000A0ACD" w:rsidRDefault="00362A99">
            <w:pPr>
              <w:snapToGrid w:val="0"/>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770.75</w:t>
            </w:r>
          </w:p>
        </w:tc>
        <w:tc>
          <w:tcPr>
            <w:tcW w:w="628" w:type="pct"/>
            <w:tcBorders>
              <w:top w:val="single" w:sz="4" w:space="0" w:color="auto"/>
              <w:left w:val="single" w:sz="4" w:space="0" w:color="auto"/>
              <w:bottom w:val="single" w:sz="4" w:space="0" w:color="auto"/>
              <w:right w:val="single" w:sz="4" w:space="0" w:color="auto"/>
            </w:tcBorders>
            <w:vAlign w:val="center"/>
          </w:tcPr>
          <w:p w14:paraId="298BC69A" w14:textId="77777777" w:rsidR="000A0ACD" w:rsidRDefault="00362A99">
            <w:pPr>
              <w:snapToGrid w:val="0"/>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32.74%</w:t>
            </w:r>
          </w:p>
        </w:tc>
        <w:tc>
          <w:tcPr>
            <w:tcW w:w="627" w:type="pct"/>
            <w:tcBorders>
              <w:top w:val="single" w:sz="4" w:space="0" w:color="auto"/>
              <w:left w:val="single" w:sz="4" w:space="0" w:color="auto"/>
              <w:bottom w:val="single" w:sz="4" w:space="0" w:color="auto"/>
              <w:right w:val="single" w:sz="4" w:space="0" w:color="auto"/>
            </w:tcBorders>
            <w:vAlign w:val="center"/>
          </w:tcPr>
          <w:p w14:paraId="724ECC0C"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2,536.82</w:t>
            </w:r>
          </w:p>
        </w:tc>
        <w:tc>
          <w:tcPr>
            <w:tcW w:w="628" w:type="pct"/>
            <w:tcBorders>
              <w:top w:val="single" w:sz="4" w:space="0" w:color="auto"/>
              <w:left w:val="single" w:sz="4" w:space="0" w:color="auto"/>
              <w:bottom w:val="single" w:sz="4" w:space="0" w:color="auto"/>
              <w:right w:val="single" w:sz="4" w:space="0" w:color="auto"/>
            </w:tcBorders>
            <w:vAlign w:val="center"/>
          </w:tcPr>
          <w:p w14:paraId="53F6DAD9"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34.17%</w:t>
            </w:r>
          </w:p>
        </w:tc>
        <w:tc>
          <w:tcPr>
            <w:tcW w:w="627" w:type="pct"/>
            <w:tcBorders>
              <w:top w:val="single" w:sz="4" w:space="0" w:color="auto"/>
              <w:left w:val="single" w:sz="4" w:space="0" w:color="auto"/>
              <w:bottom w:val="single" w:sz="4" w:space="0" w:color="auto"/>
              <w:right w:val="single" w:sz="4" w:space="0" w:color="auto"/>
            </w:tcBorders>
            <w:vAlign w:val="center"/>
          </w:tcPr>
          <w:p w14:paraId="4036A5A7"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251.77</w:t>
            </w:r>
          </w:p>
        </w:tc>
        <w:tc>
          <w:tcPr>
            <w:tcW w:w="627" w:type="pct"/>
            <w:tcBorders>
              <w:top w:val="single" w:sz="4" w:space="0" w:color="auto"/>
              <w:left w:val="single" w:sz="4" w:space="0" w:color="auto"/>
              <w:bottom w:val="single" w:sz="4" w:space="0" w:color="auto"/>
              <w:right w:val="nil"/>
            </w:tcBorders>
            <w:noWrap/>
            <w:vAlign w:val="center"/>
          </w:tcPr>
          <w:p w14:paraId="0B7DC3F3"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37.65%</w:t>
            </w:r>
          </w:p>
        </w:tc>
      </w:tr>
      <w:tr w:rsidR="000A0ACD" w14:paraId="38A41EF9" w14:textId="77777777">
        <w:trPr>
          <w:trHeight w:val="397"/>
          <w:jc w:val="center"/>
        </w:trPr>
        <w:tc>
          <w:tcPr>
            <w:tcW w:w="1236" w:type="pct"/>
            <w:tcBorders>
              <w:top w:val="single" w:sz="4" w:space="0" w:color="auto"/>
              <w:left w:val="nil"/>
              <w:bottom w:val="single" w:sz="12" w:space="0" w:color="auto"/>
              <w:right w:val="single" w:sz="4" w:space="0" w:color="auto"/>
            </w:tcBorders>
            <w:vAlign w:val="center"/>
          </w:tcPr>
          <w:p w14:paraId="218027BC"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627" w:type="pct"/>
            <w:tcBorders>
              <w:top w:val="single" w:sz="4" w:space="0" w:color="auto"/>
              <w:left w:val="single" w:sz="4" w:space="0" w:color="auto"/>
              <w:bottom w:val="single" w:sz="12" w:space="0" w:color="auto"/>
              <w:right w:val="single" w:sz="4" w:space="0" w:color="auto"/>
            </w:tcBorders>
            <w:vAlign w:val="center"/>
          </w:tcPr>
          <w:p w14:paraId="4C812E70" w14:textId="77777777" w:rsidR="000A0ACD" w:rsidRDefault="00362A99">
            <w:pPr>
              <w:snapToGrid w:val="0"/>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4,139.66</w:t>
            </w:r>
          </w:p>
        </w:tc>
        <w:tc>
          <w:tcPr>
            <w:tcW w:w="628" w:type="pct"/>
            <w:tcBorders>
              <w:top w:val="single" w:sz="4" w:space="0" w:color="auto"/>
              <w:left w:val="single" w:sz="4" w:space="0" w:color="auto"/>
              <w:bottom w:val="single" w:sz="12" w:space="0" w:color="auto"/>
              <w:right w:val="single" w:sz="4" w:space="0" w:color="auto"/>
            </w:tcBorders>
            <w:vAlign w:val="center"/>
          </w:tcPr>
          <w:p w14:paraId="12DF620C" w14:textId="77777777" w:rsidR="000A0ACD" w:rsidRDefault="00362A99">
            <w:pPr>
              <w:snapToGrid w:val="0"/>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49.73%</w:t>
            </w:r>
          </w:p>
        </w:tc>
        <w:tc>
          <w:tcPr>
            <w:tcW w:w="627" w:type="pct"/>
            <w:tcBorders>
              <w:top w:val="single" w:sz="4" w:space="0" w:color="auto"/>
              <w:left w:val="single" w:sz="4" w:space="0" w:color="auto"/>
              <w:bottom w:val="single" w:sz="12" w:space="0" w:color="auto"/>
              <w:right w:val="single" w:sz="4" w:space="0" w:color="auto"/>
            </w:tcBorders>
            <w:vAlign w:val="center"/>
          </w:tcPr>
          <w:p w14:paraId="1EC1144B" w14:textId="77777777" w:rsidR="000A0ACD" w:rsidRDefault="00362A99">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2,924.22</w:t>
            </w:r>
          </w:p>
        </w:tc>
        <w:tc>
          <w:tcPr>
            <w:tcW w:w="628" w:type="pct"/>
            <w:tcBorders>
              <w:top w:val="single" w:sz="4" w:space="0" w:color="auto"/>
              <w:left w:val="single" w:sz="4" w:space="0" w:color="auto"/>
              <w:bottom w:val="single" w:sz="12" w:space="0" w:color="auto"/>
              <w:right w:val="single" w:sz="4" w:space="0" w:color="auto"/>
            </w:tcBorders>
            <w:vAlign w:val="center"/>
          </w:tcPr>
          <w:p w14:paraId="703441FB" w14:textId="77777777" w:rsidR="000A0ACD" w:rsidRDefault="00362A99">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34.22%</w:t>
            </w:r>
          </w:p>
        </w:tc>
        <w:tc>
          <w:tcPr>
            <w:tcW w:w="627" w:type="pct"/>
            <w:tcBorders>
              <w:top w:val="single" w:sz="4" w:space="0" w:color="auto"/>
              <w:left w:val="single" w:sz="4" w:space="0" w:color="auto"/>
              <w:bottom w:val="single" w:sz="12" w:space="0" w:color="auto"/>
              <w:right w:val="single" w:sz="4" w:space="0" w:color="auto"/>
            </w:tcBorders>
            <w:vAlign w:val="center"/>
          </w:tcPr>
          <w:p w14:paraId="1FD437FE" w14:textId="77777777" w:rsidR="000A0ACD" w:rsidRDefault="00362A99">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453.37</w:t>
            </w:r>
          </w:p>
        </w:tc>
        <w:tc>
          <w:tcPr>
            <w:tcW w:w="627" w:type="pct"/>
            <w:tcBorders>
              <w:top w:val="single" w:sz="4" w:space="0" w:color="auto"/>
              <w:left w:val="single" w:sz="4" w:space="0" w:color="auto"/>
              <w:bottom w:val="single" w:sz="12" w:space="0" w:color="auto"/>
              <w:right w:val="nil"/>
            </w:tcBorders>
            <w:noWrap/>
            <w:vAlign w:val="center"/>
          </w:tcPr>
          <w:p w14:paraId="2B74BDDA" w14:textId="77777777" w:rsidR="000A0ACD" w:rsidRDefault="00362A99">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50.90%</w:t>
            </w:r>
          </w:p>
        </w:tc>
      </w:tr>
    </w:tbl>
    <w:p w14:paraId="0B451AF0"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年，标的公司定制化集成业务毛利率为</w:t>
      </w:r>
      <w:r>
        <w:rPr>
          <w:rFonts w:ascii="Times New Roman" w:hAnsi="Times New Roman" w:cs="Times New Roman"/>
          <w:bCs/>
          <w:color w:val="000000"/>
          <w:szCs w:val="21"/>
          <w:lang w:val="en-GB"/>
        </w:rPr>
        <w:t>34.22%</w:t>
      </w:r>
      <w:r>
        <w:rPr>
          <w:rFonts w:ascii="Times New Roman" w:hAnsi="Times New Roman" w:cs="Times New Roman" w:hint="eastAsia"/>
          <w:bCs/>
          <w:color w:val="000000"/>
          <w:szCs w:val="21"/>
          <w:lang w:val="en-GB"/>
        </w:rPr>
        <w:t>，较</w:t>
      </w:r>
      <w:r>
        <w:rPr>
          <w:rFonts w:ascii="Times New Roman" w:hAnsi="Times New Roman" w:cs="Times New Roman"/>
          <w:bCs/>
          <w:color w:val="000000"/>
          <w:szCs w:val="21"/>
          <w:lang w:val="en-GB"/>
        </w:rPr>
        <w:t>2018</w:t>
      </w:r>
      <w:r>
        <w:rPr>
          <w:rFonts w:ascii="Times New Roman" w:hAnsi="Times New Roman" w:cs="Times New Roman" w:hint="eastAsia"/>
          <w:bCs/>
          <w:color w:val="000000"/>
          <w:szCs w:val="21"/>
          <w:lang w:val="en-GB"/>
        </w:rPr>
        <w:t>年的</w:t>
      </w:r>
      <w:r>
        <w:rPr>
          <w:rFonts w:ascii="Times New Roman" w:hAnsi="Times New Roman" w:cs="Times New Roman"/>
          <w:bCs/>
          <w:color w:val="000000"/>
          <w:szCs w:val="21"/>
          <w:lang w:val="en-GB"/>
        </w:rPr>
        <w:t>50.90%</w:t>
      </w:r>
      <w:r>
        <w:rPr>
          <w:rFonts w:ascii="Times New Roman" w:hAnsi="Times New Roman" w:cs="Times New Roman" w:hint="eastAsia"/>
          <w:bCs/>
          <w:color w:val="000000"/>
          <w:szCs w:val="21"/>
          <w:lang w:val="en-GB"/>
        </w:rPr>
        <w:t>下降了</w:t>
      </w:r>
      <w:r>
        <w:rPr>
          <w:rFonts w:ascii="Times New Roman" w:hAnsi="Times New Roman" w:cs="Times New Roman"/>
          <w:bCs/>
          <w:color w:val="000000"/>
          <w:szCs w:val="21"/>
          <w:lang w:val="en-GB"/>
        </w:rPr>
        <w:t>16.68%</w:t>
      </w:r>
      <w:r>
        <w:rPr>
          <w:rFonts w:ascii="Times New Roman" w:hAnsi="Times New Roman" w:cs="Times New Roman" w:hint="eastAsia"/>
          <w:bCs/>
          <w:color w:val="000000"/>
          <w:szCs w:val="21"/>
          <w:lang w:val="en-GB"/>
        </w:rPr>
        <w:t>，主要系</w:t>
      </w:r>
      <w:r>
        <w:rPr>
          <w:rFonts w:ascii="Times New Roman" w:hAnsi="Times New Roman" w:cs="Times New Roman"/>
          <w:bCs/>
          <w:color w:val="000000"/>
          <w:szCs w:val="21"/>
          <w:lang w:val="en-GB"/>
        </w:rPr>
        <w:t>2018</w:t>
      </w:r>
      <w:r>
        <w:rPr>
          <w:rFonts w:ascii="Times New Roman" w:hAnsi="Times New Roman" w:cs="Times New Roman" w:hint="eastAsia"/>
          <w:bCs/>
          <w:color w:val="000000"/>
          <w:szCs w:val="21"/>
          <w:lang w:val="en-GB"/>
        </w:rPr>
        <w:t>年企业信息化业务毛利率为</w:t>
      </w:r>
      <w:r>
        <w:rPr>
          <w:rFonts w:ascii="Times New Roman" w:hAnsi="Times New Roman" w:cs="Times New Roman"/>
          <w:bCs/>
          <w:color w:val="000000"/>
          <w:szCs w:val="21"/>
          <w:lang w:val="en-GB"/>
        </w:rPr>
        <w:t>93.89%</w:t>
      </w:r>
      <w:r>
        <w:rPr>
          <w:rFonts w:ascii="Times New Roman" w:hAnsi="Times New Roman" w:cs="Times New Roman" w:hint="eastAsia"/>
          <w:bCs/>
          <w:color w:val="000000"/>
          <w:szCs w:val="21"/>
          <w:lang w:val="en-GB"/>
        </w:rPr>
        <w:t>，收入为</w:t>
      </w:r>
      <w:r>
        <w:rPr>
          <w:rFonts w:ascii="Times New Roman" w:hAnsi="Times New Roman" w:cs="Times New Roman"/>
          <w:bCs/>
          <w:color w:val="000000"/>
          <w:szCs w:val="21"/>
          <w:lang w:val="en-GB"/>
        </w:rPr>
        <w:t>175.86</w:t>
      </w:r>
      <w:r>
        <w:rPr>
          <w:rFonts w:ascii="Times New Roman" w:hAnsi="Times New Roman" w:cs="Times New Roman" w:hint="eastAsia"/>
          <w:bCs/>
          <w:color w:val="000000"/>
          <w:szCs w:val="21"/>
          <w:lang w:val="en-GB"/>
        </w:rPr>
        <w:t>万元，占总定制化集成业务</w:t>
      </w:r>
      <w:r>
        <w:rPr>
          <w:rFonts w:ascii="Times New Roman" w:hAnsi="Times New Roman" w:cs="Times New Roman"/>
          <w:bCs/>
          <w:color w:val="000000"/>
          <w:szCs w:val="21"/>
          <w:lang w:val="en-GB"/>
        </w:rPr>
        <w:t>890.75</w:t>
      </w:r>
      <w:r>
        <w:rPr>
          <w:rFonts w:ascii="Times New Roman" w:hAnsi="Times New Roman" w:cs="Times New Roman" w:hint="eastAsia"/>
          <w:bCs/>
          <w:color w:val="000000"/>
          <w:szCs w:val="21"/>
          <w:lang w:val="en-GB"/>
        </w:rPr>
        <w:t>万元的</w:t>
      </w:r>
      <w:r>
        <w:rPr>
          <w:rFonts w:ascii="Times New Roman" w:hAnsi="Times New Roman" w:cs="Times New Roman"/>
          <w:bCs/>
          <w:color w:val="000000"/>
          <w:szCs w:val="21"/>
          <w:lang w:val="en-GB"/>
        </w:rPr>
        <w:t>19.74%</w:t>
      </w: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年，标的公司企业信息化业务毛利率为</w:t>
      </w:r>
      <w:r>
        <w:rPr>
          <w:rFonts w:ascii="Times New Roman" w:hAnsi="Times New Roman" w:cs="Times New Roman"/>
          <w:bCs/>
          <w:color w:val="000000"/>
          <w:szCs w:val="21"/>
          <w:lang w:val="en-GB"/>
        </w:rPr>
        <w:t>87.70%</w:t>
      </w:r>
      <w:r>
        <w:rPr>
          <w:rFonts w:ascii="Times New Roman" w:hAnsi="Times New Roman" w:cs="Times New Roman" w:hint="eastAsia"/>
          <w:bCs/>
          <w:color w:val="000000"/>
          <w:szCs w:val="21"/>
          <w:lang w:val="en-GB"/>
        </w:rPr>
        <w:t>，相应收入为</w:t>
      </w:r>
      <w:r>
        <w:rPr>
          <w:rFonts w:ascii="Times New Roman" w:hAnsi="Times New Roman" w:cs="Times New Roman"/>
          <w:bCs/>
          <w:color w:val="000000"/>
          <w:szCs w:val="21"/>
          <w:lang w:val="en-GB"/>
        </w:rPr>
        <w:t>33.61</w:t>
      </w:r>
      <w:r>
        <w:rPr>
          <w:rFonts w:ascii="Times New Roman" w:hAnsi="Times New Roman" w:cs="Times New Roman" w:hint="eastAsia"/>
          <w:bCs/>
          <w:color w:val="000000"/>
          <w:szCs w:val="21"/>
          <w:lang w:val="en-GB"/>
        </w:rPr>
        <w:t>万元，占定制化集成业务</w:t>
      </w:r>
      <w:r>
        <w:rPr>
          <w:rFonts w:ascii="Times New Roman" w:hAnsi="Times New Roman" w:cs="Times New Roman"/>
          <w:bCs/>
          <w:color w:val="000000"/>
          <w:szCs w:val="21"/>
          <w:lang w:val="en-GB"/>
        </w:rPr>
        <w:t>8,544.53</w:t>
      </w:r>
      <w:r>
        <w:rPr>
          <w:rFonts w:ascii="Times New Roman" w:hAnsi="Times New Roman" w:cs="Times New Roman" w:hint="eastAsia"/>
          <w:bCs/>
          <w:color w:val="000000"/>
          <w:szCs w:val="21"/>
          <w:lang w:val="en-GB"/>
        </w:rPr>
        <w:t>万元的</w:t>
      </w:r>
      <w:r>
        <w:rPr>
          <w:rFonts w:ascii="Times New Roman" w:hAnsi="Times New Roman" w:cs="Times New Roman"/>
          <w:bCs/>
          <w:color w:val="000000"/>
          <w:szCs w:val="21"/>
          <w:lang w:val="en-GB"/>
        </w:rPr>
        <w:t>0.39%</w:t>
      </w: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年定制化集成业务中高毛利率的企业信息化业务收入占比较</w:t>
      </w:r>
      <w:r>
        <w:rPr>
          <w:rFonts w:ascii="Times New Roman" w:hAnsi="Times New Roman" w:cs="Times New Roman"/>
          <w:bCs/>
          <w:color w:val="000000"/>
          <w:szCs w:val="21"/>
          <w:lang w:val="en-GB"/>
        </w:rPr>
        <w:t>2018</w:t>
      </w:r>
      <w:r>
        <w:rPr>
          <w:rFonts w:ascii="Times New Roman" w:hAnsi="Times New Roman" w:cs="Times New Roman" w:hint="eastAsia"/>
          <w:bCs/>
          <w:color w:val="000000"/>
          <w:szCs w:val="21"/>
          <w:lang w:val="en-GB"/>
        </w:rPr>
        <w:t>年大幅下降，导致</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年定制化集成业务毛利率有所下降。</w:t>
      </w:r>
    </w:p>
    <w:p w14:paraId="752732EA"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年，标的公司定制化集成业务毛利率为</w:t>
      </w:r>
      <w:r>
        <w:rPr>
          <w:rFonts w:ascii="Times New Roman" w:hAnsi="Times New Roman" w:cs="Times New Roman"/>
          <w:bCs/>
          <w:color w:val="000000"/>
          <w:szCs w:val="21"/>
          <w:lang w:val="en-GB"/>
        </w:rPr>
        <w:t>49.73%</w:t>
      </w:r>
      <w:r>
        <w:rPr>
          <w:rFonts w:ascii="Times New Roman" w:hAnsi="Times New Roman" w:cs="Times New Roman" w:hint="eastAsia"/>
          <w:bCs/>
          <w:color w:val="000000"/>
          <w:szCs w:val="21"/>
          <w:lang w:val="en-GB"/>
        </w:rPr>
        <w:t>，较</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年的</w:t>
      </w:r>
      <w:r>
        <w:rPr>
          <w:rFonts w:ascii="Times New Roman" w:hAnsi="Times New Roman" w:cs="Times New Roman"/>
          <w:bCs/>
          <w:color w:val="000000"/>
          <w:szCs w:val="21"/>
          <w:lang w:val="en-GB"/>
        </w:rPr>
        <w:t>34.22%</w:t>
      </w:r>
      <w:r>
        <w:rPr>
          <w:rFonts w:ascii="Times New Roman" w:hAnsi="Times New Roman" w:cs="Times New Roman" w:hint="eastAsia"/>
          <w:bCs/>
          <w:color w:val="000000"/>
          <w:szCs w:val="21"/>
          <w:lang w:val="en-GB"/>
        </w:rPr>
        <w:t>增加了</w:t>
      </w:r>
      <w:r>
        <w:rPr>
          <w:rFonts w:ascii="Times New Roman" w:hAnsi="Times New Roman" w:cs="Times New Roman"/>
          <w:bCs/>
          <w:color w:val="000000"/>
          <w:szCs w:val="21"/>
          <w:lang w:val="en-GB"/>
        </w:rPr>
        <w:t>15.51%</w:t>
      </w:r>
      <w:r>
        <w:rPr>
          <w:rFonts w:ascii="Times New Roman" w:hAnsi="Times New Roman" w:cs="Times New Roman" w:hint="eastAsia"/>
          <w:bCs/>
          <w:color w:val="000000"/>
          <w:szCs w:val="21"/>
          <w:lang w:val="en-GB"/>
        </w:rPr>
        <w:t>，主要系高毛利率的企业信息化业务规模大幅增长所致。</w:t>
      </w:r>
    </w:p>
    <w:p w14:paraId="7BD93104"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（二）机器人及配套业务</w:t>
      </w:r>
    </w:p>
    <w:p w14:paraId="563A69F4"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报告期内，标的公司机器人及配套业务的毛利及毛利率情况如下：</w:t>
      </w:r>
    </w:p>
    <w:p w14:paraId="19FF8717"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942"/>
        <w:gridCol w:w="1137"/>
        <w:gridCol w:w="900"/>
        <w:gridCol w:w="794"/>
        <w:gridCol w:w="899"/>
        <w:gridCol w:w="951"/>
        <w:gridCol w:w="899"/>
      </w:tblGrid>
      <w:tr w:rsidR="000A0ACD" w14:paraId="1E75423F" w14:textId="77777777">
        <w:trPr>
          <w:trHeight w:val="397"/>
          <w:tblHeader/>
          <w:jc w:val="center"/>
        </w:trPr>
        <w:tc>
          <w:tcPr>
            <w:tcW w:w="1727" w:type="pct"/>
            <w:vMerge w:val="restart"/>
            <w:tcBorders>
              <w:top w:val="single" w:sz="12" w:space="0" w:color="auto"/>
              <w:left w:val="nil"/>
              <w:bottom w:val="single" w:sz="4" w:space="0" w:color="auto"/>
              <w:right w:val="single" w:sz="4" w:space="0" w:color="auto"/>
            </w:tcBorders>
            <w:vAlign w:val="center"/>
          </w:tcPr>
          <w:p w14:paraId="7AEE41D6"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机器人及配套业务</w:t>
            </w:r>
          </w:p>
        </w:tc>
        <w:tc>
          <w:tcPr>
            <w:tcW w:w="1195" w:type="pct"/>
            <w:gridSpan w:val="2"/>
            <w:tcBorders>
              <w:top w:val="single" w:sz="12" w:space="0" w:color="auto"/>
              <w:left w:val="single" w:sz="4" w:space="0" w:color="auto"/>
              <w:bottom w:val="single" w:sz="4" w:space="0" w:color="auto"/>
              <w:right w:val="single" w:sz="4" w:space="0" w:color="auto"/>
            </w:tcBorders>
            <w:vAlign w:val="center"/>
          </w:tcPr>
          <w:p w14:paraId="2160AFB2"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年度</w:t>
            </w:r>
          </w:p>
        </w:tc>
        <w:tc>
          <w:tcPr>
            <w:tcW w:w="993" w:type="pct"/>
            <w:gridSpan w:val="2"/>
            <w:tcBorders>
              <w:top w:val="single" w:sz="12" w:space="0" w:color="auto"/>
              <w:left w:val="single" w:sz="4" w:space="0" w:color="auto"/>
              <w:bottom w:val="single" w:sz="4" w:space="0" w:color="auto"/>
              <w:right w:val="single" w:sz="4" w:space="0" w:color="auto"/>
            </w:tcBorders>
            <w:vAlign w:val="center"/>
          </w:tcPr>
          <w:p w14:paraId="15410A5F"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年度</w:t>
            </w:r>
          </w:p>
        </w:tc>
        <w:tc>
          <w:tcPr>
            <w:tcW w:w="1085" w:type="pct"/>
            <w:gridSpan w:val="2"/>
            <w:tcBorders>
              <w:top w:val="single" w:sz="12" w:space="0" w:color="auto"/>
              <w:left w:val="single" w:sz="4" w:space="0" w:color="auto"/>
              <w:bottom w:val="single" w:sz="4" w:space="0" w:color="auto"/>
              <w:right w:val="nil"/>
            </w:tcBorders>
            <w:vAlign w:val="center"/>
          </w:tcPr>
          <w:p w14:paraId="7B3795A8" w14:textId="77777777" w:rsidR="000A0ACD" w:rsidRDefault="00362A99">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年度</w:t>
            </w:r>
          </w:p>
        </w:tc>
      </w:tr>
      <w:tr w:rsidR="000A0ACD" w14:paraId="1E507CCD" w14:textId="77777777">
        <w:trPr>
          <w:trHeight w:val="397"/>
          <w:tblHeader/>
          <w:jc w:val="center"/>
        </w:trPr>
        <w:tc>
          <w:tcPr>
            <w:tcW w:w="1727" w:type="pct"/>
            <w:vMerge/>
            <w:tcBorders>
              <w:top w:val="single" w:sz="12" w:space="0" w:color="auto"/>
              <w:left w:val="nil"/>
              <w:bottom w:val="single" w:sz="4" w:space="0" w:color="auto"/>
              <w:right w:val="single" w:sz="4" w:space="0" w:color="auto"/>
            </w:tcBorders>
            <w:vAlign w:val="center"/>
          </w:tcPr>
          <w:p w14:paraId="137B3A3D" w14:textId="77777777" w:rsidR="000A0ACD" w:rsidRDefault="000A0ACD">
            <w:pPr>
              <w:rPr>
                <w:rFonts w:ascii="Times New Roman" w:hAnsi="Times New Roman" w:cs="Times New Roman"/>
                <w:b/>
                <w:bCs/>
                <w:color w:val="000000"/>
                <w:sz w:val="21"/>
                <w:szCs w:val="21"/>
              </w:rPr>
            </w:pPr>
          </w:p>
        </w:tc>
        <w:tc>
          <w:tcPr>
            <w:tcW w:w="667" w:type="pct"/>
            <w:tcBorders>
              <w:top w:val="single" w:sz="4" w:space="0" w:color="auto"/>
              <w:left w:val="single" w:sz="4" w:space="0" w:color="auto"/>
              <w:bottom w:val="single" w:sz="4" w:space="0" w:color="auto"/>
              <w:right w:val="single" w:sz="4" w:space="0" w:color="auto"/>
            </w:tcBorders>
            <w:noWrap/>
            <w:vAlign w:val="center"/>
          </w:tcPr>
          <w:p w14:paraId="7975F758"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27" w:type="pct"/>
            <w:tcBorders>
              <w:top w:val="single" w:sz="4" w:space="0" w:color="auto"/>
              <w:left w:val="single" w:sz="4" w:space="0" w:color="auto"/>
              <w:bottom w:val="single" w:sz="4" w:space="0" w:color="auto"/>
              <w:right w:val="single" w:sz="4" w:space="0" w:color="auto"/>
            </w:tcBorders>
            <w:noWrap/>
            <w:vAlign w:val="center"/>
          </w:tcPr>
          <w:p w14:paraId="3D9EEC38"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466" w:type="pct"/>
            <w:tcBorders>
              <w:top w:val="single" w:sz="4" w:space="0" w:color="auto"/>
              <w:left w:val="single" w:sz="4" w:space="0" w:color="auto"/>
              <w:bottom w:val="single" w:sz="4" w:space="0" w:color="auto"/>
              <w:right w:val="single" w:sz="4" w:space="0" w:color="auto"/>
            </w:tcBorders>
            <w:noWrap/>
            <w:vAlign w:val="center"/>
          </w:tcPr>
          <w:p w14:paraId="14D906EC"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27" w:type="pct"/>
            <w:tcBorders>
              <w:top w:val="single" w:sz="4" w:space="0" w:color="auto"/>
              <w:left w:val="single" w:sz="4" w:space="0" w:color="auto"/>
              <w:bottom w:val="single" w:sz="4" w:space="0" w:color="auto"/>
              <w:right w:val="single" w:sz="4" w:space="0" w:color="auto"/>
            </w:tcBorders>
            <w:noWrap/>
            <w:vAlign w:val="center"/>
          </w:tcPr>
          <w:p w14:paraId="64EB58C2"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558" w:type="pct"/>
            <w:tcBorders>
              <w:top w:val="single" w:sz="4" w:space="0" w:color="auto"/>
              <w:left w:val="single" w:sz="4" w:space="0" w:color="auto"/>
              <w:bottom w:val="single" w:sz="4" w:space="0" w:color="auto"/>
              <w:right w:val="single" w:sz="4" w:space="0" w:color="auto"/>
            </w:tcBorders>
            <w:noWrap/>
            <w:vAlign w:val="center"/>
          </w:tcPr>
          <w:p w14:paraId="33B90031"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27" w:type="pct"/>
            <w:tcBorders>
              <w:top w:val="single" w:sz="4" w:space="0" w:color="auto"/>
              <w:left w:val="single" w:sz="4" w:space="0" w:color="auto"/>
              <w:bottom w:val="single" w:sz="4" w:space="0" w:color="auto"/>
              <w:right w:val="nil"/>
            </w:tcBorders>
            <w:noWrap/>
            <w:vAlign w:val="center"/>
          </w:tcPr>
          <w:p w14:paraId="5B4918FD" w14:textId="77777777" w:rsidR="000A0ACD" w:rsidRDefault="00362A99">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0A0ACD" w14:paraId="7379E36F"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10D0849D"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机器人本体销售</w:t>
            </w:r>
          </w:p>
        </w:tc>
        <w:tc>
          <w:tcPr>
            <w:tcW w:w="667" w:type="pct"/>
            <w:tcBorders>
              <w:top w:val="single" w:sz="4" w:space="0" w:color="auto"/>
              <w:left w:val="single" w:sz="4" w:space="0" w:color="auto"/>
              <w:bottom w:val="single" w:sz="4" w:space="0" w:color="auto"/>
              <w:right w:val="single" w:sz="4" w:space="0" w:color="auto"/>
            </w:tcBorders>
            <w:vAlign w:val="center"/>
          </w:tcPr>
          <w:p w14:paraId="2A7C4118"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4.46</w:t>
            </w:r>
          </w:p>
        </w:tc>
        <w:tc>
          <w:tcPr>
            <w:tcW w:w="527" w:type="pct"/>
            <w:tcBorders>
              <w:top w:val="single" w:sz="4" w:space="0" w:color="auto"/>
              <w:left w:val="single" w:sz="4" w:space="0" w:color="auto"/>
              <w:bottom w:val="single" w:sz="4" w:space="0" w:color="auto"/>
              <w:right w:val="single" w:sz="4" w:space="0" w:color="auto"/>
            </w:tcBorders>
            <w:vAlign w:val="center"/>
          </w:tcPr>
          <w:p w14:paraId="7BDA092F"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4.17%</w:t>
            </w:r>
          </w:p>
        </w:tc>
        <w:tc>
          <w:tcPr>
            <w:tcW w:w="466" w:type="pct"/>
            <w:tcBorders>
              <w:top w:val="single" w:sz="4" w:space="0" w:color="auto"/>
              <w:left w:val="single" w:sz="4" w:space="0" w:color="auto"/>
              <w:bottom w:val="single" w:sz="4" w:space="0" w:color="auto"/>
              <w:right w:val="single" w:sz="4" w:space="0" w:color="auto"/>
            </w:tcBorders>
            <w:vAlign w:val="center"/>
          </w:tcPr>
          <w:p w14:paraId="769F5D9C"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7.37</w:t>
            </w:r>
          </w:p>
        </w:tc>
        <w:tc>
          <w:tcPr>
            <w:tcW w:w="527" w:type="pct"/>
            <w:tcBorders>
              <w:top w:val="single" w:sz="4" w:space="0" w:color="auto"/>
              <w:left w:val="single" w:sz="4" w:space="0" w:color="auto"/>
              <w:bottom w:val="single" w:sz="4" w:space="0" w:color="auto"/>
              <w:right w:val="single" w:sz="4" w:space="0" w:color="auto"/>
            </w:tcBorders>
            <w:vAlign w:val="center"/>
          </w:tcPr>
          <w:p w14:paraId="5AD72E85"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6.06%</w:t>
            </w:r>
          </w:p>
        </w:tc>
        <w:tc>
          <w:tcPr>
            <w:tcW w:w="558" w:type="pct"/>
            <w:tcBorders>
              <w:top w:val="single" w:sz="4" w:space="0" w:color="auto"/>
              <w:left w:val="single" w:sz="4" w:space="0" w:color="auto"/>
              <w:bottom w:val="single" w:sz="4" w:space="0" w:color="auto"/>
              <w:right w:val="single" w:sz="4" w:space="0" w:color="auto"/>
            </w:tcBorders>
            <w:vAlign w:val="center"/>
          </w:tcPr>
          <w:p w14:paraId="0C20801B"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27" w:type="pct"/>
            <w:tcBorders>
              <w:top w:val="single" w:sz="4" w:space="0" w:color="auto"/>
              <w:left w:val="single" w:sz="4" w:space="0" w:color="auto"/>
              <w:bottom w:val="single" w:sz="4" w:space="0" w:color="auto"/>
              <w:right w:val="nil"/>
            </w:tcBorders>
            <w:noWrap/>
            <w:vAlign w:val="center"/>
          </w:tcPr>
          <w:p w14:paraId="55DF52D7"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r>
      <w:tr w:rsidR="000A0ACD" w14:paraId="1ED7A2B7"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261717A8"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机器人集成应用</w:t>
            </w:r>
          </w:p>
        </w:tc>
        <w:tc>
          <w:tcPr>
            <w:tcW w:w="667" w:type="pct"/>
            <w:tcBorders>
              <w:top w:val="single" w:sz="4" w:space="0" w:color="auto"/>
              <w:left w:val="single" w:sz="4" w:space="0" w:color="auto"/>
              <w:bottom w:val="single" w:sz="4" w:space="0" w:color="auto"/>
              <w:right w:val="single" w:sz="4" w:space="0" w:color="auto"/>
            </w:tcBorders>
            <w:vAlign w:val="center"/>
          </w:tcPr>
          <w:p w14:paraId="5EF34519"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1,611.34</w:t>
            </w:r>
          </w:p>
        </w:tc>
        <w:tc>
          <w:tcPr>
            <w:tcW w:w="527" w:type="pct"/>
            <w:tcBorders>
              <w:top w:val="single" w:sz="4" w:space="0" w:color="auto"/>
              <w:left w:val="single" w:sz="4" w:space="0" w:color="auto"/>
              <w:bottom w:val="single" w:sz="4" w:space="0" w:color="auto"/>
              <w:right w:val="single" w:sz="4" w:space="0" w:color="auto"/>
            </w:tcBorders>
            <w:vAlign w:val="center"/>
          </w:tcPr>
          <w:p w14:paraId="35AEAB58"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24.32%</w:t>
            </w:r>
          </w:p>
        </w:tc>
        <w:tc>
          <w:tcPr>
            <w:tcW w:w="466" w:type="pct"/>
            <w:tcBorders>
              <w:top w:val="single" w:sz="4" w:space="0" w:color="auto"/>
              <w:left w:val="single" w:sz="4" w:space="0" w:color="auto"/>
              <w:bottom w:val="single" w:sz="4" w:space="0" w:color="auto"/>
              <w:right w:val="single" w:sz="4" w:space="0" w:color="auto"/>
            </w:tcBorders>
            <w:vAlign w:val="center"/>
          </w:tcPr>
          <w:p w14:paraId="08F031F4"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468.59</w:t>
            </w:r>
          </w:p>
        </w:tc>
        <w:tc>
          <w:tcPr>
            <w:tcW w:w="527" w:type="pct"/>
            <w:tcBorders>
              <w:top w:val="single" w:sz="4" w:space="0" w:color="auto"/>
              <w:left w:val="single" w:sz="4" w:space="0" w:color="auto"/>
              <w:bottom w:val="single" w:sz="4" w:space="0" w:color="auto"/>
              <w:right w:val="single" w:sz="4" w:space="0" w:color="auto"/>
            </w:tcBorders>
            <w:vAlign w:val="center"/>
          </w:tcPr>
          <w:p w14:paraId="01B90F19"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28.68%</w:t>
            </w:r>
          </w:p>
        </w:tc>
        <w:tc>
          <w:tcPr>
            <w:tcW w:w="558" w:type="pct"/>
            <w:tcBorders>
              <w:top w:val="single" w:sz="4" w:space="0" w:color="auto"/>
              <w:left w:val="single" w:sz="4" w:space="0" w:color="auto"/>
              <w:bottom w:val="single" w:sz="4" w:space="0" w:color="auto"/>
              <w:right w:val="single" w:sz="4" w:space="0" w:color="auto"/>
            </w:tcBorders>
            <w:vAlign w:val="center"/>
          </w:tcPr>
          <w:p w14:paraId="3384E110"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1,539.28</w:t>
            </w:r>
          </w:p>
        </w:tc>
        <w:tc>
          <w:tcPr>
            <w:tcW w:w="527" w:type="pct"/>
            <w:tcBorders>
              <w:top w:val="single" w:sz="4" w:space="0" w:color="auto"/>
              <w:left w:val="single" w:sz="4" w:space="0" w:color="auto"/>
              <w:bottom w:val="single" w:sz="4" w:space="0" w:color="auto"/>
              <w:right w:val="nil"/>
            </w:tcBorders>
            <w:noWrap/>
            <w:vAlign w:val="center"/>
          </w:tcPr>
          <w:p w14:paraId="0BBAF863"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29.51%</w:t>
            </w:r>
          </w:p>
        </w:tc>
      </w:tr>
      <w:tr w:rsidR="000A0ACD" w14:paraId="1F995F55"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518A1B86" w14:textId="77777777" w:rsidR="000A0ACD" w:rsidRDefault="00362A99">
            <w:pPr>
              <w:snapToGrid w:val="0"/>
              <w:ind w:firstLineChars="200" w:firstLine="42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t>非冲压连线项目</w:t>
            </w:r>
          </w:p>
        </w:tc>
        <w:tc>
          <w:tcPr>
            <w:tcW w:w="667" w:type="pct"/>
            <w:tcBorders>
              <w:top w:val="single" w:sz="4" w:space="0" w:color="auto"/>
              <w:left w:val="single" w:sz="4" w:space="0" w:color="auto"/>
              <w:bottom w:val="single" w:sz="4" w:space="0" w:color="auto"/>
              <w:right w:val="single" w:sz="4" w:space="0" w:color="auto"/>
            </w:tcBorders>
            <w:vAlign w:val="center"/>
          </w:tcPr>
          <w:p w14:paraId="3A4EC3BD"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513.05</w:t>
            </w:r>
          </w:p>
        </w:tc>
        <w:tc>
          <w:tcPr>
            <w:tcW w:w="527" w:type="pct"/>
            <w:tcBorders>
              <w:top w:val="single" w:sz="4" w:space="0" w:color="auto"/>
              <w:left w:val="single" w:sz="4" w:space="0" w:color="auto"/>
              <w:bottom w:val="single" w:sz="4" w:space="0" w:color="auto"/>
              <w:right w:val="single" w:sz="4" w:space="0" w:color="auto"/>
            </w:tcBorders>
            <w:vAlign w:val="center"/>
          </w:tcPr>
          <w:p w14:paraId="7AB7FE40"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32.46%</w:t>
            </w:r>
          </w:p>
        </w:tc>
        <w:tc>
          <w:tcPr>
            <w:tcW w:w="466" w:type="pct"/>
            <w:tcBorders>
              <w:top w:val="single" w:sz="4" w:space="0" w:color="auto"/>
              <w:left w:val="single" w:sz="4" w:space="0" w:color="auto"/>
              <w:bottom w:val="single" w:sz="4" w:space="0" w:color="auto"/>
              <w:right w:val="single" w:sz="4" w:space="0" w:color="auto"/>
            </w:tcBorders>
            <w:vAlign w:val="center"/>
          </w:tcPr>
          <w:p w14:paraId="7FA1E039"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422.93</w:t>
            </w:r>
          </w:p>
        </w:tc>
        <w:tc>
          <w:tcPr>
            <w:tcW w:w="527" w:type="pct"/>
            <w:tcBorders>
              <w:top w:val="single" w:sz="4" w:space="0" w:color="auto"/>
              <w:left w:val="single" w:sz="4" w:space="0" w:color="auto"/>
              <w:bottom w:val="single" w:sz="4" w:space="0" w:color="auto"/>
              <w:right w:val="single" w:sz="4" w:space="0" w:color="auto"/>
            </w:tcBorders>
            <w:vAlign w:val="center"/>
          </w:tcPr>
          <w:p w14:paraId="0023D808"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34.40%</w:t>
            </w:r>
          </w:p>
        </w:tc>
        <w:tc>
          <w:tcPr>
            <w:tcW w:w="558" w:type="pct"/>
            <w:tcBorders>
              <w:top w:val="single" w:sz="4" w:space="0" w:color="auto"/>
              <w:left w:val="single" w:sz="4" w:space="0" w:color="auto"/>
              <w:bottom w:val="single" w:sz="4" w:space="0" w:color="auto"/>
              <w:right w:val="single" w:sz="4" w:space="0" w:color="auto"/>
            </w:tcBorders>
            <w:vAlign w:val="center"/>
          </w:tcPr>
          <w:p w14:paraId="7A235EFA"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1,488.17</w:t>
            </w:r>
          </w:p>
        </w:tc>
        <w:tc>
          <w:tcPr>
            <w:tcW w:w="527" w:type="pct"/>
            <w:tcBorders>
              <w:top w:val="single" w:sz="4" w:space="0" w:color="auto"/>
              <w:left w:val="single" w:sz="4" w:space="0" w:color="auto"/>
              <w:bottom w:val="single" w:sz="4" w:space="0" w:color="auto"/>
              <w:right w:val="nil"/>
            </w:tcBorders>
            <w:noWrap/>
            <w:vAlign w:val="center"/>
          </w:tcPr>
          <w:p w14:paraId="39FFA63E"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30.00%</w:t>
            </w:r>
          </w:p>
        </w:tc>
      </w:tr>
      <w:tr w:rsidR="000A0ACD" w14:paraId="1F332844"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59EB0C4E" w14:textId="77777777" w:rsidR="000A0ACD" w:rsidRDefault="00362A99">
            <w:pPr>
              <w:snapToGrid w:val="0"/>
              <w:ind w:firstLineChars="200" w:firstLine="420"/>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含冲压机冲压连线项目</w:t>
            </w:r>
          </w:p>
        </w:tc>
        <w:tc>
          <w:tcPr>
            <w:tcW w:w="667" w:type="pct"/>
            <w:tcBorders>
              <w:top w:val="single" w:sz="4" w:space="0" w:color="auto"/>
              <w:left w:val="single" w:sz="4" w:space="0" w:color="auto"/>
              <w:bottom w:val="single" w:sz="4" w:space="0" w:color="auto"/>
              <w:right w:val="single" w:sz="4" w:space="0" w:color="auto"/>
            </w:tcBorders>
            <w:vAlign w:val="center"/>
          </w:tcPr>
          <w:p w14:paraId="2943F0AB"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1,098.29</w:t>
            </w:r>
          </w:p>
        </w:tc>
        <w:tc>
          <w:tcPr>
            <w:tcW w:w="527" w:type="pct"/>
            <w:tcBorders>
              <w:top w:val="single" w:sz="4" w:space="0" w:color="auto"/>
              <w:left w:val="single" w:sz="4" w:space="0" w:color="auto"/>
              <w:bottom w:val="single" w:sz="4" w:space="0" w:color="auto"/>
              <w:right w:val="single" w:sz="4" w:space="0" w:color="auto"/>
            </w:tcBorders>
            <w:vAlign w:val="center"/>
          </w:tcPr>
          <w:p w14:paraId="2E748BEA" w14:textId="77777777" w:rsidR="000A0ACD" w:rsidRDefault="00362A99">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21.77%</w:t>
            </w:r>
          </w:p>
        </w:tc>
        <w:tc>
          <w:tcPr>
            <w:tcW w:w="466" w:type="pct"/>
            <w:tcBorders>
              <w:top w:val="single" w:sz="4" w:space="0" w:color="auto"/>
              <w:left w:val="single" w:sz="4" w:space="0" w:color="auto"/>
              <w:bottom w:val="single" w:sz="4" w:space="0" w:color="auto"/>
              <w:right w:val="single" w:sz="4" w:space="0" w:color="auto"/>
            </w:tcBorders>
            <w:vAlign w:val="center"/>
          </w:tcPr>
          <w:p w14:paraId="482867E6"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45.65</w:t>
            </w:r>
          </w:p>
        </w:tc>
        <w:tc>
          <w:tcPr>
            <w:tcW w:w="527" w:type="pct"/>
            <w:tcBorders>
              <w:top w:val="single" w:sz="4" w:space="0" w:color="auto"/>
              <w:left w:val="single" w:sz="4" w:space="0" w:color="auto"/>
              <w:bottom w:val="single" w:sz="4" w:space="0" w:color="auto"/>
              <w:right w:val="single" w:sz="4" w:space="0" w:color="auto"/>
            </w:tcBorders>
            <w:vAlign w:val="center"/>
          </w:tcPr>
          <w:p w14:paraId="5126BEDE"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11.28%</w:t>
            </w:r>
          </w:p>
        </w:tc>
        <w:tc>
          <w:tcPr>
            <w:tcW w:w="558" w:type="pct"/>
            <w:tcBorders>
              <w:top w:val="single" w:sz="4" w:space="0" w:color="auto"/>
              <w:left w:val="single" w:sz="4" w:space="0" w:color="auto"/>
              <w:bottom w:val="single" w:sz="4" w:space="0" w:color="auto"/>
              <w:right w:val="single" w:sz="4" w:space="0" w:color="auto"/>
            </w:tcBorders>
            <w:vAlign w:val="center"/>
          </w:tcPr>
          <w:p w14:paraId="56751C18"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51.11</w:t>
            </w:r>
          </w:p>
        </w:tc>
        <w:tc>
          <w:tcPr>
            <w:tcW w:w="527" w:type="pct"/>
            <w:tcBorders>
              <w:top w:val="single" w:sz="4" w:space="0" w:color="auto"/>
              <w:left w:val="single" w:sz="4" w:space="0" w:color="auto"/>
              <w:bottom w:val="single" w:sz="4" w:space="0" w:color="auto"/>
              <w:right w:val="nil"/>
            </w:tcBorders>
            <w:noWrap/>
            <w:vAlign w:val="center"/>
          </w:tcPr>
          <w:p w14:paraId="65C3AF91" w14:textId="77777777" w:rsidR="000A0ACD" w:rsidRDefault="00362A99">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20.00%</w:t>
            </w:r>
          </w:p>
        </w:tc>
      </w:tr>
      <w:tr w:rsidR="000A0ACD" w14:paraId="73C6C37A"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089C8356" w14:textId="77777777" w:rsidR="000A0ACD" w:rsidRDefault="00362A99">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机器人维保</w:t>
            </w:r>
          </w:p>
        </w:tc>
        <w:tc>
          <w:tcPr>
            <w:tcW w:w="667" w:type="pct"/>
            <w:tcBorders>
              <w:top w:val="single" w:sz="4" w:space="0" w:color="auto"/>
              <w:left w:val="single" w:sz="4" w:space="0" w:color="auto"/>
              <w:bottom w:val="single" w:sz="4" w:space="0" w:color="auto"/>
              <w:right w:val="single" w:sz="4" w:space="0" w:color="auto"/>
            </w:tcBorders>
            <w:vAlign w:val="center"/>
          </w:tcPr>
          <w:p w14:paraId="77672A6B"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27" w:type="pct"/>
            <w:tcBorders>
              <w:top w:val="single" w:sz="4" w:space="0" w:color="auto"/>
              <w:left w:val="single" w:sz="4" w:space="0" w:color="auto"/>
              <w:bottom w:val="single" w:sz="4" w:space="0" w:color="auto"/>
              <w:right w:val="single" w:sz="4" w:space="0" w:color="auto"/>
            </w:tcBorders>
            <w:vAlign w:val="center"/>
          </w:tcPr>
          <w:p w14:paraId="4BD34335"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466" w:type="pct"/>
            <w:tcBorders>
              <w:top w:val="single" w:sz="4" w:space="0" w:color="auto"/>
              <w:left w:val="single" w:sz="4" w:space="0" w:color="auto"/>
              <w:bottom w:val="single" w:sz="4" w:space="0" w:color="auto"/>
              <w:right w:val="single" w:sz="4" w:space="0" w:color="auto"/>
            </w:tcBorders>
            <w:vAlign w:val="center"/>
          </w:tcPr>
          <w:p w14:paraId="02C6174F"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14.02</w:t>
            </w:r>
          </w:p>
        </w:tc>
        <w:tc>
          <w:tcPr>
            <w:tcW w:w="527" w:type="pct"/>
            <w:tcBorders>
              <w:top w:val="single" w:sz="4" w:space="0" w:color="auto"/>
              <w:left w:val="single" w:sz="4" w:space="0" w:color="auto"/>
              <w:bottom w:val="single" w:sz="4" w:space="0" w:color="auto"/>
              <w:right w:val="single" w:sz="4" w:space="0" w:color="auto"/>
            </w:tcBorders>
            <w:vAlign w:val="center"/>
          </w:tcPr>
          <w:p w14:paraId="0478D704"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53.82%</w:t>
            </w:r>
          </w:p>
        </w:tc>
        <w:tc>
          <w:tcPr>
            <w:tcW w:w="558" w:type="pct"/>
            <w:tcBorders>
              <w:top w:val="single" w:sz="4" w:space="0" w:color="auto"/>
              <w:left w:val="single" w:sz="4" w:space="0" w:color="auto"/>
              <w:bottom w:val="single" w:sz="4" w:space="0" w:color="auto"/>
              <w:right w:val="single" w:sz="4" w:space="0" w:color="auto"/>
            </w:tcBorders>
            <w:vAlign w:val="center"/>
          </w:tcPr>
          <w:p w14:paraId="2ADD7977"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27" w:type="pct"/>
            <w:tcBorders>
              <w:top w:val="single" w:sz="4" w:space="0" w:color="auto"/>
              <w:left w:val="single" w:sz="4" w:space="0" w:color="auto"/>
              <w:bottom w:val="single" w:sz="4" w:space="0" w:color="auto"/>
              <w:right w:val="nil"/>
            </w:tcBorders>
            <w:noWrap/>
            <w:vAlign w:val="center"/>
          </w:tcPr>
          <w:p w14:paraId="0D899FDE" w14:textId="77777777" w:rsidR="000A0ACD" w:rsidRDefault="00362A99">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r>
      <w:tr w:rsidR="000A0ACD" w14:paraId="3409EA16" w14:textId="77777777">
        <w:trPr>
          <w:trHeight w:val="397"/>
          <w:jc w:val="center"/>
        </w:trPr>
        <w:tc>
          <w:tcPr>
            <w:tcW w:w="1727" w:type="pct"/>
            <w:tcBorders>
              <w:top w:val="single" w:sz="4" w:space="0" w:color="auto"/>
              <w:left w:val="nil"/>
              <w:bottom w:val="single" w:sz="12" w:space="0" w:color="auto"/>
              <w:right w:val="single" w:sz="4" w:space="0" w:color="auto"/>
            </w:tcBorders>
            <w:vAlign w:val="center"/>
          </w:tcPr>
          <w:p w14:paraId="2B460DE1"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667" w:type="pct"/>
            <w:tcBorders>
              <w:top w:val="single" w:sz="4" w:space="0" w:color="auto"/>
              <w:left w:val="single" w:sz="4" w:space="0" w:color="auto"/>
              <w:bottom w:val="single" w:sz="12" w:space="0" w:color="auto"/>
              <w:right w:val="single" w:sz="4" w:space="0" w:color="auto"/>
            </w:tcBorders>
            <w:vAlign w:val="center"/>
          </w:tcPr>
          <w:p w14:paraId="398F37D9" w14:textId="77777777" w:rsidR="000A0ACD" w:rsidRDefault="00362A99">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1,615.80</w:t>
            </w:r>
          </w:p>
        </w:tc>
        <w:tc>
          <w:tcPr>
            <w:tcW w:w="527" w:type="pct"/>
            <w:tcBorders>
              <w:top w:val="single" w:sz="4" w:space="0" w:color="auto"/>
              <w:left w:val="single" w:sz="4" w:space="0" w:color="auto"/>
              <w:bottom w:val="single" w:sz="12" w:space="0" w:color="auto"/>
              <w:right w:val="single" w:sz="4" w:space="0" w:color="auto"/>
            </w:tcBorders>
            <w:vAlign w:val="center"/>
          </w:tcPr>
          <w:p w14:paraId="465E41C5" w14:textId="77777777" w:rsidR="000A0ACD" w:rsidRDefault="00362A99">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24.00%</w:t>
            </w:r>
          </w:p>
        </w:tc>
        <w:tc>
          <w:tcPr>
            <w:tcW w:w="466" w:type="pct"/>
            <w:tcBorders>
              <w:top w:val="single" w:sz="4" w:space="0" w:color="auto"/>
              <w:left w:val="single" w:sz="4" w:space="0" w:color="auto"/>
              <w:bottom w:val="single" w:sz="12" w:space="0" w:color="auto"/>
              <w:right w:val="single" w:sz="4" w:space="0" w:color="auto"/>
            </w:tcBorders>
            <w:vAlign w:val="center"/>
          </w:tcPr>
          <w:p w14:paraId="290DF66A"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489.97</w:t>
            </w:r>
          </w:p>
        </w:tc>
        <w:tc>
          <w:tcPr>
            <w:tcW w:w="527" w:type="pct"/>
            <w:tcBorders>
              <w:top w:val="single" w:sz="4" w:space="0" w:color="auto"/>
              <w:left w:val="single" w:sz="4" w:space="0" w:color="auto"/>
              <w:bottom w:val="single" w:sz="12" w:space="0" w:color="auto"/>
              <w:right w:val="single" w:sz="4" w:space="0" w:color="auto"/>
            </w:tcBorders>
            <w:vAlign w:val="center"/>
          </w:tcPr>
          <w:p w14:paraId="17B2FDCD"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27.50%</w:t>
            </w:r>
          </w:p>
        </w:tc>
        <w:tc>
          <w:tcPr>
            <w:tcW w:w="558" w:type="pct"/>
            <w:tcBorders>
              <w:top w:val="single" w:sz="4" w:space="0" w:color="auto"/>
              <w:left w:val="single" w:sz="4" w:space="0" w:color="auto"/>
              <w:bottom w:val="single" w:sz="12" w:space="0" w:color="auto"/>
              <w:right w:val="single" w:sz="4" w:space="0" w:color="auto"/>
            </w:tcBorders>
            <w:vAlign w:val="center"/>
          </w:tcPr>
          <w:p w14:paraId="48BF6B47"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1,539.28</w:t>
            </w:r>
          </w:p>
        </w:tc>
        <w:tc>
          <w:tcPr>
            <w:tcW w:w="527" w:type="pct"/>
            <w:tcBorders>
              <w:top w:val="single" w:sz="4" w:space="0" w:color="auto"/>
              <w:left w:val="single" w:sz="4" w:space="0" w:color="auto"/>
              <w:bottom w:val="single" w:sz="12" w:space="0" w:color="auto"/>
              <w:right w:val="nil"/>
            </w:tcBorders>
            <w:noWrap/>
            <w:vAlign w:val="center"/>
          </w:tcPr>
          <w:p w14:paraId="72835968" w14:textId="77777777" w:rsidR="000A0ACD" w:rsidRDefault="00362A99">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29.51%</w:t>
            </w:r>
          </w:p>
        </w:tc>
      </w:tr>
    </w:tbl>
    <w:p w14:paraId="7B6618D8"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bCs/>
          <w:color w:val="000000"/>
          <w:szCs w:val="21"/>
          <w:lang w:val="en-GB"/>
        </w:rPr>
        <w:t>2018</w:t>
      </w:r>
      <w:r>
        <w:rPr>
          <w:rFonts w:ascii="Times New Roman" w:hAnsi="Times New Roman" w:cs="Times New Roman" w:hint="eastAsia"/>
          <w:bCs/>
          <w:color w:val="000000"/>
          <w:szCs w:val="21"/>
          <w:lang w:val="en-GB"/>
        </w:rPr>
        <w:t>年、</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年和</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年，北洋天青公司机器人及配套业务的毛利率分别为</w:t>
      </w:r>
      <w:r>
        <w:rPr>
          <w:rFonts w:ascii="Times New Roman" w:hAnsi="Times New Roman" w:cs="Times New Roman"/>
          <w:bCs/>
          <w:color w:val="000000"/>
          <w:szCs w:val="21"/>
          <w:lang w:val="en-GB"/>
        </w:rPr>
        <w:t>29.51%</w:t>
      </w: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27.50%</w:t>
      </w:r>
      <w:r>
        <w:rPr>
          <w:rFonts w:ascii="Times New Roman" w:hAnsi="Times New Roman" w:cs="Times New Roman" w:hint="eastAsia"/>
          <w:bCs/>
          <w:color w:val="000000"/>
          <w:szCs w:val="21"/>
          <w:lang w:val="en-GB"/>
        </w:rPr>
        <w:t>和</w:t>
      </w:r>
      <w:r>
        <w:rPr>
          <w:rFonts w:ascii="Times New Roman" w:hAnsi="Times New Roman" w:cs="Times New Roman"/>
          <w:bCs/>
          <w:color w:val="000000"/>
          <w:szCs w:val="21"/>
          <w:lang w:val="en-GB"/>
        </w:rPr>
        <w:t>24.00%</w:t>
      </w:r>
      <w:r>
        <w:rPr>
          <w:rFonts w:ascii="Times New Roman" w:hAnsi="Times New Roman" w:cs="Times New Roman" w:hint="eastAsia"/>
          <w:bCs/>
          <w:color w:val="000000"/>
          <w:szCs w:val="21"/>
          <w:lang w:val="en-GB"/>
        </w:rPr>
        <w:t>，毛利率逐年下降，主要系机器人集成应用业务中毛利率较低的含冲压机冲压连线项目占比逐年上升。</w:t>
      </w:r>
    </w:p>
    <w:p w14:paraId="16D401EB"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（三）行业竞争情况</w:t>
      </w:r>
    </w:p>
    <w:p w14:paraId="5E5A5A2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生产的智能制造装备及智能化、信息化生产线属于非标自动化产品。北洋天青根据客户提出的设备技术要求，深入了解客户相关产品的生产工艺，制定生产设备详细规划方案，配合电气控制系统，设计制造出满足客户需求的信息化集成自动化设备及生产线。</w:t>
      </w:r>
    </w:p>
    <w:p w14:paraId="4B4081F3"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各类产品中，信息化、自动化技术应用越多相应项目毛利率越高，如企业信息化、摩擦杆悬挂链物流系统、自动模具库换模等产品具有较高的毛利率，行业内竞争较小。反之如技术含量较低的机器人本体销售、基础冲压连线、尤其含压机销售的冲压连线等项目，由于自动化集成较少，主要为专机及机器人本体的简单应用，所以毛利率较低，相对竞争比较激烈。</w:t>
      </w:r>
    </w:p>
    <w:p w14:paraId="04C61894"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标的公司在发展中，充分发挥现有产能，在合理的范围内尽量减少承接技术含量较低的项目，以提高公司盈利能力。</w:t>
      </w:r>
    </w:p>
    <w:p w14:paraId="3EA99C50" w14:textId="77777777" w:rsidR="000A0ACD" w:rsidRDefault="00362A99">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二、可比上市公司毛利率情况</w:t>
      </w:r>
    </w:p>
    <w:p w14:paraId="0BDE8BE5"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标的公司同行业可比上市公司</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年毛利率情况如下：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66"/>
        <w:gridCol w:w="4256"/>
      </w:tblGrid>
      <w:tr w:rsidR="000A0ACD" w14:paraId="2BF4DA85" w14:textId="77777777">
        <w:trPr>
          <w:trHeight w:val="397"/>
          <w:tblHeader/>
        </w:trPr>
        <w:tc>
          <w:tcPr>
            <w:tcW w:w="2503" w:type="pct"/>
            <w:vMerge w:val="restart"/>
            <w:shd w:val="clear" w:color="auto" w:fill="auto"/>
            <w:vAlign w:val="center"/>
          </w:tcPr>
          <w:p w14:paraId="73A99A11"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公司简称</w:t>
            </w:r>
          </w:p>
        </w:tc>
        <w:tc>
          <w:tcPr>
            <w:tcW w:w="2497" w:type="pct"/>
            <w:shd w:val="clear" w:color="auto" w:fill="auto"/>
            <w:vAlign w:val="center"/>
          </w:tcPr>
          <w:p w14:paraId="4C888220"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年度</w:t>
            </w:r>
          </w:p>
        </w:tc>
      </w:tr>
      <w:tr w:rsidR="000A0ACD" w14:paraId="69F2E39D" w14:textId="77777777">
        <w:trPr>
          <w:trHeight w:val="397"/>
          <w:tblHeader/>
        </w:trPr>
        <w:tc>
          <w:tcPr>
            <w:tcW w:w="2503" w:type="pct"/>
            <w:vMerge/>
            <w:vAlign w:val="center"/>
          </w:tcPr>
          <w:p w14:paraId="6B6FF26F" w14:textId="77777777" w:rsidR="000A0ACD" w:rsidRDefault="000A0ACD">
            <w:pPr>
              <w:rPr>
                <w:rFonts w:ascii="Times New Roman" w:hAnsi="Times New Roman" w:cs="Times New Roman"/>
                <w:b/>
                <w:bCs/>
                <w:color w:val="000000"/>
                <w:sz w:val="21"/>
                <w:szCs w:val="21"/>
              </w:rPr>
            </w:pPr>
          </w:p>
        </w:tc>
        <w:tc>
          <w:tcPr>
            <w:tcW w:w="2497" w:type="pct"/>
            <w:shd w:val="clear" w:color="auto" w:fill="auto"/>
            <w:vAlign w:val="center"/>
          </w:tcPr>
          <w:p w14:paraId="40B48F86"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0A0ACD" w14:paraId="211350E1" w14:textId="77777777">
        <w:trPr>
          <w:trHeight w:val="397"/>
        </w:trPr>
        <w:tc>
          <w:tcPr>
            <w:tcW w:w="2503" w:type="pct"/>
            <w:shd w:val="clear" w:color="auto" w:fill="auto"/>
            <w:vAlign w:val="center"/>
          </w:tcPr>
          <w:p w14:paraId="2612F95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埃斯顿</w:t>
            </w:r>
          </w:p>
        </w:tc>
        <w:tc>
          <w:tcPr>
            <w:tcW w:w="2497" w:type="pct"/>
            <w:shd w:val="clear" w:color="auto" w:fill="auto"/>
            <w:vAlign w:val="center"/>
          </w:tcPr>
          <w:p w14:paraId="40F5643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36.01%</w:t>
            </w:r>
          </w:p>
        </w:tc>
      </w:tr>
      <w:tr w:rsidR="000A0ACD" w14:paraId="782522B5" w14:textId="77777777">
        <w:trPr>
          <w:trHeight w:val="397"/>
        </w:trPr>
        <w:tc>
          <w:tcPr>
            <w:tcW w:w="2503" w:type="pct"/>
            <w:shd w:val="clear" w:color="auto" w:fill="auto"/>
            <w:vAlign w:val="center"/>
          </w:tcPr>
          <w:p w14:paraId="7D127D9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w:t>
            </w:r>
          </w:p>
        </w:tc>
        <w:tc>
          <w:tcPr>
            <w:tcW w:w="2497" w:type="pct"/>
            <w:shd w:val="clear" w:color="auto" w:fill="auto"/>
            <w:vAlign w:val="center"/>
          </w:tcPr>
          <w:p w14:paraId="4969BA8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27.92%</w:t>
            </w:r>
          </w:p>
        </w:tc>
      </w:tr>
      <w:tr w:rsidR="000A0ACD" w14:paraId="03BD2814" w14:textId="77777777">
        <w:trPr>
          <w:trHeight w:val="397"/>
        </w:trPr>
        <w:tc>
          <w:tcPr>
            <w:tcW w:w="2503" w:type="pct"/>
            <w:shd w:val="clear" w:color="auto" w:fill="auto"/>
            <w:vAlign w:val="center"/>
          </w:tcPr>
          <w:p w14:paraId="43B161E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快克股份</w:t>
            </w:r>
          </w:p>
        </w:tc>
        <w:tc>
          <w:tcPr>
            <w:tcW w:w="2497" w:type="pct"/>
            <w:shd w:val="clear" w:color="auto" w:fill="auto"/>
            <w:vAlign w:val="center"/>
          </w:tcPr>
          <w:p w14:paraId="0705C75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54.98%</w:t>
            </w:r>
          </w:p>
        </w:tc>
      </w:tr>
      <w:tr w:rsidR="000A0ACD" w14:paraId="3CC79298" w14:textId="77777777">
        <w:trPr>
          <w:trHeight w:val="397"/>
        </w:trPr>
        <w:tc>
          <w:tcPr>
            <w:tcW w:w="2503" w:type="pct"/>
            <w:shd w:val="clear" w:color="auto" w:fill="auto"/>
            <w:vAlign w:val="center"/>
          </w:tcPr>
          <w:p w14:paraId="0AB7481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拓斯达</w:t>
            </w:r>
          </w:p>
        </w:tc>
        <w:tc>
          <w:tcPr>
            <w:tcW w:w="2497" w:type="pct"/>
            <w:shd w:val="clear" w:color="auto" w:fill="auto"/>
            <w:vAlign w:val="center"/>
          </w:tcPr>
          <w:p w14:paraId="345505A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34.04%</w:t>
            </w:r>
          </w:p>
        </w:tc>
      </w:tr>
      <w:tr w:rsidR="000A0ACD" w14:paraId="5A5F6440" w14:textId="77777777">
        <w:trPr>
          <w:trHeight w:val="397"/>
        </w:trPr>
        <w:tc>
          <w:tcPr>
            <w:tcW w:w="2503" w:type="pct"/>
            <w:shd w:val="clear" w:color="auto" w:fill="auto"/>
            <w:vAlign w:val="center"/>
          </w:tcPr>
          <w:p w14:paraId="4F4F956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永创智能</w:t>
            </w:r>
          </w:p>
        </w:tc>
        <w:tc>
          <w:tcPr>
            <w:tcW w:w="2497" w:type="pct"/>
            <w:shd w:val="clear" w:color="auto" w:fill="auto"/>
            <w:vAlign w:val="center"/>
          </w:tcPr>
          <w:p w14:paraId="3B23757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29.23%</w:t>
            </w:r>
          </w:p>
        </w:tc>
      </w:tr>
      <w:tr w:rsidR="000A0ACD" w14:paraId="237CCDEF" w14:textId="77777777">
        <w:trPr>
          <w:trHeight w:val="397"/>
        </w:trPr>
        <w:tc>
          <w:tcPr>
            <w:tcW w:w="2503" w:type="pct"/>
            <w:shd w:val="clear" w:color="auto" w:fill="auto"/>
            <w:vAlign w:val="center"/>
          </w:tcPr>
          <w:p w14:paraId="1895C04C"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可比上市公司平均值</w:t>
            </w:r>
          </w:p>
        </w:tc>
        <w:tc>
          <w:tcPr>
            <w:tcW w:w="2497" w:type="pct"/>
            <w:shd w:val="clear" w:color="auto" w:fill="auto"/>
            <w:vAlign w:val="center"/>
          </w:tcPr>
          <w:p w14:paraId="43FEDD4E"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36.44%</w:t>
            </w:r>
          </w:p>
        </w:tc>
      </w:tr>
      <w:tr w:rsidR="000A0ACD" w14:paraId="4FD19549" w14:textId="77777777">
        <w:trPr>
          <w:trHeight w:val="397"/>
        </w:trPr>
        <w:tc>
          <w:tcPr>
            <w:tcW w:w="2503" w:type="pct"/>
            <w:shd w:val="clear" w:color="auto" w:fill="auto"/>
            <w:vAlign w:val="center"/>
          </w:tcPr>
          <w:p w14:paraId="05F50014"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标的公司</w:t>
            </w:r>
          </w:p>
        </w:tc>
        <w:tc>
          <w:tcPr>
            <w:tcW w:w="2497" w:type="pct"/>
            <w:shd w:val="clear" w:color="auto" w:fill="auto"/>
            <w:vAlign w:val="center"/>
          </w:tcPr>
          <w:p w14:paraId="23109FDD" w14:textId="77777777" w:rsidR="000A0ACD" w:rsidRDefault="00362A99">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33.06%</w:t>
            </w:r>
          </w:p>
        </w:tc>
      </w:tr>
    </w:tbl>
    <w:p w14:paraId="3658ED9B"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0CA03638"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本次评估选取可比公司为快克股份、拓斯达和永创智能，三家可比公司的毛利水平如下：</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64"/>
        <w:gridCol w:w="1600"/>
        <w:gridCol w:w="1599"/>
        <w:gridCol w:w="1456"/>
        <w:gridCol w:w="1103"/>
      </w:tblGrid>
      <w:tr w:rsidR="000A0ACD" w14:paraId="7C4BC40C" w14:textId="77777777">
        <w:trPr>
          <w:trHeight w:val="397"/>
          <w:tblHeader/>
        </w:trPr>
        <w:tc>
          <w:tcPr>
            <w:tcW w:w="1622" w:type="pct"/>
            <w:shd w:val="clear" w:color="auto" w:fill="auto"/>
            <w:vAlign w:val="center"/>
          </w:tcPr>
          <w:p w14:paraId="794CACD3"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上市公司</w:t>
            </w:r>
          </w:p>
        </w:tc>
        <w:tc>
          <w:tcPr>
            <w:tcW w:w="939" w:type="pct"/>
            <w:shd w:val="clear" w:color="auto" w:fill="auto"/>
            <w:noWrap/>
            <w:vAlign w:val="center"/>
          </w:tcPr>
          <w:p w14:paraId="0D8F1A7C"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w:t>
            </w:r>
          </w:p>
        </w:tc>
        <w:tc>
          <w:tcPr>
            <w:tcW w:w="938" w:type="pct"/>
            <w:shd w:val="clear" w:color="auto" w:fill="auto"/>
            <w:noWrap/>
            <w:vAlign w:val="center"/>
          </w:tcPr>
          <w:p w14:paraId="45F7B607"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hint="eastAsia"/>
                <w:b/>
                <w:bCs/>
                <w:color w:val="000000"/>
                <w:sz w:val="21"/>
                <w:szCs w:val="21"/>
              </w:rPr>
              <w:t>年</w:t>
            </w:r>
          </w:p>
        </w:tc>
        <w:tc>
          <w:tcPr>
            <w:tcW w:w="854" w:type="pct"/>
            <w:shd w:val="clear" w:color="auto" w:fill="auto"/>
            <w:noWrap/>
            <w:vAlign w:val="center"/>
          </w:tcPr>
          <w:p w14:paraId="4B0F001C"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2017</w:t>
            </w:r>
            <w:r>
              <w:rPr>
                <w:rFonts w:ascii="Times New Roman" w:hAnsi="Times New Roman" w:cs="Times New Roman" w:hint="eastAsia"/>
                <w:b/>
                <w:bCs/>
                <w:color w:val="000000"/>
                <w:sz w:val="21"/>
                <w:szCs w:val="21"/>
              </w:rPr>
              <w:t>年</w:t>
            </w:r>
          </w:p>
        </w:tc>
        <w:tc>
          <w:tcPr>
            <w:tcW w:w="647" w:type="pct"/>
            <w:shd w:val="clear" w:color="auto" w:fill="auto"/>
            <w:vAlign w:val="center"/>
          </w:tcPr>
          <w:p w14:paraId="19841CA6"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平均</w:t>
            </w:r>
          </w:p>
        </w:tc>
      </w:tr>
      <w:tr w:rsidR="000A0ACD" w14:paraId="0AA3DF63" w14:textId="77777777">
        <w:trPr>
          <w:trHeight w:val="397"/>
        </w:trPr>
        <w:tc>
          <w:tcPr>
            <w:tcW w:w="1622" w:type="pct"/>
            <w:shd w:val="clear" w:color="auto" w:fill="auto"/>
            <w:vAlign w:val="center"/>
          </w:tcPr>
          <w:p w14:paraId="01AD05F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快克股份</w:t>
            </w:r>
          </w:p>
        </w:tc>
        <w:tc>
          <w:tcPr>
            <w:tcW w:w="939" w:type="pct"/>
            <w:shd w:val="clear" w:color="auto" w:fill="auto"/>
            <w:noWrap/>
            <w:vAlign w:val="center"/>
          </w:tcPr>
          <w:p w14:paraId="65CA5CBF"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54.98%</w:t>
            </w:r>
          </w:p>
        </w:tc>
        <w:tc>
          <w:tcPr>
            <w:tcW w:w="938" w:type="pct"/>
            <w:shd w:val="clear" w:color="auto" w:fill="auto"/>
            <w:noWrap/>
            <w:vAlign w:val="center"/>
          </w:tcPr>
          <w:p w14:paraId="1F54F5F0"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55.03%</w:t>
            </w:r>
          </w:p>
        </w:tc>
        <w:tc>
          <w:tcPr>
            <w:tcW w:w="854" w:type="pct"/>
            <w:shd w:val="clear" w:color="auto" w:fill="auto"/>
            <w:noWrap/>
            <w:vAlign w:val="center"/>
          </w:tcPr>
          <w:p w14:paraId="196BCDE8"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58.15%</w:t>
            </w:r>
          </w:p>
        </w:tc>
        <w:tc>
          <w:tcPr>
            <w:tcW w:w="647" w:type="pct"/>
            <w:shd w:val="clear" w:color="auto" w:fill="auto"/>
            <w:noWrap/>
            <w:vAlign w:val="center"/>
          </w:tcPr>
          <w:p w14:paraId="57C70F5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56.05%</w:t>
            </w:r>
          </w:p>
        </w:tc>
      </w:tr>
      <w:tr w:rsidR="000A0ACD" w14:paraId="058963F4" w14:textId="77777777">
        <w:trPr>
          <w:trHeight w:val="397"/>
        </w:trPr>
        <w:tc>
          <w:tcPr>
            <w:tcW w:w="1622" w:type="pct"/>
            <w:shd w:val="clear" w:color="auto" w:fill="auto"/>
            <w:vAlign w:val="center"/>
          </w:tcPr>
          <w:p w14:paraId="4BBD929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拓斯达</w:t>
            </w:r>
          </w:p>
        </w:tc>
        <w:tc>
          <w:tcPr>
            <w:tcW w:w="939" w:type="pct"/>
            <w:shd w:val="clear" w:color="auto" w:fill="auto"/>
            <w:noWrap/>
            <w:vAlign w:val="center"/>
          </w:tcPr>
          <w:p w14:paraId="42AD521E"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34.04%</w:t>
            </w:r>
          </w:p>
        </w:tc>
        <w:tc>
          <w:tcPr>
            <w:tcW w:w="938" w:type="pct"/>
            <w:shd w:val="clear" w:color="auto" w:fill="auto"/>
            <w:noWrap/>
            <w:vAlign w:val="center"/>
          </w:tcPr>
          <w:p w14:paraId="0E3429A2"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36.11%</w:t>
            </w:r>
          </w:p>
        </w:tc>
        <w:tc>
          <w:tcPr>
            <w:tcW w:w="854" w:type="pct"/>
            <w:shd w:val="clear" w:color="auto" w:fill="auto"/>
            <w:noWrap/>
            <w:vAlign w:val="center"/>
          </w:tcPr>
          <w:p w14:paraId="022DF270"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36.78%</w:t>
            </w:r>
          </w:p>
        </w:tc>
        <w:tc>
          <w:tcPr>
            <w:tcW w:w="647" w:type="pct"/>
            <w:shd w:val="clear" w:color="auto" w:fill="auto"/>
            <w:noWrap/>
            <w:vAlign w:val="center"/>
          </w:tcPr>
          <w:p w14:paraId="37BA6A3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35.64%</w:t>
            </w:r>
          </w:p>
        </w:tc>
      </w:tr>
      <w:tr w:rsidR="000A0ACD" w14:paraId="1569A14E" w14:textId="77777777">
        <w:trPr>
          <w:trHeight w:val="397"/>
        </w:trPr>
        <w:tc>
          <w:tcPr>
            <w:tcW w:w="1622" w:type="pct"/>
            <w:shd w:val="clear" w:color="auto" w:fill="auto"/>
            <w:vAlign w:val="center"/>
          </w:tcPr>
          <w:p w14:paraId="02CC32F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永创智能</w:t>
            </w:r>
          </w:p>
        </w:tc>
        <w:tc>
          <w:tcPr>
            <w:tcW w:w="939" w:type="pct"/>
            <w:shd w:val="clear" w:color="auto" w:fill="auto"/>
            <w:noWrap/>
            <w:vAlign w:val="center"/>
          </w:tcPr>
          <w:p w14:paraId="6ECB6DAA"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29.23%</w:t>
            </w:r>
          </w:p>
        </w:tc>
        <w:tc>
          <w:tcPr>
            <w:tcW w:w="938" w:type="pct"/>
            <w:shd w:val="clear" w:color="auto" w:fill="auto"/>
            <w:noWrap/>
            <w:vAlign w:val="center"/>
          </w:tcPr>
          <w:p w14:paraId="0D3B075A"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29.77%</w:t>
            </w:r>
          </w:p>
        </w:tc>
        <w:tc>
          <w:tcPr>
            <w:tcW w:w="854" w:type="pct"/>
            <w:shd w:val="clear" w:color="auto" w:fill="auto"/>
            <w:noWrap/>
            <w:vAlign w:val="center"/>
          </w:tcPr>
          <w:p w14:paraId="2C95C42A" w14:textId="77777777" w:rsidR="000A0ACD" w:rsidRDefault="00362A99">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28.88%</w:t>
            </w:r>
          </w:p>
        </w:tc>
        <w:tc>
          <w:tcPr>
            <w:tcW w:w="647" w:type="pct"/>
            <w:shd w:val="clear" w:color="auto" w:fill="auto"/>
            <w:noWrap/>
            <w:vAlign w:val="center"/>
          </w:tcPr>
          <w:p w14:paraId="0893492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29.30%</w:t>
            </w:r>
          </w:p>
        </w:tc>
      </w:tr>
      <w:tr w:rsidR="000A0ACD" w14:paraId="7C8A067C" w14:textId="77777777">
        <w:trPr>
          <w:trHeight w:val="397"/>
        </w:trPr>
        <w:tc>
          <w:tcPr>
            <w:tcW w:w="1622" w:type="pct"/>
            <w:shd w:val="clear" w:color="auto" w:fill="auto"/>
            <w:vAlign w:val="center"/>
          </w:tcPr>
          <w:p w14:paraId="105DDBCB"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可比上市公司平均值</w:t>
            </w:r>
          </w:p>
        </w:tc>
        <w:tc>
          <w:tcPr>
            <w:tcW w:w="939" w:type="pct"/>
            <w:shd w:val="clear" w:color="auto" w:fill="auto"/>
            <w:noWrap/>
            <w:vAlign w:val="center"/>
          </w:tcPr>
          <w:p w14:paraId="7BC5C5E5" w14:textId="77777777" w:rsidR="000A0ACD" w:rsidRDefault="00362A99">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39.42%</w:t>
            </w:r>
          </w:p>
        </w:tc>
        <w:tc>
          <w:tcPr>
            <w:tcW w:w="938" w:type="pct"/>
            <w:shd w:val="clear" w:color="auto" w:fill="auto"/>
            <w:noWrap/>
            <w:vAlign w:val="center"/>
          </w:tcPr>
          <w:p w14:paraId="6D45E982" w14:textId="24EA1F21" w:rsidR="000A0ACD" w:rsidRDefault="00362A99">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40.</w:t>
            </w:r>
            <w:r w:rsidR="005635F3">
              <w:rPr>
                <w:rFonts w:ascii="Times New Roman" w:eastAsia="等线" w:hAnsi="Times New Roman" w:cs="Times New Roman"/>
                <w:b/>
                <w:bCs/>
                <w:color w:val="000000"/>
                <w:sz w:val="21"/>
                <w:szCs w:val="21"/>
              </w:rPr>
              <w:t>30</w:t>
            </w:r>
            <w:r>
              <w:rPr>
                <w:rFonts w:ascii="Times New Roman" w:eastAsia="等线" w:hAnsi="Times New Roman" w:cs="Times New Roman"/>
                <w:b/>
                <w:bCs/>
                <w:color w:val="000000"/>
                <w:sz w:val="21"/>
                <w:szCs w:val="21"/>
              </w:rPr>
              <w:t>%</w:t>
            </w:r>
          </w:p>
        </w:tc>
        <w:tc>
          <w:tcPr>
            <w:tcW w:w="854" w:type="pct"/>
            <w:shd w:val="clear" w:color="auto" w:fill="auto"/>
            <w:noWrap/>
            <w:vAlign w:val="center"/>
          </w:tcPr>
          <w:p w14:paraId="2E1C223B" w14:textId="77777777" w:rsidR="000A0ACD" w:rsidRDefault="00362A99">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41.27%</w:t>
            </w:r>
          </w:p>
        </w:tc>
        <w:tc>
          <w:tcPr>
            <w:tcW w:w="647" w:type="pct"/>
            <w:shd w:val="clear" w:color="auto" w:fill="auto"/>
            <w:noWrap/>
            <w:vAlign w:val="center"/>
          </w:tcPr>
          <w:p w14:paraId="0859EA9C" w14:textId="77777777" w:rsidR="000A0ACD" w:rsidRDefault="00362A99">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40.33%</w:t>
            </w:r>
          </w:p>
        </w:tc>
      </w:tr>
      <w:tr w:rsidR="000A0ACD" w14:paraId="5BBEE8EA" w14:textId="77777777">
        <w:trPr>
          <w:trHeight w:val="397"/>
        </w:trPr>
        <w:tc>
          <w:tcPr>
            <w:tcW w:w="1622" w:type="pct"/>
            <w:shd w:val="clear" w:color="auto" w:fill="auto"/>
            <w:vAlign w:val="center"/>
          </w:tcPr>
          <w:p w14:paraId="5627BC81"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北洋天青</w:t>
            </w:r>
          </w:p>
        </w:tc>
        <w:tc>
          <w:tcPr>
            <w:tcW w:w="939" w:type="pct"/>
            <w:shd w:val="clear" w:color="auto" w:fill="auto"/>
            <w:noWrap/>
            <w:vAlign w:val="center"/>
          </w:tcPr>
          <w:p w14:paraId="4D778BA3" w14:textId="77777777" w:rsidR="000A0ACD" w:rsidRDefault="00362A99">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33.06%</w:t>
            </w:r>
          </w:p>
        </w:tc>
        <w:tc>
          <w:tcPr>
            <w:tcW w:w="938" w:type="pct"/>
            <w:shd w:val="clear" w:color="auto" w:fill="auto"/>
            <w:noWrap/>
            <w:vAlign w:val="center"/>
          </w:tcPr>
          <w:p w14:paraId="7E34BFD5" w14:textId="77777777" w:rsidR="000A0ACD" w:rsidRDefault="00362A99">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32.63%</w:t>
            </w:r>
          </w:p>
        </w:tc>
        <w:tc>
          <w:tcPr>
            <w:tcW w:w="854" w:type="pct"/>
            <w:shd w:val="clear" w:color="auto" w:fill="auto"/>
            <w:noWrap/>
            <w:vAlign w:val="center"/>
          </w:tcPr>
          <w:p w14:paraId="48B0437E" w14:textId="77777777" w:rsidR="000A0ACD" w:rsidRDefault="00362A99">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27.95%</w:t>
            </w:r>
          </w:p>
        </w:tc>
        <w:tc>
          <w:tcPr>
            <w:tcW w:w="647" w:type="pct"/>
            <w:shd w:val="clear" w:color="auto" w:fill="auto"/>
            <w:noWrap/>
            <w:vAlign w:val="center"/>
          </w:tcPr>
          <w:p w14:paraId="2D1A0F04" w14:textId="77777777" w:rsidR="000A0ACD" w:rsidRDefault="00362A99">
            <w:pPr>
              <w:jc w:val="right"/>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3</w:t>
            </w:r>
            <w:r>
              <w:rPr>
                <w:rFonts w:ascii="Times New Roman" w:eastAsia="等线" w:hAnsi="Times New Roman" w:cs="Times New Roman"/>
                <w:b/>
                <w:bCs/>
                <w:color w:val="000000"/>
                <w:sz w:val="21"/>
                <w:szCs w:val="21"/>
              </w:rPr>
              <w:t>1.21</w:t>
            </w:r>
            <w:r>
              <w:rPr>
                <w:rFonts w:ascii="Times New Roman" w:eastAsia="等线" w:hAnsi="Times New Roman" w:cs="Times New Roman" w:hint="eastAsia"/>
                <w:b/>
                <w:bCs/>
                <w:color w:val="000000"/>
                <w:sz w:val="21"/>
                <w:szCs w:val="21"/>
              </w:rPr>
              <w:t>%</w:t>
            </w:r>
          </w:p>
        </w:tc>
      </w:tr>
    </w:tbl>
    <w:p w14:paraId="45FA3864"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2B5236EF" w14:textId="6D298C71"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由上表可以看出，北洋天青的毛利率位于三家可比上市公司的中间水平，略低于同行业可比上市公司毛利率平均水平为</w:t>
      </w:r>
      <w:r>
        <w:rPr>
          <w:rFonts w:ascii="Times New Roman" w:hAnsi="Times New Roman" w:cs="Times New Roman"/>
          <w:bCs/>
          <w:color w:val="000000"/>
          <w:szCs w:val="21"/>
          <w:lang w:val="en-GB"/>
        </w:rPr>
        <w:t>36.44%</w:t>
      </w:r>
      <w:r>
        <w:rPr>
          <w:rFonts w:ascii="Times New Roman" w:hAnsi="Times New Roman" w:cs="Times New Roman" w:hint="eastAsia"/>
          <w:bCs/>
          <w:color w:val="000000"/>
          <w:szCs w:val="21"/>
          <w:lang w:val="en-GB"/>
        </w:rPr>
        <w:t>；同时从北洋天青历史毛利水平看，毛利逐年上升。本次未来年度自</w:t>
      </w:r>
      <w:r>
        <w:rPr>
          <w:rFonts w:ascii="Times New Roman" w:hAnsi="Times New Roman" w:cs="Times New Roman"/>
          <w:bCs/>
          <w:color w:val="000000"/>
          <w:szCs w:val="21"/>
          <w:lang w:val="en-GB"/>
        </w:rPr>
        <w:t>2021</w:t>
      </w:r>
      <w:r>
        <w:rPr>
          <w:rFonts w:ascii="Times New Roman" w:hAnsi="Times New Roman" w:cs="Times New Roman" w:hint="eastAsia"/>
          <w:bCs/>
          <w:color w:val="000000"/>
          <w:szCs w:val="21"/>
          <w:lang w:val="en-GB"/>
        </w:rPr>
        <w:t>年起预测</w:t>
      </w:r>
      <w:r>
        <w:rPr>
          <w:rFonts w:ascii="Times New Roman" w:hAnsi="Times New Roman" w:cs="Times New Roman" w:hint="eastAsia"/>
          <w:bCs/>
          <w:color w:val="000000"/>
          <w:szCs w:val="21"/>
        </w:rPr>
        <w:t>标的公司</w:t>
      </w:r>
      <w:r>
        <w:rPr>
          <w:rFonts w:ascii="Times New Roman" w:hAnsi="Times New Roman" w:cs="Times New Roman" w:hint="eastAsia"/>
          <w:bCs/>
          <w:color w:val="000000"/>
          <w:szCs w:val="21"/>
          <w:lang w:val="en-GB"/>
        </w:rPr>
        <w:t>毛利水平为</w:t>
      </w:r>
      <w:r>
        <w:rPr>
          <w:rFonts w:ascii="Times New Roman" w:hAnsi="Times New Roman" w:cs="Times New Roman"/>
          <w:bCs/>
          <w:color w:val="000000"/>
          <w:szCs w:val="21"/>
          <w:lang w:val="en-GB"/>
        </w:rPr>
        <w:t>34%</w:t>
      </w:r>
      <w:r>
        <w:rPr>
          <w:rFonts w:ascii="Times New Roman" w:hAnsi="Times New Roman" w:cs="Times New Roman" w:hint="eastAsia"/>
          <w:bCs/>
          <w:color w:val="000000"/>
          <w:szCs w:val="21"/>
          <w:lang w:val="en-GB"/>
        </w:rPr>
        <w:t>，低于可比上市公司平均水平，同时低于标的公司</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年水平，因此本次预测毛利率具有合理性。</w:t>
      </w:r>
    </w:p>
    <w:p w14:paraId="0C124A2A"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三、补充披露情况</w:t>
      </w:r>
    </w:p>
    <w:p w14:paraId="34B3F0D8" w14:textId="77777777" w:rsidR="000A0ACD" w:rsidRDefault="00362A99">
      <w:pPr>
        <w:suppressAutoHyphens/>
        <w:spacing w:beforeLines="50" w:before="156" w:line="360" w:lineRule="auto"/>
        <w:ind w:firstLineChars="200" w:firstLine="480"/>
        <w:jc w:val="both"/>
        <w:rPr>
          <w:rFonts w:ascii="Times New Roman" w:hAnsi="Times New Roman" w:cs="Times New Roman"/>
          <w:b/>
          <w:color w:val="000000"/>
          <w:szCs w:val="21"/>
        </w:rPr>
      </w:pPr>
      <w:r>
        <w:rPr>
          <w:rFonts w:ascii="Times New Roman" w:hAnsi="Times New Roman" w:cs="Times New Roman" w:hint="eastAsia"/>
          <w:bCs/>
        </w:rPr>
        <w:t>以上内容已于重组报告书“第六节</w:t>
      </w:r>
      <w:r>
        <w:rPr>
          <w:rFonts w:ascii="Times New Roman" w:hAnsi="Times New Roman" w:cs="Times New Roman"/>
          <w:bCs/>
        </w:rPr>
        <w:t xml:space="preserve"> </w:t>
      </w:r>
      <w:r>
        <w:rPr>
          <w:rFonts w:ascii="Times New Roman" w:hAnsi="Times New Roman" w:cs="Times New Roman" w:hint="eastAsia"/>
          <w:bCs/>
        </w:rPr>
        <w:t>标的资产评估情况”之“三、收益法评估情况”之“（二）收益预测说明”中补充披露。</w:t>
      </w:r>
    </w:p>
    <w:p w14:paraId="762B6229" w14:textId="77777777" w:rsidR="000A0ACD" w:rsidRDefault="00362A99">
      <w:pPr>
        <w:suppressAutoHyphens/>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四、中介机构核查意见</w:t>
      </w:r>
    </w:p>
    <w:p w14:paraId="7961BAF9" w14:textId="73F32DA6"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rPr>
        <w:t>经核查，独立财务顾问及评估师认为，随着北洋天青开展高毛利项目占比增加，报告期毛利率持续上升；</w:t>
      </w:r>
      <w:r>
        <w:rPr>
          <w:rFonts w:ascii="Times New Roman" w:hAnsi="Times New Roman" w:cs="Times New Roman" w:hint="eastAsia"/>
          <w:bCs/>
          <w:color w:val="000000"/>
        </w:rPr>
        <w:t>北洋天青的毛利率位于可比上市公司的中间水平，本次未来年度自</w:t>
      </w:r>
      <w:r>
        <w:rPr>
          <w:rFonts w:ascii="Times New Roman" w:hAnsi="Times New Roman" w:cs="Times New Roman"/>
          <w:bCs/>
          <w:color w:val="000000"/>
        </w:rPr>
        <w:t>2021</w:t>
      </w:r>
      <w:r>
        <w:rPr>
          <w:rFonts w:ascii="Times New Roman" w:hAnsi="Times New Roman" w:cs="Times New Roman" w:hint="eastAsia"/>
          <w:bCs/>
          <w:color w:val="000000"/>
        </w:rPr>
        <w:t>年起预测</w:t>
      </w:r>
      <w:r w:rsidR="00475E42">
        <w:rPr>
          <w:rFonts w:ascii="Times New Roman" w:hAnsi="Times New Roman" w:cs="Times New Roman" w:hint="eastAsia"/>
          <w:bCs/>
          <w:color w:val="000000"/>
          <w:szCs w:val="21"/>
        </w:rPr>
        <w:t>标的公司</w:t>
      </w:r>
      <w:r>
        <w:rPr>
          <w:rFonts w:ascii="Times New Roman" w:hAnsi="Times New Roman" w:cs="Times New Roman" w:hint="eastAsia"/>
          <w:bCs/>
          <w:color w:val="000000"/>
        </w:rPr>
        <w:t>毛利水平为</w:t>
      </w:r>
      <w:r>
        <w:rPr>
          <w:rFonts w:ascii="Times New Roman" w:hAnsi="Times New Roman" w:cs="Times New Roman"/>
          <w:bCs/>
          <w:color w:val="000000"/>
        </w:rPr>
        <w:t>34%</w:t>
      </w:r>
      <w:r>
        <w:rPr>
          <w:rFonts w:ascii="Times New Roman" w:hAnsi="Times New Roman" w:cs="Times New Roman" w:hint="eastAsia"/>
          <w:bCs/>
          <w:color w:val="000000"/>
        </w:rPr>
        <w:t>，低于可比上市公司平均水平，同时低于标的公司</w:t>
      </w:r>
      <w:r>
        <w:rPr>
          <w:rFonts w:ascii="Times New Roman" w:hAnsi="Times New Roman" w:cs="Times New Roman"/>
          <w:bCs/>
          <w:color w:val="000000"/>
        </w:rPr>
        <w:t>2020</w:t>
      </w:r>
      <w:r>
        <w:rPr>
          <w:rFonts w:ascii="Times New Roman" w:hAnsi="Times New Roman" w:cs="Times New Roman" w:hint="eastAsia"/>
          <w:bCs/>
          <w:color w:val="000000"/>
        </w:rPr>
        <w:t>年水平，因此本次预测毛利率具有合理性</w:t>
      </w:r>
      <w:r>
        <w:rPr>
          <w:rFonts w:ascii="Times New Roman" w:hAnsi="Times New Roman" w:cs="Times New Roman" w:hint="eastAsia"/>
          <w:bCs/>
        </w:rPr>
        <w:t>。</w:t>
      </w:r>
    </w:p>
    <w:p w14:paraId="354EDADE" w14:textId="77777777" w:rsidR="000A0ACD" w:rsidRDefault="000A0ACD">
      <w:pPr>
        <w:pStyle w:val="afffff"/>
        <w:sectPr w:rsidR="000A0ACD">
          <w:pgSz w:w="11906" w:h="16838"/>
          <w:pgMar w:top="1440" w:right="1800" w:bottom="1440" w:left="1800" w:header="851" w:footer="992" w:gutter="0"/>
          <w:cols w:space="425"/>
          <w:docGrid w:type="lines" w:linePitch="312"/>
        </w:sectPr>
      </w:pPr>
      <w:bookmarkStart w:id="103" w:name="_Toc69256861"/>
      <w:bookmarkStart w:id="104" w:name="_Toc69256879"/>
    </w:p>
    <w:p w14:paraId="2D2F4C98" w14:textId="77777777" w:rsidR="000A0ACD" w:rsidRDefault="00362A99">
      <w:pPr>
        <w:pStyle w:val="afffff"/>
      </w:pPr>
      <w:r>
        <w:rPr>
          <w:rFonts w:hint="eastAsia"/>
        </w:rPr>
        <w:t>第十四题</w:t>
      </w:r>
      <w:bookmarkEnd w:id="103"/>
      <w:bookmarkEnd w:id="104"/>
    </w:p>
    <w:p w14:paraId="0A9A23CF" w14:textId="77777777" w:rsidR="000A0ACD" w:rsidRDefault="00362A99">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）收益法重要评估参数金额以及相关预测依据未披露。</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）截至</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年末、</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年三季度末，标的资产分别对肖中海、徐炳雷的其他应收款账面余额为</w:t>
      </w:r>
      <w:r>
        <w:rPr>
          <w:rFonts w:ascii="Times New Roman" w:eastAsia="黑体" w:hAnsi="Times New Roman" w:cs="Times New Roman" w:hint="eastAsia"/>
          <w:b/>
          <w:color w:val="000000"/>
          <w:szCs w:val="21"/>
        </w:rPr>
        <w:t>10,145.63</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33,979</w:t>
      </w:r>
      <w:r>
        <w:rPr>
          <w:rFonts w:ascii="Times New Roman" w:eastAsia="黑体" w:hAnsi="Times New Roman" w:cs="Times New Roman" w:hint="eastAsia"/>
          <w:b/>
          <w:color w:val="000000"/>
          <w:szCs w:val="21"/>
        </w:rPr>
        <w:t>万元，与标的资产体量不匹配。</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）标的资产就川崎机器人等产品可以较青岛好品海智信息技术有限公司（以下简称好品海智）获得更优惠的采购价格，因此存在好品海智向标的资产销售机器人及相关配套服务的情形。</w:t>
      </w:r>
      <w:r>
        <w:rPr>
          <w:rFonts w:ascii="Times New Roman" w:eastAsia="黑体" w:hAnsi="Times New Roman" w:cs="Times New Roman" w:hint="eastAsia"/>
          <w:b/>
          <w:color w:val="000000"/>
          <w:szCs w:val="21"/>
        </w:rPr>
        <w:t>4</w:t>
      </w:r>
      <w:r>
        <w:rPr>
          <w:rFonts w:ascii="Times New Roman" w:eastAsia="黑体" w:hAnsi="Times New Roman" w:cs="Times New Roman" w:hint="eastAsia"/>
          <w:b/>
          <w:color w:val="000000"/>
          <w:szCs w:val="21"/>
        </w:rPr>
        <w:t>）《上海证券交易所股票上市规则（</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12</w:t>
      </w:r>
      <w:r>
        <w:rPr>
          <w:rFonts w:ascii="Times New Roman" w:eastAsia="黑体" w:hAnsi="Times New Roman" w:cs="Times New Roman" w:hint="eastAsia"/>
          <w:b/>
          <w:color w:val="000000"/>
          <w:szCs w:val="21"/>
        </w:rPr>
        <w:t>月修订）》已删除暂停上市相关规定，且自</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12</w:t>
      </w:r>
      <w:r>
        <w:rPr>
          <w:rFonts w:ascii="Times New Roman" w:eastAsia="黑体" w:hAnsi="Times New Roman" w:cs="Times New Roman" w:hint="eastAsia"/>
          <w:b/>
          <w:color w:val="000000"/>
          <w:szCs w:val="21"/>
        </w:rPr>
        <w:t>月</w:t>
      </w:r>
      <w:r>
        <w:rPr>
          <w:rFonts w:ascii="Times New Roman" w:eastAsia="黑体" w:hAnsi="Times New Roman" w:cs="Times New Roman" w:hint="eastAsia"/>
          <w:b/>
          <w:color w:val="000000"/>
          <w:szCs w:val="21"/>
        </w:rPr>
        <w:t>31</w:t>
      </w:r>
      <w:r>
        <w:rPr>
          <w:rFonts w:ascii="Times New Roman" w:eastAsia="黑体" w:hAnsi="Times New Roman" w:cs="Times New Roman" w:hint="eastAsia"/>
          <w:b/>
          <w:color w:val="000000"/>
          <w:szCs w:val="21"/>
        </w:rPr>
        <w:t>日起施行，申请文件仍提示上市公司存在暂停上市风险。请你公司按照《公开发行证券的公司信息披露内容与格式准则第</w:t>
      </w:r>
      <w:r>
        <w:rPr>
          <w:rFonts w:ascii="Times New Roman" w:eastAsia="黑体" w:hAnsi="Times New Roman" w:cs="Times New Roman" w:hint="eastAsia"/>
          <w:b/>
          <w:color w:val="000000"/>
          <w:szCs w:val="21"/>
        </w:rPr>
        <w:t>26</w:t>
      </w:r>
      <w:r>
        <w:rPr>
          <w:rFonts w:ascii="Times New Roman" w:eastAsia="黑体" w:hAnsi="Times New Roman" w:cs="Times New Roman" w:hint="eastAsia"/>
          <w:b/>
          <w:color w:val="000000"/>
          <w:szCs w:val="21"/>
        </w:rPr>
        <w:t>号——上市公司重大资产重组》第二十四条补充披露收益法重要评估参数以及相关预测依据，并请中介机构勤勉尽责、仔细对照我会相关规定自查申报文件内容与格式，通读全文修改错漏，认真查找执业质量和内部控制存在的问题并进行整改。</w:t>
      </w:r>
    </w:p>
    <w:p w14:paraId="565C85B4" w14:textId="77777777" w:rsidR="000A0ACD" w:rsidRDefault="00362A99">
      <w:pPr>
        <w:pStyle w:val="affffd"/>
        <w:spacing w:before="156"/>
        <w:ind w:firstLine="482"/>
        <w:rPr>
          <w:b/>
        </w:rPr>
      </w:pPr>
      <w:r>
        <w:rPr>
          <w:rFonts w:hint="eastAsia"/>
          <w:b/>
        </w:rPr>
        <w:t>【回复说明】</w:t>
      </w:r>
    </w:p>
    <w:p w14:paraId="36822B80" w14:textId="77777777" w:rsidR="000A0ACD" w:rsidRDefault="00362A99">
      <w:pPr>
        <w:spacing w:beforeLines="50" w:before="156" w:line="360" w:lineRule="auto"/>
        <w:ind w:firstLineChars="200" w:firstLine="482"/>
        <w:jc w:val="both"/>
        <w:outlineLvl w:val="2"/>
        <w:rPr>
          <w:rFonts w:ascii="Times New Roman" w:hAnsi="Times New Roman" w:cs="Times New Roman"/>
          <w:b/>
          <w:bCs/>
          <w:color w:val="000000"/>
          <w:kern w:val="1"/>
        </w:rPr>
      </w:pPr>
      <w:bookmarkStart w:id="105" w:name="_Hlk69253501"/>
      <w:r>
        <w:rPr>
          <w:rFonts w:ascii="Times New Roman" w:hAnsi="Times New Roman" w:cs="Times New Roman" w:hint="eastAsia"/>
          <w:b/>
          <w:bCs/>
          <w:color w:val="000000"/>
          <w:kern w:val="1"/>
        </w:rPr>
        <w:t>一、重要评估参数以及相关预测依据</w:t>
      </w:r>
    </w:p>
    <w:p w14:paraId="3ACB9090" w14:textId="77777777" w:rsidR="000A0ACD" w:rsidRDefault="00362A9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根据《公开发行证券的公司信息披露内容与格式准则第</w:t>
      </w:r>
      <w:r>
        <w:rPr>
          <w:rFonts w:ascii="Times New Roman" w:hAnsi="Times New Roman" w:cs="Times New Roman"/>
          <w:bCs/>
          <w:color w:val="000000"/>
        </w:rPr>
        <w:t>26</w:t>
      </w:r>
      <w:r>
        <w:rPr>
          <w:rFonts w:ascii="Times New Roman" w:hAnsi="Times New Roman" w:cs="Times New Roman" w:hint="eastAsia"/>
          <w:bCs/>
          <w:color w:val="000000"/>
        </w:rPr>
        <w:t>号</w:t>
      </w:r>
      <w:r>
        <w:rPr>
          <w:rFonts w:ascii="Times New Roman" w:hAnsi="Times New Roman" w:cs="Times New Roman"/>
          <w:bCs/>
          <w:color w:val="000000"/>
        </w:rPr>
        <w:t>——</w:t>
      </w:r>
      <w:r>
        <w:rPr>
          <w:rFonts w:ascii="Times New Roman" w:hAnsi="Times New Roman" w:cs="Times New Roman" w:hint="eastAsia"/>
          <w:bCs/>
          <w:color w:val="000000"/>
        </w:rPr>
        <w:t>上市公司重大资产重组》补充披露收益法评估情况中未来各年度收入预测明细表、未来年度营业成本预测中各类费用预测明细表、未来年度预测损益明细表、折旧摊销预测明细、</w:t>
      </w:r>
      <w:r>
        <w:rPr>
          <w:rFonts w:ascii="Times New Roman" w:hAnsi="Times New Roman" w:cs="Times New Roman"/>
          <w:bCs/>
          <w:lang w:val="en-GB"/>
        </w:rPr>
        <w:t>未来年度营运资金的预测</w:t>
      </w:r>
      <w:r>
        <w:rPr>
          <w:rFonts w:ascii="Times New Roman" w:hAnsi="Times New Roman" w:cs="Times New Roman" w:hint="eastAsia"/>
          <w:bCs/>
          <w:lang w:val="en-GB"/>
        </w:rPr>
        <w:t>明细表、</w:t>
      </w:r>
      <w:r>
        <w:rPr>
          <w:rFonts w:ascii="Times New Roman" w:hAnsi="Times New Roman" w:cs="Times New Roman" w:hint="eastAsia"/>
          <w:bCs/>
          <w:color w:val="000000"/>
        </w:rPr>
        <w:t>可比公司的具体情况、无风险收益率及股权风险收益率的计算方法、标的公司特别风险和</w:t>
      </w:r>
      <w:r>
        <w:rPr>
          <w:rFonts w:ascii="Times New Roman" w:hAnsi="Times New Roman" w:cs="Times New Roman" w:hint="eastAsia"/>
          <w:bCs/>
        </w:rPr>
        <w:t>加权资金成本计算表。具体收益法评估情况如下：</w:t>
      </w:r>
    </w:p>
    <w:p w14:paraId="2E75AD98" w14:textId="77777777" w:rsidR="000A0ACD" w:rsidRDefault="00362A99">
      <w:pPr>
        <w:spacing w:beforeLines="50" w:before="156" w:line="360" w:lineRule="auto"/>
        <w:ind w:firstLineChars="200" w:firstLine="482"/>
        <w:jc w:val="both"/>
        <w:outlineLvl w:val="3"/>
        <w:rPr>
          <w:rFonts w:ascii="Times New Roman" w:hAnsi="Times New Roman" w:cs="Times New Roman"/>
          <w:b/>
          <w:color w:val="000000"/>
        </w:rPr>
      </w:pPr>
      <w:bookmarkStart w:id="106" w:name="_Toc59709413"/>
      <w:r>
        <w:rPr>
          <w:rFonts w:ascii="Times New Roman" w:hAnsi="Times New Roman" w:cs="Times New Roman" w:hint="eastAsia"/>
          <w:b/>
          <w:color w:val="000000"/>
        </w:rPr>
        <w:t>（一）收益法评估情况</w:t>
      </w:r>
      <w:bookmarkEnd w:id="106"/>
    </w:p>
    <w:p w14:paraId="73916C6B" w14:textId="77777777" w:rsidR="000A0ACD" w:rsidRDefault="00362A99">
      <w:pPr>
        <w:spacing w:beforeLines="50" w:before="156" w:line="360" w:lineRule="auto"/>
        <w:ind w:firstLineChars="200" w:firstLine="482"/>
        <w:rPr>
          <w:b/>
          <w:bCs/>
          <w:lang w:val="en-GB"/>
        </w:rPr>
      </w:pPr>
      <w:r>
        <w:rPr>
          <w:rFonts w:ascii="Times New Roman" w:hAnsi="Times New Roman" w:cs="Times New Roman"/>
          <w:b/>
          <w:bCs/>
          <w:lang w:val="en-GB"/>
        </w:rPr>
        <w:t>1</w:t>
      </w:r>
      <w:r>
        <w:rPr>
          <w:rFonts w:ascii="Times New Roman" w:hAnsi="Times New Roman" w:cs="Times New Roman" w:hint="eastAsia"/>
          <w:b/>
          <w:bCs/>
          <w:lang w:val="en-GB"/>
        </w:rPr>
        <w:t>、收益法的测算方法及模型</w:t>
      </w:r>
    </w:p>
    <w:p w14:paraId="2CF93AA9" w14:textId="77777777" w:rsidR="000A0ACD" w:rsidRDefault="00362A99">
      <w:pPr>
        <w:pStyle w:val="affffd"/>
        <w:spacing w:before="156"/>
        <w:ind w:firstLine="480"/>
        <w:rPr>
          <w:bCs/>
        </w:rPr>
      </w:pPr>
      <w:r>
        <w:rPr>
          <w:rFonts w:hint="eastAsia"/>
          <w:bCs/>
        </w:rPr>
        <w:t>收益法是指将预期收益资本化或者折现，确定评估对象价值的评估方法。</w:t>
      </w:r>
    </w:p>
    <w:p w14:paraId="704C2D8C" w14:textId="77777777" w:rsidR="000A0ACD" w:rsidRDefault="00362A99">
      <w:pPr>
        <w:pStyle w:val="affffd"/>
        <w:spacing w:before="156"/>
        <w:ind w:firstLine="480"/>
        <w:rPr>
          <w:bCs/>
        </w:rPr>
      </w:pPr>
      <w:r>
        <w:rPr>
          <w:rFonts w:hint="eastAsia"/>
          <w:bCs/>
        </w:rPr>
        <w:t>收益法常用的具体方法包括股利折现法、股权自由现金流折现法和企业自由现金流折现法。</w:t>
      </w:r>
    </w:p>
    <w:p w14:paraId="357C50FE" w14:textId="77777777" w:rsidR="000A0ACD" w:rsidRDefault="00362A99">
      <w:pPr>
        <w:pStyle w:val="affffd"/>
        <w:spacing w:before="156"/>
        <w:ind w:firstLine="480"/>
        <w:rPr>
          <w:bCs/>
        </w:rPr>
      </w:pPr>
      <w:r>
        <w:rPr>
          <w:rFonts w:hint="eastAsia"/>
          <w:bCs/>
        </w:rPr>
        <w:t>股利折现法，通常适用于缺乏控制权的股东部分权益价值评估。</w:t>
      </w:r>
    </w:p>
    <w:p w14:paraId="7D3BE0EF" w14:textId="77777777" w:rsidR="000A0ACD" w:rsidRDefault="00362A99">
      <w:pPr>
        <w:pStyle w:val="affffd"/>
        <w:spacing w:before="156"/>
        <w:ind w:firstLine="480"/>
        <w:rPr>
          <w:bCs/>
        </w:rPr>
      </w:pPr>
      <w:r>
        <w:rPr>
          <w:rFonts w:hint="eastAsia"/>
          <w:bCs/>
        </w:rPr>
        <w:t>股权自由现金流折现法，现金流口径为归属于股东的现金流量，对应的折现率为权益资本成本，评估值内涵为股东全部权益价值。现金流计算公式为：</w:t>
      </w:r>
    </w:p>
    <w:p w14:paraId="7D3127A8" w14:textId="77777777" w:rsidR="000A0ACD" w:rsidRDefault="00362A99">
      <w:pPr>
        <w:pStyle w:val="affffd"/>
        <w:spacing w:before="156"/>
        <w:ind w:firstLine="480"/>
        <w:rPr>
          <w:bCs/>
        </w:rPr>
      </w:pPr>
      <w:r>
        <w:rPr>
          <w:rFonts w:hint="eastAsia"/>
          <w:bCs/>
        </w:rPr>
        <w:t>股权自由现金流量</w:t>
      </w:r>
      <w:r>
        <w:rPr>
          <w:bCs/>
        </w:rPr>
        <w:t>=</w:t>
      </w:r>
      <w:r>
        <w:rPr>
          <w:rFonts w:hint="eastAsia"/>
          <w:bCs/>
        </w:rPr>
        <w:t>净利润</w:t>
      </w:r>
      <w:r>
        <w:rPr>
          <w:bCs/>
        </w:rPr>
        <w:t>+</w:t>
      </w:r>
      <w:r>
        <w:rPr>
          <w:rFonts w:hint="eastAsia"/>
          <w:bCs/>
        </w:rPr>
        <w:t>折旧及摊销</w:t>
      </w:r>
      <w:r>
        <w:rPr>
          <w:bCs/>
        </w:rPr>
        <w:t>-</w:t>
      </w:r>
      <w:r>
        <w:rPr>
          <w:rFonts w:hint="eastAsia"/>
          <w:bCs/>
        </w:rPr>
        <w:t>资本性支出</w:t>
      </w:r>
      <w:r>
        <w:rPr>
          <w:bCs/>
        </w:rPr>
        <w:t>-</w:t>
      </w:r>
      <w:r>
        <w:rPr>
          <w:rFonts w:hint="eastAsia"/>
          <w:bCs/>
        </w:rPr>
        <w:t>营运资金增加额</w:t>
      </w:r>
      <w:r>
        <w:rPr>
          <w:bCs/>
        </w:rPr>
        <w:t>-</w:t>
      </w:r>
      <w:r>
        <w:rPr>
          <w:rFonts w:hint="eastAsia"/>
          <w:bCs/>
        </w:rPr>
        <w:t>偿还付息债务本金</w:t>
      </w:r>
      <w:r>
        <w:rPr>
          <w:bCs/>
        </w:rPr>
        <w:t>+</w:t>
      </w:r>
      <w:r>
        <w:rPr>
          <w:rFonts w:hint="eastAsia"/>
          <w:bCs/>
        </w:rPr>
        <w:t>新借付息债务本金</w:t>
      </w:r>
    </w:p>
    <w:p w14:paraId="61CB5B87" w14:textId="77777777" w:rsidR="000A0ACD" w:rsidRDefault="00362A99">
      <w:pPr>
        <w:pStyle w:val="affffd"/>
        <w:spacing w:before="156"/>
        <w:ind w:firstLine="480"/>
        <w:rPr>
          <w:bCs/>
        </w:rPr>
      </w:pPr>
      <w:r>
        <w:rPr>
          <w:rFonts w:hint="eastAsia"/>
          <w:bCs/>
        </w:rPr>
        <w:t>企业自由现金流折现法，现金流口径为归属于股东和付息债务债权人在内的所有投资者现金流量，对应的折现率为加权平均资本成本，评估值内涵为企业整体价值。现金流计算公式为：</w:t>
      </w:r>
    </w:p>
    <w:p w14:paraId="518341DA" w14:textId="77777777" w:rsidR="000A0ACD" w:rsidRDefault="00362A99">
      <w:pPr>
        <w:pStyle w:val="affffd"/>
        <w:spacing w:before="156"/>
        <w:ind w:firstLine="480"/>
        <w:rPr>
          <w:bCs/>
        </w:rPr>
      </w:pPr>
      <w:r>
        <w:rPr>
          <w:rFonts w:hint="eastAsia"/>
          <w:bCs/>
        </w:rPr>
        <w:t>企业自由现金流量</w:t>
      </w:r>
      <w:r>
        <w:rPr>
          <w:bCs/>
        </w:rPr>
        <w:t>=</w:t>
      </w:r>
      <w:r>
        <w:rPr>
          <w:rFonts w:hint="eastAsia"/>
          <w:bCs/>
        </w:rPr>
        <w:t>净利润＋折旧</w:t>
      </w:r>
      <w:r>
        <w:rPr>
          <w:bCs/>
        </w:rPr>
        <w:t>/</w:t>
      </w:r>
      <w:r>
        <w:rPr>
          <w:rFonts w:hint="eastAsia"/>
          <w:bCs/>
        </w:rPr>
        <w:t>摊销＋税后利息支出－营运资金增加－资本性支出</w:t>
      </w:r>
    </w:p>
    <w:p w14:paraId="3382330B" w14:textId="77777777" w:rsidR="000A0ACD" w:rsidRDefault="00362A99">
      <w:pPr>
        <w:pStyle w:val="affffd"/>
        <w:spacing w:before="156"/>
        <w:ind w:firstLine="480"/>
        <w:rPr>
          <w:bCs/>
        </w:rPr>
      </w:pPr>
      <w:r>
        <w:rPr>
          <w:rFonts w:hint="eastAsia"/>
          <w:bCs/>
        </w:rPr>
        <w:t>本次收益法评估模型选用企业自由现金流量模型。对合并报表范围的公司选用合并口径进行测算，理由如下：</w:t>
      </w:r>
    </w:p>
    <w:p w14:paraId="24ED0796" w14:textId="77777777" w:rsidR="000A0ACD" w:rsidRDefault="00362A99">
      <w:pPr>
        <w:pStyle w:val="affffd"/>
        <w:spacing w:before="156"/>
        <w:ind w:firstLine="480"/>
        <w:rPr>
          <w:bCs/>
        </w:rPr>
      </w:pPr>
      <w:r>
        <w:rPr>
          <w:rFonts w:hint="eastAsia"/>
          <w:bCs/>
        </w:rPr>
        <w:t>（</w:t>
      </w:r>
      <w:r>
        <w:rPr>
          <w:rFonts w:hint="eastAsia"/>
          <w:bCs/>
        </w:rPr>
        <w:t>1</w:t>
      </w:r>
      <w:r>
        <w:rPr>
          <w:rFonts w:hint="eastAsia"/>
          <w:bCs/>
        </w:rPr>
        <w:t>）纳入合并范围内的子公司为标的公司全资子公司；</w:t>
      </w:r>
    </w:p>
    <w:p w14:paraId="3448D01F" w14:textId="77777777" w:rsidR="000A0ACD" w:rsidRDefault="00362A99">
      <w:pPr>
        <w:pStyle w:val="affffd"/>
        <w:spacing w:before="156"/>
        <w:ind w:firstLine="480"/>
        <w:rPr>
          <w:bCs/>
        </w:rPr>
      </w:pPr>
      <w:r>
        <w:rPr>
          <w:rFonts w:hint="eastAsia"/>
          <w:bCs/>
        </w:rPr>
        <w:t>（</w:t>
      </w:r>
      <w:r>
        <w:rPr>
          <w:rFonts w:hint="eastAsia"/>
          <w:bCs/>
        </w:rPr>
        <w:t>2</w:t>
      </w:r>
      <w:r>
        <w:rPr>
          <w:rFonts w:hint="eastAsia"/>
          <w:bCs/>
        </w:rPr>
        <w:t>）标的公司子公司业务大部分围绕母公司开展，目前职能为母公司一个研发支持部门，尚未制定独立开展业务经营计划；</w:t>
      </w:r>
    </w:p>
    <w:p w14:paraId="68650BCD" w14:textId="77777777" w:rsidR="000A0ACD" w:rsidRDefault="00362A99">
      <w:pPr>
        <w:pStyle w:val="affffd"/>
        <w:spacing w:before="156"/>
        <w:ind w:firstLine="480"/>
        <w:rPr>
          <w:bCs/>
        </w:rPr>
      </w:pPr>
      <w:r>
        <w:rPr>
          <w:rFonts w:hint="eastAsia"/>
          <w:bCs/>
        </w:rPr>
        <w:t>（</w:t>
      </w:r>
      <w:r>
        <w:rPr>
          <w:rFonts w:hint="eastAsia"/>
          <w:bCs/>
        </w:rPr>
        <w:t>3</w:t>
      </w:r>
      <w:r>
        <w:rPr>
          <w:rFonts w:hint="eastAsia"/>
          <w:bCs/>
        </w:rPr>
        <w:t>）标的公司与子公司之间关联往来可以全部抵销。</w:t>
      </w:r>
    </w:p>
    <w:p w14:paraId="0782AFD0" w14:textId="77777777" w:rsidR="000A0ACD" w:rsidRDefault="00362A99">
      <w:pPr>
        <w:pStyle w:val="affffd"/>
        <w:spacing w:before="156"/>
        <w:ind w:firstLine="480"/>
        <w:rPr>
          <w:bCs/>
        </w:rPr>
      </w:pPr>
      <w:r>
        <w:rPr>
          <w:rFonts w:hint="eastAsia"/>
          <w:bCs/>
        </w:rPr>
        <w:t>本次评估选用现金流量折现法中的企业自由现金流折现模型。</w:t>
      </w:r>
    </w:p>
    <w:p w14:paraId="3B9F6719" w14:textId="77777777" w:rsidR="000A0ACD" w:rsidRDefault="00362A99">
      <w:pPr>
        <w:pStyle w:val="affffd"/>
        <w:spacing w:before="156"/>
        <w:ind w:firstLine="480"/>
        <w:rPr>
          <w:bCs/>
        </w:rPr>
      </w:pPr>
      <w:r>
        <w:rPr>
          <w:rFonts w:hint="eastAsia"/>
          <w:bCs/>
        </w:rPr>
        <w:t>基本公式为：</w:t>
      </w:r>
    </w:p>
    <w:p w14:paraId="6D430E2F" w14:textId="77777777" w:rsidR="000A0ACD" w:rsidRDefault="00362A99">
      <w:pPr>
        <w:pStyle w:val="affffd"/>
        <w:spacing w:before="156"/>
        <w:ind w:firstLine="480"/>
        <w:rPr>
          <w:bCs/>
          <w:lang w:val="en-GB"/>
        </w:rPr>
      </w:pPr>
      <w:r>
        <w:rPr>
          <w:bCs/>
          <w:noProof/>
        </w:rPr>
        <w:drawing>
          <wp:inline distT="0" distB="0" distL="0" distR="0" wp14:anchorId="2F249D12" wp14:editId="2AAA989A">
            <wp:extent cx="1009650" cy="19050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09650" cy="190500"/>
                    </a:xfrm>
                    <a:prstGeom prst="rect">
                      <a:avLst/>
                    </a:prstGeom>
                    <a:noFill/>
                    <a:ln>
                      <a:noFill/>
                    </a:ln>
                  </pic:spPr>
                </pic:pic>
              </a:graphicData>
            </a:graphic>
          </wp:inline>
        </w:drawing>
      </w:r>
    </w:p>
    <w:p w14:paraId="408414B0" w14:textId="77777777" w:rsidR="000A0ACD" w:rsidRDefault="00362A99">
      <w:pPr>
        <w:pStyle w:val="affffd"/>
        <w:spacing w:before="156"/>
        <w:ind w:firstLine="480"/>
        <w:rPr>
          <w:bCs/>
        </w:rPr>
      </w:pPr>
      <w:r>
        <w:rPr>
          <w:rFonts w:hint="eastAsia"/>
          <w:bCs/>
        </w:rPr>
        <w:t>式中：</w:t>
      </w:r>
      <w:r>
        <w:rPr>
          <w:bCs/>
        </w:rPr>
        <w:t>E</w:t>
      </w:r>
      <w:r>
        <w:rPr>
          <w:rFonts w:hint="eastAsia"/>
          <w:bCs/>
        </w:rPr>
        <w:t>为标的公司的股东全部权益的市场价值，</w:t>
      </w:r>
      <w:r>
        <w:rPr>
          <w:bCs/>
        </w:rPr>
        <w:t>D</w:t>
      </w:r>
      <w:r>
        <w:rPr>
          <w:rFonts w:hint="eastAsia"/>
          <w:bCs/>
        </w:rPr>
        <w:t>为付息负债的市场价值，</w:t>
      </w:r>
      <w:r>
        <w:rPr>
          <w:bCs/>
        </w:rPr>
        <w:t>B</w:t>
      </w:r>
      <w:r>
        <w:rPr>
          <w:rFonts w:hint="eastAsia"/>
          <w:bCs/>
        </w:rPr>
        <w:t>为企业整体市场价值。</w:t>
      </w:r>
    </w:p>
    <w:p w14:paraId="261A8845" w14:textId="77777777" w:rsidR="000A0ACD" w:rsidRDefault="00362A99">
      <w:pPr>
        <w:pStyle w:val="affffd"/>
        <w:spacing w:before="156"/>
        <w:ind w:firstLine="480"/>
        <w:rPr>
          <w:bCs/>
          <w:lang w:val="en-GB"/>
        </w:rPr>
      </w:pPr>
      <w:r>
        <w:rPr>
          <w:bCs/>
          <w:noProof/>
        </w:rPr>
        <w:drawing>
          <wp:inline distT="0" distB="0" distL="0" distR="0" wp14:anchorId="6DAD1659" wp14:editId="243F3C56">
            <wp:extent cx="1228725" cy="257175"/>
            <wp:effectExtent l="0" t="0" r="0" b="952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28725" cy="257175"/>
                    </a:xfrm>
                    <a:prstGeom prst="rect">
                      <a:avLst/>
                    </a:prstGeom>
                    <a:noFill/>
                    <a:ln>
                      <a:noFill/>
                    </a:ln>
                  </pic:spPr>
                </pic:pic>
              </a:graphicData>
            </a:graphic>
          </wp:inline>
        </w:drawing>
      </w:r>
      <w:r>
        <w:rPr>
          <w:bCs/>
          <w:lang w:val="en-GB"/>
        </w:rPr>
        <w:tab/>
      </w:r>
    </w:p>
    <w:p w14:paraId="62EA7ADB" w14:textId="77777777" w:rsidR="000A0ACD" w:rsidRDefault="00362A99">
      <w:pPr>
        <w:pStyle w:val="affffd"/>
        <w:spacing w:before="156"/>
        <w:ind w:firstLine="480"/>
        <w:rPr>
          <w:bCs/>
          <w:lang w:val="en-GB"/>
        </w:rPr>
      </w:pPr>
      <w:r>
        <w:rPr>
          <w:rFonts w:hint="eastAsia"/>
          <w:bCs/>
        </w:rPr>
        <w:t>式中：</w:t>
      </w:r>
      <w:r>
        <w:rPr>
          <w:bCs/>
        </w:rPr>
        <w:t>P</w:t>
      </w:r>
      <w:r>
        <w:rPr>
          <w:rFonts w:hint="eastAsia"/>
          <w:bCs/>
        </w:rPr>
        <w:t>为经营性资产价值，Σ</w:t>
      </w:r>
      <w:r>
        <w:rPr>
          <w:bCs/>
        </w:rPr>
        <w:t>C</w:t>
      </w:r>
      <w:r w:rsidRPr="00D2687A">
        <w:rPr>
          <w:bCs/>
          <w:vertAlign w:val="subscript"/>
        </w:rPr>
        <w:t>i</w:t>
      </w:r>
      <w:r>
        <w:rPr>
          <w:rFonts w:hint="eastAsia"/>
          <w:bCs/>
        </w:rPr>
        <w:t>为评估基准日存在的非经营性资产负债（含溢余资产）的价值。</w:t>
      </w:r>
    </w:p>
    <w:p w14:paraId="587821D0" w14:textId="77777777" w:rsidR="000A0ACD" w:rsidRDefault="00362A99">
      <w:pPr>
        <w:pStyle w:val="affffd"/>
        <w:spacing w:before="156"/>
        <w:ind w:firstLine="480"/>
        <w:rPr>
          <w:bCs/>
          <w:lang w:val="en-GB"/>
        </w:rPr>
      </w:pPr>
      <w:r>
        <w:rPr>
          <w:bCs/>
          <w:noProof/>
        </w:rPr>
        <w:drawing>
          <wp:inline distT="0" distB="0" distL="0" distR="0" wp14:anchorId="28FA6737" wp14:editId="295676C2">
            <wp:extent cx="2124075" cy="476250"/>
            <wp:effectExtent l="0" t="0" r="952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24075" cy="476250"/>
                    </a:xfrm>
                    <a:prstGeom prst="rect">
                      <a:avLst/>
                    </a:prstGeom>
                    <a:noFill/>
                    <a:ln>
                      <a:noFill/>
                    </a:ln>
                  </pic:spPr>
                </pic:pic>
              </a:graphicData>
            </a:graphic>
          </wp:inline>
        </w:drawing>
      </w:r>
    </w:p>
    <w:p w14:paraId="13B604E1" w14:textId="77777777" w:rsidR="000A0ACD" w:rsidRDefault="00362A99">
      <w:pPr>
        <w:pStyle w:val="affffd"/>
        <w:spacing w:before="156"/>
        <w:ind w:firstLine="480"/>
        <w:rPr>
          <w:bCs/>
        </w:rPr>
      </w:pPr>
      <w:r>
        <w:rPr>
          <w:rFonts w:hint="eastAsia"/>
          <w:bCs/>
        </w:rPr>
        <w:t>式中：</w:t>
      </w:r>
      <w:r>
        <w:rPr>
          <w:bCs/>
        </w:rPr>
        <w:t>R</w:t>
      </w:r>
      <w:r>
        <w:rPr>
          <w:bCs/>
          <w:vertAlign w:val="subscript"/>
        </w:rPr>
        <w:t>i</w:t>
      </w:r>
      <w:r>
        <w:rPr>
          <w:rFonts w:hint="eastAsia"/>
          <w:bCs/>
        </w:rPr>
        <w:t>：评估基准日后第</w:t>
      </w:r>
      <w:r>
        <w:rPr>
          <w:bCs/>
        </w:rPr>
        <w:t>i</w:t>
      </w:r>
      <w:r>
        <w:rPr>
          <w:rFonts w:hint="eastAsia"/>
          <w:bCs/>
        </w:rPr>
        <w:t>年预期的企业自由现金流量；</w:t>
      </w:r>
      <w:r>
        <w:rPr>
          <w:bCs/>
        </w:rPr>
        <w:t>r</w:t>
      </w:r>
      <w:r>
        <w:rPr>
          <w:rFonts w:hint="eastAsia"/>
          <w:bCs/>
        </w:rPr>
        <w:t>：折现率；</w:t>
      </w:r>
      <w:r>
        <w:rPr>
          <w:bCs/>
        </w:rPr>
        <w:t>P</w:t>
      </w:r>
      <w:r>
        <w:rPr>
          <w:bCs/>
          <w:vertAlign w:val="subscript"/>
        </w:rPr>
        <w:t>n</w:t>
      </w:r>
      <w:r>
        <w:rPr>
          <w:rFonts w:hint="eastAsia"/>
          <w:bCs/>
        </w:rPr>
        <w:t>：终值；</w:t>
      </w:r>
      <w:r>
        <w:rPr>
          <w:bCs/>
        </w:rPr>
        <w:t>n</w:t>
      </w:r>
      <w:r>
        <w:rPr>
          <w:rFonts w:hint="eastAsia"/>
          <w:bCs/>
        </w:rPr>
        <w:t>：预测期。</w:t>
      </w:r>
    </w:p>
    <w:p w14:paraId="48E5D6D2" w14:textId="77777777" w:rsidR="000A0ACD" w:rsidRDefault="00362A99">
      <w:pPr>
        <w:pStyle w:val="affffd"/>
        <w:spacing w:before="156"/>
        <w:ind w:firstLine="480"/>
        <w:rPr>
          <w:bCs/>
        </w:rPr>
      </w:pPr>
      <w:r>
        <w:rPr>
          <w:rFonts w:hint="eastAsia"/>
          <w:bCs/>
        </w:rPr>
        <w:t>各参数确定如下：</w:t>
      </w:r>
    </w:p>
    <w:p w14:paraId="346F2123" w14:textId="77777777" w:rsidR="000A0ACD" w:rsidRDefault="00362A99">
      <w:pPr>
        <w:pStyle w:val="affffd"/>
        <w:spacing w:before="156"/>
        <w:ind w:firstLine="480"/>
        <w:rPr>
          <w:bCs/>
        </w:rPr>
      </w:pPr>
      <w:r>
        <w:rPr>
          <w:rFonts w:hint="eastAsia"/>
          <w:bCs/>
        </w:rPr>
        <w:t>（</w:t>
      </w:r>
      <w:r>
        <w:rPr>
          <w:bCs/>
        </w:rPr>
        <w:t>1</w:t>
      </w:r>
      <w:r>
        <w:rPr>
          <w:rFonts w:hint="eastAsia"/>
          <w:bCs/>
        </w:rPr>
        <w:t>）自由现金流</w:t>
      </w:r>
      <w:r>
        <w:rPr>
          <w:bCs/>
        </w:rPr>
        <w:t>R</w:t>
      </w:r>
      <w:r>
        <w:rPr>
          <w:bCs/>
          <w:vertAlign w:val="subscript"/>
        </w:rPr>
        <w:t>i</w:t>
      </w:r>
      <w:r>
        <w:rPr>
          <w:rFonts w:hint="eastAsia"/>
          <w:bCs/>
        </w:rPr>
        <w:t>的确定</w:t>
      </w:r>
    </w:p>
    <w:p w14:paraId="2657164E" w14:textId="77777777" w:rsidR="000A0ACD" w:rsidRDefault="00362A99">
      <w:pPr>
        <w:pStyle w:val="affffd"/>
        <w:spacing w:before="156"/>
        <w:ind w:firstLine="480"/>
        <w:rPr>
          <w:bCs/>
        </w:rPr>
      </w:pPr>
      <w:r>
        <w:rPr>
          <w:bCs/>
        </w:rPr>
        <w:t>R</w:t>
      </w:r>
      <w:r>
        <w:rPr>
          <w:bCs/>
          <w:vertAlign w:val="subscript"/>
        </w:rPr>
        <w:t>i</w:t>
      </w:r>
      <w:r>
        <w:rPr>
          <w:rFonts w:hint="eastAsia"/>
          <w:bCs/>
        </w:rPr>
        <w:t>＝净利润＋折旧</w:t>
      </w:r>
      <w:r>
        <w:rPr>
          <w:bCs/>
        </w:rPr>
        <w:t>/</w:t>
      </w:r>
      <w:r>
        <w:rPr>
          <w:rFonts w:hint="eastAsia"/>
          <w:bCs/>
        </w:rPr>
        <w:t>摊销＋税后利息支出－营运资金增加－资本性支出</w:t>
      </w:r>
    </w:p>
    <w:p w14:paraId="75FF78F6" w14:textId="77777777" w:rsidR="000A0ACD" w:rsidRDefault="00362A99">
      <w:pPr>
        <w:pStyle w:val="affffd"/>
        <w:spacing w:before="156"/>
        <w:ind w:firstLine="480"/>
        <w:rPr>
          <w:bCs/>
        </w:rPr>
      </w:pPr>
      <w:r>
        <w:rPr>
          <w:rFonts w:hint="eastAsia"/>
          <w:bCs/>
        </w:rPr>
        <w:t>（</w:t>
      </w:r>
      <w:r>
        <w:rPr>
          <w:bCs/>
        </w:rPr>
        <w:t>2</w:t>
      </w:r>
      <w:r>
        <w:rPr>
          <w:rFonts w:hint="eastAsia"/>
          <w:bCs/>
        </w:rPr>
        <w:t>）折现率</w:t>
      </w:r>
      <w:r>
        <w:rPr>
          <w:bCs/>
        </w:rPr>
        <w:t>r</w:t>
      </w:r>
      <w:r>
        <w:rPr>
          <w:rFonts w:hint="eastAsia"/>
          <w:bCs/>
        </w:rPr>
        <w:t>采用加权平均资本成本（</w:t>
      </w:r>
      <w:r>
        <w:rPr>
          <w:bCs/>
        </w:rPr>
        <w:t>WACC</w:t>
      </w:r>
      <w:r>
        <w:rPr>
          <w:rFonts w:hint="eastAsia"/>
          <w:bCs/>
        </w:rPr>
        <w:t>）确定，公式如下：</w:t>
      </w:r>
    </w:p>
    <w:p w14:paraId="64D07245" w14:textId="77777777" w:rsidR="000A0ACD" w:rsidRDefault="00362A99">
      <w:pPr>
        <w:pStyle w:val="affffd"/>
        <w:spacing w:before="156"/>
        <w:ind w:firstLine="480"/>
        <w:rPr>
          <w:bCs/>
          <w:lang w:val="en-GB"/>
        </w:rPr>
      </w:pPr>
      <w:r>
        <w:rPr>
          <w:bCs/>
          <w:noProof/>
        </w:rPr>
        <w:drawing>
          <wp:inline distT="0" distB="0" distL="0" distR="0" wp14:anchorId="7516B8C8" wp14:editId="03BBB55D">
            <wp:extent cx="2295525" cy="390525"/>
            <wp:effectExtent l="0" t="0" r="9525" b="952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95525" cy="390525"/>
                    </a:xfrm>
                    <a:prstGeom prst="rect">
                      <a:avLst/>
                    </a:prstGeom>
                    <a:noFill/>
                    <a:ln>
                      <a:noFill/>
                    </a:ln>
                  </pic:spPr>
                </pic:pic>
              </a:graphicData>
            </a:graphic>
          </wp:inline>
        </w:drawing>
      </w:r>
    </w:p>
    <w:p w14:paraId="2BBCB97A" w14:textId="77777777" w:rsidR="000A0ACD" w:rsidRDefault="00362A99">
      <w:pPr>
        <w:pStyle w:val="affffd"/>
        <w:spacing w:before="156"/>
        <w:ind w:firstLine="480"/>
        <w:rPr>
          <w:bCs/>
        </w:rPr>
      </w:pPr>
      <w:r>
        <w:rPr>
          <w:rFonts w:hint="eastAsia"/>
          <w:bCs/>
        </w:rPr>
        <w:t>式中：</w:t>
      </w:r>
      <w:r>
        <w:rPr>
          <w:bCs/>
        </w:rPr>
        <w:t>R</w:t>
      </w:r>
      <w:r>
        <w:rPr>
          <w:bCs/>
          <w:vertAlign w:val="subscript"/>
        </w:rPr>
        <w:t>e</w:t>
      </w:r>
      <w:r>
        <w:rPr>
          <w:rFonts w:hint="eastAsia"/>
          <w:bCs/>
        </w:rPr>
        <w:t>：权益资本成本；</w:t>
      </w:r>
      <w:r>
        <w:rPr>
          <w:bCs/>
        </w:rPr>
        <w:t>R</w:t>
      </w:r>
      <w:r>
        <w:rPr>
          <w:bCs/>
          <w:vertAlign w:val="subscript"/>
        </w:rPr>
        <w:t>d</w:t>
      </w:r>
      <w:r>
        <w:rPr>
          <w:rFonts w:hint="eastAsia"/>
          <w:bCs/>
        </w:rPr>
        <w:t>：付息负债资本成本；</w:t>
      </w:r>
      <w:r>
        <w:rPr>
          <w:bCs/>
        </w:rPr>
        <w:t>T</w:t>
      </w:r>
      <w:r>
        <w:rPr>
          <w:rFonts w:hint="eastAsia"/>
          <w:bCs/>
        </w:rPr>
        <w:t>：所得税率。</w:t>
      </w:r>
    </w:p>
    <w:p w14:paraId="02245331" w14:textId="77777777" w:rsidR="000A0ACD" w:rsidRDefault="00362A99">
      <w:pPr>
        <w:pStyle w:val="affffd"/>
        <w:spacing w:before="156"/>
        <w:ind w:firstLine="480"/>
        <w:rPr>
          <w:bCs/>
        </w:rPr>
      </w:pPr>
      <w:r>
        <w:rPr>
          <w:rFonts w:hint="eastAsia"/>
          <w:bCs/>
        </w:rPr>
        <w:t>（</w:t>
      </w:r>
      <w:r>
        <w:rPr>
          <w:bCs/>
        </w:rPr>
        <w:t>3</w:t>
      </w:r>
      <w:r>
        <w:rPr>
          <w:rFonts w:hint="eastAsia"/>
          <w:bCs/>
        </w:rPr>
        <w:t>）权益资本成本</w:t>
      </w:r>
      <w:r>
        <w:rPr>
          <w:bCs/>
        </w:rPr>
        <w:t>R</w:t>
      </w:r>
      <w:r>
        <w:rPr>
          <w:bCs/>
          <w:vertAlign w:val="subscript"/>
        </w:rPr>
        <w:t>e</w:t>
      </w:r>
      <w:r>
        <w:rPr>
          <w:rFonts w:hint="eastAsia"/>
          <w:bCs/>
        </w:rPr>
        <w:t>采用资本资产定价模型</w:t>
      </w:r>
      <w:r>
        <w:rPr>
          <w:bCs/>
        </w:rPr>
        <w:t>(CAPM)</w:t>
      </w:r>
      <w:r>
        <w:rPr>
          <w:rFonts w:hint="eastAsia"/>
          <w:bCs/>
        </w:rPr>
        <w:t>计算，公式如下：</w:t>
      </w:r>
    </w:p>
    <w:p w14:paraId="4698386C" w14:textId="77777777" w:rsidR="000A0ACD" w:rsidRDefault="00362A99">
      <w:pPr>
        <w:pStyle w:val="affffd"/>
        <w:spacing w:before="156"/>
        <w:ind w:firstLine="480"/>
        <w:rPr>
          <w:bCs/>
        </w:rPr>
      </w:pPr>
      <w:r>
        <w:rPr>
          <w:bCs/>
        </w:rPr>
        <w:t>R</w:t>
      </w:r>
      <w:r>
        <w:rPr>
          <w:bCs/>
          <w:vertAlign w:val="subscript"/>
        </w:rPr>
        <w:t>e</w:t>
      </w:r>
      <w:r>
        <w:rPr>
          <w:rFonts w:hint="eastAsia"/>
          <w:bCs/>
        </w:rPr>
        <w:t>＝</w:t>
      </w:r>
      <w:r>
        <w:rPr>
          <w:bCs/>
        </w:rPr>
        <w:t>R</w:t>
      </w:r>
      <w:r>
        <w:rPr>
          <w:bCs/>
          <w:vertAlign w:val="subscript"/>
        </w:rPr>
        <w:t>f</w:t>
      </w:r>
      <w:r>
        <w:rPr>
          <w:rFonts w:hint="eastAsia"/>
          <w:bCs/>
        </w:rPr>
        <w:t>＋β×</w:t>
      </w:r>
      <w:r>
        <w:rPr>
          <w:bCs/>
        </w:rPr>
        <w:t>ERP</w:t>
      </w:r>
      <w:r>
        <w:rPr>
          <w:rFonts w:hint="eastAsia"/>
          <w:bCs/>
        </w:rPr>
        <w:t>＋</w:t>
      </w:r>
      <w:r>
        <w:rPr>
          <w:bCs/>
        </w:rPr>
        <w:t>R</w:t>
      </w:r>
      <w:r>
        <w:rPr>
          <w:bCs/>
          <w:vertAlign w:val="subscript"/>
        </w:rPr>
        <w:t>s</w:t>
      </w:r>
    </w:p>
    <w:p w14:paraId="58B954DC" w14:textId="77777777" w:rsidR="000A0ACD" w:rsidRDefault="00362A99">
      <w:pPr>
        <w:pStyle w:val="affffd"/>
        <w:spacing w:before="156"/>
        <w:ind w:firstLine="480"/>
        <w:rPr>
          <w:bCs/>
        </w:rPr>
      </w:pPr>
      <w:r>
        <w:rPr>
          <w:rFonts w:hint="eastAsia"/>
          <w:bCs/>
        </w:rPr>
        <w:t>式中：</w:t>
      </w:r>
      <w:r>
        <w:rPr>
          <w:bCs/>
        </w:rPr>
        <w:t>R</w:t>
      </w:r>
      <w:r>
        <w:rPr>
          <w:bCs/>
          <w:vertAlign w:val="subscript"/>
        </w:rPr>
        <w:t>e</w:t>
      </w:r>
      <w:r>
        <w:rPr>
          <w:rFonts w:hint="eastAsia"/>
          <w:bCs/>
        </w:rPr>
        <w:t>为股权回报率；</w:t>
      </w:r>
      <w:r>
        <w:rPr>
          <w:bCs/>
        </w:rPr>
        <w:t>R</w:t>
      </w:r>
      <w:r>
        <w:rPr>
          <w:bCs/>
          <w:vertAlign w:val="subscript"/>
        </w:rPr>
        <w:t>f</w:t>
      </w:r>
      <w:r>
        <w:rPr>
          <w:rFonts w:hint="eastAsia"/>
          <w:bCs/>
        </w:rPr>
        <w:t>为无风险回报率；β为风险系数；</w:t>
      </w:r>
      <w:r>
        <w:rPr>
          <w:bCs/>
        </w:rPr>
        <w:t>ERP</w:t>
      </w:r>
      <w:r>
        <w:rPr>
          <w:rFonts w:hint="eastAsia"/>
          <w:bCs/>
        </w:rPr>
        <w:t>为市场风险超额回报率；</w:t>
      </w:r>
      <w:r>
        <w:rPr>
          <w:bCs/>
        </w:rPr>
        <w:t>R</w:t>
      </w:r>
      <w:r>
        <w:rPr>
          <w:bCs/>
          <w:vertAlign w:val="subscript"/>
        </w:rPr>
        <w:t>s</w:t>
      </w:r>
      <w:r>
        <w:rPr>
          <w:rFonts w:hint="eastAsia"/>
          <w:bCs/>
        </w:rPr>
        <w:t>为公司特有风险超额回报率</w:t>
      </w:r>
    </w:p>
    <w:p w14:paraId="58F973A8" w14:textId="77777777" w:rsidR="000A0ACD" w:rsidRDefault="00362A99">
      <w:pPr>
        <w:pStyle w:val="affffd"/>
        <w:spacing w:before="156"/>
        <w:ind w:firstLine="480"/>
        <w:rPr>
          <w:bCs/>
        </w:rPr>
      </w:pPr>
      <w:r>
        <w:rPr>
          <w:rFonts w:hint="eastAsia"/>
          <w:bCs/>
        </w:rPr>
        <w:t>（</w:t>
      </w:r>
      <w:r>
        <w:rPr>
          <w:bCs/>
        </w:rPr>
        <w:t>4</w:t>
      </w:r>
      <w:r>
        <w:rPr>
          <w:rFonts w:hint="eastAsia"/>
          <w:bCs/>
        </w:rPr>
        <w:t>）终值</w:t>
      </w:r>
      <w:r>
        <w:rPr>
          <w:bCs/>
        </w:rPr>
        <w:t>P</w:t>
      </w:r>
      <w:r>
        <w:rPr>
          <w:bCs/>
          <w:vertAlign w:val="subscript"/>
        </w:rPr>
        <w:t>n</w:t>
      </w:r>
      <w:r>
        <w:rPr>
          <w:rFonts w:hint="eastAsia"/>
          <w:bCs/>
        </w:rPr>
        <w:t>的确定</w:t>
      </w:r>
    </w:p>
    <w:p w14:paraId="74D6D7E8" w14:textId="77777777" w:rsidR="000A0ACD" w:rsidRDefault="00362A99">
      <w:pPr>
        <w:pStyle w:val="affffd"/>
        <w:spacing w:before="156"/>
        <w:ind w:firstLine="480"/>
        <w:rPr>
          <w:bCs/>
        </w:rPr>
      </w:pPr>
      <w:r>
        <w:rPr>
          <w:rFonts w:hint="eastAsia"/>
          <w:bCs/>
        </w:rPr>
        <w:t>根据企业价值准则规定，资产评估机构应当根据企业进入稳定期的因素分析预测期后的收益趋势、终止经营后的处置方式等，选择恰当的方法估算预测期后的价值。</w:t>
      </w:r>
    </w:p>
    <w:p w14:paraId="7125E45A" w14:textId="77777777" w:rsidR="000A0ACD" w:rsidRDefault="00362A99">
      <w:pPr>
        <w:pStyle w:val="affffd"/>
        <w:spacing w:before="156"/>
        <w:ind w:firstLine="480"/>
        <w:rPr>
          <w:bCs/>
        </w:rPr>
      </w:pPr>
      <w:r>
        <w:rPr>
          <w:rFonts w:hint="eastAsia"/>
          <w:bCs/>
        </w:rPr>
        <w:t>企业终值一般可采用永续增长模型</w:t>
      </w:r>
      <w:r>
        <w:rPr>
          <w:bCs/>
        </w:rPr>
        <w:t>(</w:t>
      </w:r>
      <w:r>
        <w:rPr>
          <w:rFonts w:hint="eastAsia"/>
          <w:bCs/>
        </w:rPr>
        <w:t>固定增长模型</w:t>
      </w:r>
      <w:r>
        <w:rPr>
          <w:bCs/>
        </w:rPr>
        <w:t>)</w:t>
      </w:r>
      <w:r>
        <w:rPr>
          <w:rFonts w:hint="eastAsia"/>
          <w:bCs/>
        </w:rPr>
        <w:t>、价格收益比例法、账面价值法等确定。</w:t>
      </w:r>
    </w:p>
    <w:p w14:paraId="55B64150" w14:textId="77777777" w:rsidR="000A0ACD" w:rsidRDefault="00362A99">
      <w:pPr>
        <w:pStyle w:val="affffd"/>
        <w:spacing w:before="156"/>
        <w:ind w:firstLine="480"/>
        <w:rPr>
          <w:bCs/>
          <w:lang w:val="en-GB"/>
        </w:rPr>
      </w:pPr>
      <w:r>
        <w:rPr>
          <w:rFonts w:hint="eastAsia"/>
          <w:bCs/>
        </w:rPr>
        <w:t>（</w:t>
      </w:r>
      <w:r>
        <w:rPr>
          <w:bCs/>
        </w:rPr>
        <w:t>5</w:t>
      </w:r>
      <w:r>
        <w:rPr>
          <w:rFonts w:hint="eastAsia"/>
          <w:bCs/>
        </w:rPr>
        <w:t>）非经营性资产负债（含溢余资产）Σ</w:t>
      </w:r>
      <w:r>
        <w:rPr>
          <w:bCs/>
        </w:rPr>
        <w:t>C</w:t>
      </w:r>
      <w:r>
        <w:rPr>
          <w:bCs/>
          <w:vertAlign w:val="subscript"/>
        </w:rPr>
        <w:t>i</w:t>
      </w:r>
      <w:r>
        <w:rPr>
          <w:rFonts w:hint="eastAsia"/>
          <w:bCs/>
        </w:rPr>
        <w:t>的价</w:t>
      </w:r>
      <w:r>
        <w:rPr>
          <w:rFonts w:hint="eastAsia"/>
          <w:bCs/>
          <w:lang w:val="en-GB"/>
        </w:rPr>
        <w:t>值</w:t>
      </w:r>
    </w:p>
    <w:p w14:paraId="4BF47433" w14:textId="77777777" w:rsidR="000A0ACD" w:rsidRDefault="00362A99">
      <w:pPr>
        <w:pStyle w:val="affffd"/>
        <w:spacing w:before="156"/>
        <w:ind w:firstLine="480"/>
        <w:rPr>
          <w:bCs/>
        </w:rPr>
      </w:pPr>
      <w:r>
        <w:rPr>
          <w:rFonts w:hint="eastAsia"/>
          <w:bCs/>
        </w:rPr>
        <w:t>非经营性资产负债是指与标的公司生产经营无关的，评估基准日后企业自由现金流量预测不涉及的资产与负债。</w:t>
      </w:r>
    </w:p>
    <w:p w14:paraId="7C1AB612" w14:textId="77777777" w:rsidR="000A0ACD" w:rsidRDefault="00362A99">
      <w:pPr>
        <w:pStyle w:val="affffd"/>
        <w:spacing w:before="156"/>
        <w:ind w:firstLine="480"/>
        <w:rPr>
          <w:bCs/>
        </w:rPr>
      </w:pPr>
      <w:r>
        <w:rPr>
          <w:rFonts w:hint="eastAsia"/>
          <w:bCs/>
        </w:rPr>
        <w:t>溢余资产是指评估基准日超过企业生产经营所需，评估基准日后企业自由现金流量预测不涉及的资产。</w:t>
      </w:r>
    </w:p>
    <w:p w14:paraId="27C7BFCF" w14:textId="77777777" w:rsidR="000A0ACD" w:rsidRDefault="00362A99">
      <w:pPr>
        <w:pStyle w:val="affffd"/>
        <w:spacing w:before="156"/>
        <w:ind w:firstLine="480"/>
        <w:rPr>
          <w:bCs/>
        </w:rPr>
      </w:pPr>
      <w:r>
        <w:rPr>
          <w:rFonts w:hint="eastAsia"/>
          <w:bCs/>
        </w:rPr>
        <w:t>对非经营性资产负债（含溢余资产），本次评估采用资产基础法进行评估。</w:t>
      </w:r>
    </w:p>
    <w:p w14:paraId="35163800" w14:textId="77777777" w:rsidR="000A0ACD" w:rsidRDefault="00362A99">
      <w:pPr>
        <w:pStyle w:val="affffd"/>
        <w:spacing w:before="156"/>
        <w:ind w:firstLine="482"/>
        <w:rPr>
          <w:b/>
          <w:bCs/>
        </w:rPr>
      </w:pPr>
      <w:r>
        <w:rPr>
          <w:rFonts w:hint="eastAsia"/>
          <w:b/>
          <w:bCs/>
        </w:rPr>
        <w:t>2</w:t>
      </w:r>
      <w:r>
        <w:rPr>
          <w:rFonts w:hint="eastAsia"/>
          <w:b/>
          <w:bCs/>
        </w:rPr>
        <w:t>、收益预测说明</w:t>
      </w:r>
    </w:p>
    <w:p w14:paraId="306F1CA3"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w:t>
      </w:r>
      <w:r>
        <w:rPr>
          <w:rFonts w:ascii="Times New Roman" w:hAnsi="Times New Roman" w:cs="Times New Roman"/>
          <w:lang w:bidi="ar"/>
        </w:rPr>
        <w:t>1</w:t>
      </w:r>
      <w:r>
        <w:rPr>
          <w:rFonts w:ascii="Times New Roman" w:hAnsi="Times New Roman" w:cs="Times New Roman" w:hint="eastAsia"/>
          <w:lang w:bidi="ar"/>
        </w:rPr>
        <w:t>）收益年限的确定</w:t>
      </w:r>
    </w:p>
    <w:p w14:paraId="31AA5B61" w14:textId="77777777" w:rsidR="000A0ACD" w:rsidRDefault="00362A99">
      <w:pPr>
        <w:pStyle w:val="affffd"/>
        <w:adjustRightInd w:val="0"/>
        <w:snapToGrid w:val="0"/>
        <w:spacing w:before="156"/>
        <w:ind w:firstLine="480"/>
        <w:rPr>
          <w:bCs/>
          <w:lang w:val="en-GB"/>
        </w:rPr>
      </w:pPr>
      <w:r>
        <w:rPr>
          <w:rFonts w:hint="eastAsia"/>
          <w:bCs/>
          <w:lang w:val="en-GB"/>
        </w:rPr>
        <w:t>在对企业收入成本结构、资本结构、资本性支出、投资收益和风险水平等综合分析的基础上，结合宏观政策、行业周期及其他影响企业进入稳定期的因素，确定预测期为</w:t>
      </w:r>
      <w:r>
        <w:rPr>
          <w:bCs/>
          <w:lang w:val="en-GB"/>
        </w:rPr>
        <w:t>5.5</w:t>
      </w:r>
      <w:r>
        <w:rPr>
          <w:rFonts w:hint="eastAsia"/>
          <w:bCs/>
          <w:lang w:val="en-GB"/>
        </w:rPr>
        <w:t>年；根据现行公司法规定，企业只要在经营期限届满前按规定的期限向工商行政管理部门申请，可以延长其经营期限，从企业管理层了解到，没有发现企业终止经营的任何理由，因此假设被评估企业未来收益期为无限期。</w:t>
      </w:r>
    </w:p>
    <w:p w14:paraId="6F805A9F" w14:textId="77777777" w:rsidR="000A0ACD" w:rsidRDefault="00362A99">
      <w:pPr>
        <w:pStyle w:val="affffd"/>
        <w:adjustRightInd w:val="0"/>
        <w:snapToGrid w:val="0"/>
        <w:spacing w:before="156"/>
        <w:ind w:firstLine="480"/>
        <w:rPr>
          <w:bCs/>
          <w:lang w:val="en-GB"/>
        </w:rPr>
      </w:pPr>
      <w:r>
        <w:rPr>
          <w:rFonts w:hint="eastAsia"/>
          <w:bCs/>
          <w:lang w:val="en-GB"/>
        </w:rPr>
        <w:t>本次评估将预测期分二个阶段，第一阶段为</w:t>
      </w:r>
      <w:r>
        <w:rPr>
          <w:bCs/>
          <w:lang w:val="en-GB"/>
        </w:rPr>
        <w:t>2020</w:t>
      </w:r>
      <w:r>
        <w:rPr>
          <w:rFonts w:hint="eastAsia"/>
          <w:bCs/>
          <w:lang w:val="en-GB"/>
        </w:rPr>
        <w:t>年</w:t>
      </w:r>
      <w:r>
        <w:rPr>
          <w:bCs/>
          <w:lang w:val="en-GB"/>
        </w:rPr>
        <w:t>7</w:t>
      </w:r>
      <w:r>
        <w:rPr>
          <w:rFonts w:hint="eastAsia"/>
          <w:bCs/>
          <w:lang w:val="en-GB"/>
        </w:rPr>
        <w:t>月</w:t>
      </w:r>
      <w:r>
        <w:rPr>
          <w:bCs/>
          <w:lang w:val="en-GB"/>
        </w:rPr>
        <w:t>1</w:t>
      </w:r>
      <w:r>
        <w:rPr>
          <w:rFonts w:hint="eastAsia"/>
          <w:bCs/>
          <w:lang w:val="en-GB"/>
        </w:rPr>
        <w:t>日至</w:t>
      </w:r>
      <w:r>
        <w:rPr>
          <w:bCs/>
          <w:lang w:val="en-GB"/>
        </w:rPr>
        <w:t>2025</w:t>
      </w:r>
      <w:r>
        <w:rPr>
          <w:rFonts w:hint="eastAsia"/>
          <w:bCs/>
          <w:lang w:val="en-GB"/>
        </w:rPr>
        <w:t>年</w:t>
      </w:r>
      <w:r>
        <w:rPr>
          <w:bCs/>
          <w:lang w:val="en-GB"/>
        </w:rPr>
        <w:t>12</w:t>
      </w:r>
      <w:r>
        <w:rPr>
          <w:rFonts w:hint="eastAsia"/>
          <w:bCs/>
          <w:lang w:val="en-GB"/>
        </w:rPr>
        <w:t>月</w:t>
      </w:r>
      <w:r>
        <w:rPr>
          <w:bCs/>
          <w:lang w:val="en-GB"/>
        </w:rPr>
        <w:t>31</w:t>
      </w:r>
      <w:r>
        <w:rPr>
          <w:rFonts w:hint="eastAsia"/>
          <w:bCs/>
          <w:lang w:val="en-GB"/>
        </w:rPr>
        <w:t>日；第二阶段为</w:t>
      </w:r>
      <w:r>
        <w:rPr>
          <w:bCs/>
          <w:lang w:val="en-GB"/>
        </w:rPr>
        <w:t>2026</w:t>
      </w:r>
      <w:r>
        <w:rPr>
          <w:rFonts w:hint="eastAsia"/>
          <w:bCs/>
          <w:lang w:val="en-GB"/>
        </w:rPr>
        <w:t>年</w:t>
      </w:r>
      <w:r>
        <w:rPr>
          <w:bCs/>
          <w:lang w:val="en-GB"/>
        </w:rPr>
        <w:t>1</w:t>
      </w:r>
      <w:r>
        <w:rPr>
          <w:rFonts w:hint="eastAsia"/>
          <w:bCs/>
          <w:lang w:val="en-GB"/>
        </w:rPr>
        <w:t>月</w:t>
      </w:r>
      <w:r>
        <w:rPr>
          <w:bCs/>
          <w:lang w:val="en-GB"/>
        </w:rPr>
        <w:t>1</w:t>
      </w:r>
      <w:r>
        <w:rPr>
          <w:rFonts w:hint="eastAsia"/>
          <w:bCs/>
          <w:lang w:val="en-GB"/>
        </w:rPr>
        <w:t>日直至永续。</w:t>
      </w:r>
    </w:p>
    <w:p w14:paraId="2A21836B"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w:t>
      </w:r>
      <w:r>
        <w:rPr>
          <w:rFonts w:ascii="Times New Roman" w:hAnsi="Times New Roman" w:cs="Times New Roman"/>
          <w:lang w:bidi="ar"/>
        </w:rPr>
        <w:t>2</w:t>
      </w:r>
      <w:r>
        <w:rPr>
          <w:rFonts w:ascii="Times New Roman" w:hAnsi="Times New Roman" w:cs="Times New Roman" w:hint="eastAsia"/>
          <w:lang w:bidi="ar"/>
        </w:rPr>
        <w:t>）未来收益预测</w:t>
      </w:r>
    </w:p>
    <w:p w14:paraId="62BB6ADF" w14:textId="77777777" w:rsidR="000A0ACD" w:rsidRDefault="00362A99">
      <w:pPr>
        <w:pStyle w:val="affffd"/>
        <w:spacing w:before="156"/>
        <w:ind w:firstLine="480"/>
        <w:rPr>
          <w:bCs/>
        </w:rPr>
      </w:pPr>
      <w:r>
        <w:rPr>
          <w:rFonts w:hint="eastAsia"/>
          <w:bCs/>
          <w:lang w:val="en-GB"/>
        </w:rPr>
        <w:t>对未来五年及以后年度收益的预测是由北洋天青根据中长期规划提供的。评估人员分析了标的公司管理层提出的预测数据并与北洋天青讨论了有关预测的假设、前提及预测过程，基本采纳了标的公司的预测。</w:t>
      </w:r>
    </w:p>
    <w:p w14:paraId="4AFFE665"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bookmarkStart w:id="107" w:name="_Toc163542852"/>
      <w:bookmarkStart w:id="108" w:name="_Toc161394620"/>
      <w:r>
        <w:rPr>
          <w:rFonts w:ascii="Times New Roman" w:hAnsi="Times New Roman" w:cs="Times New Roman"/>
          <w:lang w:bidi="ar"/>
        </w:rPr>
        <w:t>1</w:t>
      </w:r>
      <w:r>
        <w:rPr>
          <w:rFonts w:ascii="Times New Roman" w:hAnsi="Times New Roman" w:cs="Times New Roman" w:hint="eastAsia"/>
          <w:lang w:bidi="ar"/>
        </w:rPr>
        <w:t>）营业收入预测</w:t>
      </w:r>
      <w:bookmarkEnd w:id="107"/>
      <w:bookmarkEnd w:id="108"/>
    </w:p>
    <w:p w14:paraId="5636946C"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lang w:bidi="ar"/>
        </w:rPr>
        <w:t>北洋天青主要从事智能化、信息化的生产线建设、升级、改造行业整体解决方案等相关产品的研究、开发、设计和生产，针对不同客户的需求，整合运动控制、影像处理、机械人应用等技术，配合软件系统开发为客户提供最具竞争力的产品和服务。主要产品方案可分为工业机器人本体及系统集成、智能制造装备、机器视觉、测试系统集成、模具立体库自动换模系统、物流悬挂输送系统和企业信息化七大业务板块的产品线。</w:t>
      </w:r>
    </w:p>
    <w:p w14:paraId="06E8C403"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val="en-GB"/>
        </w:rPr>
        <w:t>历史年度北洋天青销售收入按照合同分类情况如下</w:t>
      </w:r>
      <w:r>
        <w:rPr>
          <w:rFonts w:ascii="Times New Roman" w:hAnsi="Times New Roman" w:cs="Times New Roman" w:hint="eastAsia"/>
          <w:bCs/>
          <w:color w:val="000000"/>
          <w:szCs w:val="21"/>
          <w:lang w:bidi="ar"/>
        </w:rPr>
        <w:t>：</w:t>
      </w:r>
    </w:p>
    <w:p w14:paraId="2AB45339" w14:textId="77777777" w:rsidR="000A0ACD" w:rsidRDefault="00362A99">
      <w:pPr>
        <w:keepNext/>
        <w:jc w:val="right"/>
        <w:rPr>
          <w:rFonts w:ascii="Times New Roman" w:hAnsi="Times New Roman" w:cs="Times New Roman"/>
          <w:bCs/>
          <w:color w:val="000000"/>
          <w:sz w:val="21"/>
          <w:szCs w:val="18"/>
          <w:lang w:val="en-GB" w:bidi="ar"/>
        </w:rPr>
      </w:pPr>
      <w:r>
        <w:rPr>
          <w:rFonts w:ascii="Times New Roman" w:hAnsi="Times New Roman" w:cs="Times New Roman" w:hint="eastAsia"/>
          <w:bCs/>
          <w:color w:val="000000"/>
          <w:sz w:val="21"/>
          <w:szCs w:val="18"/>
          <w:lang w:val="en-GB" w:bidi="ar"/>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15"/>
        <w:gridCol w:w="1599"/>
        <w:gridCol w:w="1597"/>
        <w:gridCol w:w="1716"/>
        <w:gridCol w:w="1595"/>
      </w:tblGrid>
      <w:tr w:rsidR="000A0ACD" w14:paraId="5C692144" w14:textId="77777777">
        <w:trPr>
          <w:trHeight w:val="397"/>
          <w:tblHeader/>
        </w:trPr>
        <w:tc>
          <w:tcPr>
            <w:tcW w:w="1182" w:type="pct"/>
            <w:vAlign w:val="center"/>
          </w:tcPr>
          <w:p w14:paraId="62E98B05" w14:textId="77777777" w:rsidR="000A0ACD" w:rsidRDefault="00362A99">
            <w:pPr>
              <w:jc w:val="center"/>
              <w:rPr>
                <w:rFonts w:ascii="Times New Roman" w:hAnsi="Times New Roman"/>
                <w:b/>
                <w:bCs/>
                <w:sz w:val="21"/>
                <w:szCs w:val="21"/>
              </w:rPr>
            </w:pPr>
            <w:r>
              <w:rPr>
                <w:rFonts w:ascii="Times New Roman" w:hAnsi="Times New Roman" w:hint="eastAsia"/>
                <w:b/>
                <w:bCs/>
                <w:sz w:val="21"/>
                <w:szCs w:val="21"/>
              </w:rPr>
              <w:t>合同分类</w:t>
            </w:r>
          </w:p>
        </w:tc>
        <w:tc>
          <w:tcPr>
            <w:tcW w:w="938" w:type="pct"/>
            <w:vAlign w:val="center"/>
          </w:tcPr>
          <w:p w14:paraId="34872C70" w14:textId="77777777" w:rsidR="000A0ACD" w:rsidRDefault="00362A99">
            <w:pPr>
              <w:jc w:val="center"/>
              <w:rPr>
                <w:rFonts w:ascii="Times New Roman" w:hAnsi="Times New Roman"/>
                <w:b/>
                <w:bCs/>
                <w:sz w:val="21"/>
                <w:szCs w:val="21"/>
              </w:rPr>
            </w:pPr>
            <w:r>
              <w:rPr>
                <w:rFonts w:ascii="Times New Roman" w:hAnsi="Times New Roman" w:hint="eastAsia"/>
                <w:b/>
                <w:bCs/>
                <w:sz w:val="21"/>
                <w:szCs w:val="21"/>
                <w:lang w:val="en-GB"/>
              </w:rPr>
              <w:t>2017</w:t>
            </w:r>
            <w:r>
              <w:rPr>
                <w:rFonts w:ascii="Times New Roman" w:hAnsi="Times New Roman" w:hint="eastAsia"/>
                <w:b/>
                <w:bCs/>
                <w:sz w:val="21"/>
                <w:szCs w:val="21"/>
                <w:lang w:val="en-GB"/>
              </w:rPr>
              <w:t>年度</w:t>
            </w:r>
          </w:p>
        </w:tc>
        <w:tc>
          <w:tcPr>
            <w:tcW w:w="937" w:type="pct"/>
            <w:vAlign w:val="center"/>
          </w:tcPr>
          <w:p w14:paraId="40C09490" w14:textId="77777777" w:rsidR="000A0ACD" w:rsidRDefault="00362A99">
            <w:pPr>
              <w:jc w:val="center"/>
              <w:rPr>
                <w:rFonts w:ascii="Times New Roman" w:hAnsi="Times New Roman"/>
                <w:b/>
                <w:bCs/>
                <w:sz w:val="21"/>
                <w:szCs w:val="21"/>
              </w:rPr>
            </w:pPr>
            <w:r>
              <w:rPr>
                <w:rFonts w:ascii="Times New Roman" w:hAnsi="Times New Roman" w:hint="eastAsia"/>
                <w:b/>
                <w:bCs/>
                <w:sz w:val="21"/>
                <w:szCs w:val="21"/>
                <w:lang w:val="en-GB"/>
              </w:rPr>
              <w:t>2018</w:t>
            </w:r>
            <w:r>
              <w:rPr>
                <w:rFonts w:ascii="Times New Roman" w:hAnsi="Times New Roman" w:hint="eastAsia"/>
                <w:b/>
                <w:bCs/>
                <w:sz w:val="21"/>
                <w:szCs w:val="21"/>
                <w:lang w:val="en-GB"/>
              </w:rPr>
              <w:t>年度</w:t>
            </w:r>
          </w:p>
        </w:tc>
        <w:tc>
          <w:tcPr>
            <w:tcW w:w="1007" w:type="pct"/>
            <w:vAlign w:val="center"/>
          </w:tcPr>
          <w:p w14:paraId="371023EB" w14:textId="77777777" w:rsidR="000A0ACD" w:rsidRDefault="00362A99">
            <w:pPr>
              <w:jc w:val="center"/>
              <w:rPr>
                <w:rFonts w:ascii="Times New Roman" w:hAnsi="Times New Roman"/>
                <w:b/>
                <w:bCs/>
                <w:sz w:val="21"/>
                <w:szCs w:val="21"/>
              </w:rPr>
            </w:pPr>
            <w:r>
              <w:rPr>
                <w:rFonts w:ascii="Times New Roman" w:hAnsi="Times New Roman" w:hint="eastAsia"/>
                <w:b/>
                <w:bCs/>
                <w:sz w:val="21"/>
                <w:szCs w:val="21"/>
                <w:lang w:val="en-GB"/>
              </w:rPr>
              <w:t>2019</w:t>
            </w:r>
            <w:r>
              <w:rPr>
                <w:rFonts w:ascii="Times New Roman" w:hAnsi="Times New Roman" w:hint="eastAsia"/>
                <w:b/>
                <w:bCs/>
                <w:sz w:val="21"/>
                <w:szCs w:val="21"/>
                <w:lang w:val="en-GB"/>
              </w:rPr>
              <w:t>年度</w:t>
            </w:r>
          </w:p>
        </w:tc>
        <w:tc>
          <w:tcPr>
            <w:tcW w:w="936" w:type="pct"/>
            <w:vAlign w:val="center"/>
          </w:tcPr>
          <w:p w14:paraId="013EAC6A" w14:textId="77777777" w:rsidR="000A0ACD" w:rsidRDefault="00362A99">
            <w:pPr>
              <w:jc w:val="center"/>
              <w:rPr>
                <w:rFonts w:ascii="Times New Roman" w:hAnsi="Times New Roman"/>
                <w:b/>
                <w:bCs/>
                <w:sz w:val="21"/>
                <w:szCs w:val="21"/>
              </w:rPr>
            </w:pPr>
            <w:r>
              <w:rPr>
                <w:rFonts w:ascii="Times New Roman" w:hAnsi="Times New Roman" w:hint="eastAsia"/>
                <w:b/>
                <w:bCs/>
                <w:sz w:val="21"/>
                <w:szCs w:val="21"/>
                <w:lang w:val="en-GB"/>
              </w:rPr>
              <w:t>2020</w:t>
            </w:r>
            <w:r>
              <w:rPr>
                <w:rFonts w:ascii="Times New Roman" w:hAnsi="Times New Roman" w:hint="eastAsia"/>
                <w:b/>
                <w:bCs/>
                <w:sz w:val="21"/>
                <w:szCs w:val="21"/>
                <w:lang w:val="en-GB"/>
              </w:rPr>
              <w:t>年</w:t>
            </w:r>
            <w:r>
              <w:rPr>
                <w:rFonts w:ascii="Times New Roman" w:hAnsi="Times New Roman" w:hint="eastAsia"/>
                <w:b/>
                <w:bCs/>
                <w:sz w:val="21"/>
                <w:szCs w:val="21"/>
                <w:lang w:val="en-GB"/>
              </w:rPr>
              <w:t>1-6</w:t>
            </w:r>
            <w:r>
              <w:rPr>
                <w:rFonts w:ascii="Times New Roman" w:hAnsi="Times New Roman" w:hint="eastAsia"/>
                <w:b/>
                <w:bCs/>
                <w:sz w:val="21"/>
                <w:szCs w:val="21"/>
                <w:lang w:val="en-GB"/>
              </w:rPr>
              <w:t>月</w:t>
            </w:r>
          </w:p>
        </w:tc>
      </w:tr>
      <w:tr w:rsidR="000A0ACD" w14:paraId="434860D2" w14:textId="77777777">
        <w:trPr>
          <w:trHeight w:val="397"/>
        </w:trPr>
        <w:tc>
          <w:tcPr>
            <w:tcW w:w="1182" w:type="pct"/>
            <w:vAlign w:val="center"/>
          </w:tcPr>
          <w:p w14:paraId="482E27D6" w14:textId="77777777" w:rsidR="000A0ACD" w:rsidRDefault="00362A99">
            <w:pPr>
              <w:rPr>
                <w:rFonts w:ascii="Times New Roman" w:hAnsi="Times New Roman"/>
                <w:b/>
                <w:bCs/>
                <w:sz w:val="21"/>
                <w:szCs w:val="21"/>
              </w:rPr>
            </w:pPr>
            <w:r>
              <w:rPr>
                <w:rFonts w:ascii="Times New Roman" w:hAnsi="Times New Roman" w:hint="eastAsia"/>
                <w:b/>
                <w:bCs/>
                <w:sz w:val="21"/>
                <w:szCs w:val="21"/>
              </w:rPr>
              <w:t>按商品类型分类</w:t>
            </w:r>
          </w:p>
        </w:tc>
        <w:tc>
          <w:tcPr>
            <w:tcW w:w="938" w:type="pct"/>
            <w:vAlign w:val="center"/>
          </w:tcPr>
          <w:p w14:paraId="2DBB24E5" w14:textId="77777777" w:rsidR="000A0ACD" w:rsidRDefault="00362A99">
            <w:pPr>
              <w:jc w:val="right"/>
              <w:rPr>
                <w:rFonts w:ascii="Times New Roman" w:hAnsi="Times New Roman"/>
                <w:b/>
                <w:bCs/>
                <w:sz w:val="21"/>
                <w:szCs w:val="21"/>
              </w:rPr>
            </w:pPr>
            <w:r>
              <w:rPr>
                <w:rFonts w:ascii="Times New Roman" w:hAnsi="Times New Roman"/>
                <w:b/>
                <w:bCs/>
                <w:sz w:val="21"/>
                <w:szCs w:val="21"/>
              </w:rPr>
              <w:t>3,397.23</w:t>
            </w:r>
          </w:p>
        </w:tc>
        <w:tc>
          <w:tcPr>
            <w:tcW w:w="937" w:type="pct"/>
            <w:vAlign w:val="center"/>
          </w:tcPr>
          <w:p w14:paraId="7F832B19" w14:textId="77777777" w:rsidR="000A0ACD" w:rsidRDefault="00362A99">
            <w:pPr>
              <w:jc w:val="right"/>
              <w:rPr>
                <w:rFonts w:ascii="Times New Roman" w:hAnsi="Times New Roman"/>
                <w:b/>
                <w:bCs/>
                <w:sz w:val="21"/>
                <w:szCs w:val="21"/>
              </w:rPr>
            </w:pPr>
            <w:r>
              <w:rPr>
                <w:rFonts w:ascii="Times New Roman" w:hAnsi="Times New Roman"/>
                <w:b/>
                <w:bCs/>
                <w:sz w:val="21"/>
                <w:szCs w:val="21"/>
              </w:rPr>
              <w:t>6,106.09</w:t>
            </w:r>
          </w:p>
        </w:tc>
        <w:tc>
          <w:tcPr>
            <w:tcW w:w="1007" w:type="pct"/>
            <w:vAlign w:val="center"/>
          </w:tcPr>
          <w:p w14:paraId="661949FA" w14:textId="77777777" w:rsidR="000A0ACD" w:rsidRDefault="00362A99">
            <w:pPr>
              <w:jc w:val="right"/>
              <w:rPr>
                <w:rFonts w:ascii="Times New Roman" w:hAnsi="Times New Roman"/>
                <w:b/>
                <w:bCs/>
                <w:sz w:val="21"/>
                <w:szCs w:val="21"/>
              </w:rPr>
            </w:pPr>
            <w:r>
              <w:rPr>
                <w:rFonts w:ascii="Times New Roman" w:hAnsi="Times New Roman"/>
                <w:b/>
                <w:bCs/>
                <w:sz w:val="21"/>
                <w:szCs w:val="21"/>
              </w:rPr>
              <w:t>10,326.14</w:t>
            </w:r>
          </w:p>
        </w:tc>
        <w:tc>
          <w:tcPr>
            <w:tcW w:w="936" w:type="pct"/>
            <w:vAlign w:val="center"/>
          </w:tcPr>
          <w:p w14:paraId="7337EB3C" w14:textId="77777777" w:rsidR="000A0ACD" w:rsidRDefault="00362A99">
            <w:pPr>
              <w:jc w:val="right"/>
              <w:rPr>
                <w:rFonts w:ascii="Times New Roman" w:hAnsi="Times New Roman"/>
                <w:b/>
                <w:bCs/>
                <w:sz w:val="21"/>
                <w:szCs w:val="21"/>
              </w:rPr>
            </w:pPr>
            <w:r>
              <w:rPr>
                <w:rFonts w:ascii="Times New Roman" w:hAnsi="Times New Roman"/>
                <w:b/>
                <w:bCs/>
                <w:sz w:val="21"/>
                <w:szCs w:val="21"/>
              </w:rPr>
              <w:t>4,041.33</w:t>
            </w:r>
          </w:p>
        </w:tc>
      </w:tr>
      <w:tr w:rsidR="000A0ACD" w14:paraId="5EA954D3" w14:textId="77777777">
        <w:trPr>
          <w:trHeight w:val="397"/>
        </w:trPr>
        <w:tc>
          <w:tcPr>
            <w:tcW w:w="1182" w:type="pct"/>
            <w:vAlign w:val="center"/>
          </w:tcPr>
          <w:p w14:paraId="4AB7343A" w14:textId="77777777" w:rsidR="000A0ACD" w:rsidRDefault="00362A99">
            <w:pPr>
              <w:rPr>
                <w:rFonts w:ascii="Times New Roman" w:hAnsi="Times New Roman"/>
                <w:sz w:val="21"/>
                <w:szCs w:val="21"/>
              </w:rPr>
            </w:pPr>
            <w:r>
              <w:rPr>
                <w:rFonts w:ascii="Times New Roman" w:hAnsi="Times New Roman" w:hint="eastAsia"/>
                <w:sz w:val="21"/>
                <w:szCs w:val="21"/>
              </w:rPr>
              <w:t>其中：定制化集成</w:t>
            </w:r>
          </w:p>
        </w:tc>
        <w:tc>
          <w:tcPr>
            <w:tcW w:w="938" w:type="pct"/>
            <w:vAlign w:val="center"/>
          </w:tcPr>
          <w:p w14:paraId="715B6A09" w14:textId="77777777" w:rsidR="000A0ACD" w:rsidRDefault="00362A99">
            <w:pPr>
              <w:jc w:val="right"/>
              <w:rPr>
                <w:rFonts w:ascii="Times New Roman" w:hAnsi="Times New Roman"/>
                <w:sz w:val="21"/>
                <w:szCs w:val="21"/>
              </w:rPr>
            </w:pPr>
            <w:r>
              <w:rPr>
                <w:rFonts w:ascii="Times New Roman" w:hAnsi="Times New Roman"/>
                <w:sz w:val="21"/>
                <w:szCs w:val="21"/>
              </w:rPr>
              <w:t>2,246.56</w:t>
            </w:r>
          </w:p>
        </w:tc>
        <w:tc>
          <w:tcPr>
            <w:tcW w:w="937" w:type="pct"/>
            <w:vAlign w:val="center"/>
          </w:tcPr>
          <w:p w14:paraId="5AFFDAB9" w14:textId="77777777" w:rsidR="000A0ACD" w:rsidRDefault="00362A99">
            <w:pPr>
              <w:jc w:val="right"/>
              <w:rPr>
                <w:rFonts w:ascii="Times New Roman" w:hAnsi="Times New Roman"/>
                <w:sz w:val="21"/>
                <w:szCs w:val="21"/>
              </w:rPr>
            </w:pPr>
            <w:r>
              <w:rPr>
                <w:rFonts w:ascii="Times New Roman" w:hAnsi="Times New Roman"/>
                <w:sz w:val="21"/>
                <w:szCs w:val="21"/>
              </w:rPr>
              <w:t>890.75</w:t>
            </w:r>
          </w:p>
        </w:tc>
        <w:tc>
          <w:tcPr>
            <w:tcW w:w="1007" w:type="pct"/>
            <w:vAlign w:val="center"/>
          </w:tcPr>
          <w:p w14:paraId="2476C400" w14:textId="77777777" w:rsidR="000A0ACD" w:rsidRDefault="00362A99">
            <w:pPr>
              <w:jc w:val="right"/>
              <w:rPr>
                <w:rFonts w:ascii="Times New Roman" w:hAnsi="Times New Roman"/>
                <w:sz w:val="21"/>
                <w:szCs w:val="21"/>
              </w:rPr>
            </w:pPr>
            <w:r>
              <w:rPr>
                <w:rFonts w:ascii="Times New Roman" w:hAnsi="Times New Roman"/>
                <w:sz w:val="21"/>
                <w:szCs w:val="21"/>
              </w:rPr>
              <w:t>8,544.53</w:t>
            </w:r>
          </w:p>
        </w:tc>
        <w:tc>
          <w:tcPr>
            <w:tcW w:w="936" w:type="pct"/>
            <w:vAlign w:val="center"/>
          </w:tcPr>
          <w:p w14:paraId="7B49F0D7" w14:textId="77777777" w:rsidR="000A0ACD" w:rsidRDefault="00362A99">
            <w:pPr>
              <w:jc w:val="right"/>
              <w:rPr>
                <w:rFonts w:ascii="Times New Roman" w:hAnsi="Times New Roman"/>
                <w:sz w:val="21"/>
                <w:szCs w:val="21"/>
              </w:rPr>
            </w:pPr>
            <w:r>
              <w:rPr>
                <w:rFonts w:ascii="Times New Roman" w:hAnsi="Times New Roman"/>
                <w:sz w:val="21"/>
                <w:szCs w:val="21"/>
              </w:rPr>
              <w:t>1,650.27</w:t>
            </w:r>
          </w:p>
        </w:tc>
      </w:tr>
      <w:tr w:rsidR="000A0ACD" w14:paraId="7B7C82C8" w14:textId="77777777">
        <w:trPr>
          <w:trHeight w:val="397"/>
        </w:trPr>
        <w:tc>
          <w:tcPr>
            <w:tcW w:w="1182" w:type="pct"/>
            <w:vAlign w:val="center"/>
          </w:tcPr>
          <w:p w14:paraId="21281213" w14:textId="77777777" w:rsidR="000A0ACD" w:rsidRDefault="00362A99">
            <w:pPr>
              <w:rPr>
                <w:rFonts w:ascii="Times New Roman" w:hAnsi="Times New Roman"/>
                <w:sz w:val="21"/>
                <w:szCs w:val="21"/>
              </w:rPr>
            </w:pPr>
            <w:r>
              <w:rPr>
                <w:rFonts w:ascii="Times New Roman" w:hAnsi="Times New Roman" w:hint="eastAsia"/>
                <w:sz w:val="21"/>
                <w:szCs w:val="21"/>
              </w:rPr>
              <w:t>机器人及配套</w:t>
            </w:r>
          </w:p>
        </w:tc>
        <w:tc>
          <w:tcPr>
            <w:tcW w:w="938" w:type="pct"/>
            <w:vAlign w:val="center"/>
          </w:tcPr>
          <w:p w14:paraId="194A1A34" w14:textId="77777777" w:rsidR="000A0ACD" w:rsidRDefault="00362A99">
            <w:pPr>
              <w:jc w:val="right"/>
              <w:rPr>
                <w:rFonts w:ascii="Times New Roman" w:hAnsi="Times New Roman"/>
                <w:sz w:val="21"/>
                <w:szCs w:val="21"/>
              </w:rPr>
            </w:pPr>
            <w:r>
              <w:rPr>
                <w:rFonts w:ascii="Times New Roman" w:hAnsi="Times New Roman"/>
                <w:sz w:val="21"/>
                <w:szCs w:val="21"/>
              </w:rPr>
              <w:t>1,150.66</w:t>
            </w:r>
          </w:p>
        </w:tc>
        <w:tc>
          <w:tcPr>
            <w:tcW w:w="937" w:type="pct"/>
            <w:vAlign w:val="center"/>
          </w:tcPr>
          <w:p w14:paraId="4ADBF250" w14:textId="77777777" w:rsidR="000A0ACD" w:rsidRDefault="00362A99">
            <w:pPr>
              <w:jc w:val="right"/>
              <w:rPr>
                <w:rFonts w:ascii="Times New Roman" w:hAnsi="Times New Roman"/>
                <w:sz w:val="21"/>
                <w:szCs w:val="21"/>
              </w:rPr>
            </w:pPr>
            <w:r>
              <w:rPr>
                <w:rFonts w:ascii="Times New Roman" w:hAnsi="Times New Roman"/>
                <w:sz w:val="21"/>
                <w:szCs w:val="21"/>
              </w:rPr>
              <w:t>5,215.34</w:t>
            </w:r>
          </w:p>
        </w:tc>
        <w:tc>
          <w:tcPr>
            <w:tcW w:w="1007" w:type="pct"/>
            <w:vAlign w:val="center"/>
          </w:tcPr>
          <w:p w14:paraId="72EBD474" w14:textId="77777777" w:rsidR="000A0ACD" w:rsidRDefault="00362A99">
            <w:pPr>
              <w:jc w:val="right"/>
              <w:rPr>
                <w:rFonts w:ascii="Times New Roman" w:hAnsi="Times New Roman"/>
                <w:sz w:val="21"/>
                <w:szCs w:val="21"/>
              </w:rPr>
            </w:pPr>
            <w:r>
              <w:rPr>
                <w:rFonts w:ascii="Times New Roman" w:hAnsi="Times New Roman"/>
                <w:sz w:val="21"/>
                <w:szCs w:val="21"/>
              </w:rPr>
              <w:t>1,781.61</w:t>
            </w:r>
          </w:p>
        </w:tc>
        <w:tc>
          <w:tcPr>
            <w:tcW w:w="936" w:type="pct"/>
            <w:vAlign w:val="center"/>
          </w:tcPr>
          <w:p w14:paraId="5C426DD6" w14:textId="77777777" w:rsidR="000A0ACD" w:rsidRDefault="00362A99">
            <w:pPr>
              <w:jc w:val="right"/>
              <w:rPr>
                <w:rFonts w:ascii="Times New Roman" w:hAnsi="Times New Roman"/>
                <w:sz w:val="21"/>
                <w:szCs w:val="21"/>
              </w:rPr>
            </w:pPr>
            <w:r>
              <w:rPr>
                <w:rFonts w:ascii="Times New Roman" w:hAnsi="Times New Roman"/>
                <w:sz w:val="21"/>
                <w:szCs w:val="21"/>
              </w:rPr>
              <w:t>2,391.06</w:t>
            </w:r>
          </w:p>
        </w:tc>
      </w:tr>
    </w:tbl>
    <w:p w14:paraId="72B21CE7" w14:textId="77777777" w:rsidR="000A0ACD" w:rsidRDefault="00362A99">
      <w:pPr>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fldChar w:fldCharType="begin"/>
      </w:r>
      <w:r>
        <w:rPr>
          <w:rFonts w:ascii="Times New Roman" w:hAnsi="Times New Roman" w:cs="Times New Roman"/>
          <w:lang w:bidi="ar"/>
        </w:rPr>
        <w:instrText xml:space="preserve"> = 1 \* GB3 </w:instrText>
      </w:r>
      <w:r>
        <w:rPr>
          <w:rFonts w:ascii="Times New Roman" w:hAnsi="Times New Roman" w:cs="Times New Roman"/>
          <w:lang w:bidi="ar"/>
        </w:rPr>
        <w:fldChar w:fldCharType="separate"/>
      </w:r>
      <w:r>
        <w:rPr>
          <w:rFonts w:ascii="Times New Roman" w:hAnsi="Times New Roman" w:cs="Times New Roman" w:hint="eastAsia"/>
          <w:lang w:bidi="ar"/>
        </w:rPr>
        <w:t>①</w:t>
      </w:r>
      <w:r>
        <w:rPr>
          <w:rFonts w:ascii="Times New Roman" w:hAnsi="Times New Roman" w:cs="Times New Roman"/>
          <w:lang w:bidi="ar"/>
        </w:rPr>
        <w:fldChar w:fldCharType="end"/>
      </w:r>
      <w:r>
        <w:rPr>
          <w:rFonts w:ascii="Times New Roman" w:hAnsi="Times New Roman" w:cs="Times New Roman"/>
          <w:lang w:bidi="ar"/>
        </w:rPr>
        <w:t>2020</w:t>
      </w:r>
      <w:r>
        <w:rPr>
          <w:rFonts w:ascii="Times New Roman" w:hAnsi="Times New Roman" w:cs="Times New Roman" w:hint="eastAsia"/>
          <w:lang w:bidi="ar"/>
        </w:rPr>
        <w:t>年</w:t>
      </w:r>
      <w:r>
        <w:rPr>
          <w:rFonts w:ascii="Times New Roman" w:hAnsi="Times New Roman" w:cs="Times New Roman"/>
          <w:lang w:bidi="ar"/>
        </w:rPr>
        <w:t>7-12</w:t>
      </w:r>
      <w:r>
        <w:rPr>
          <w:rFonts w:ascii="Times New Roman" w:hAnsi="Times New Roman" w:cs="Times New Roman" w:hint="eastAsia"/>
          <w:lang w:bidi="ar"/>
        </w:rPr>
        <w:t>月收入预测</w:t>
      </w:r>
    </w:p>
    <w:p w14:paraId="360BB9A3"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bidi="ar"/>
        </w:rPr>
        <w:t>根据北洋天青至评估报告出具日的在手订单情况、客户近期招投标计划情况结合各业务类型生产工期情况，可以得出</w:t>
      </w: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年度北洋天青预计确认收入金额。通过对全年在手订单的统计，扣减</w:t>
      </w: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年已确认收入金额，即可得出</w:t>
      </w: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w:t>
      </w:r>
      <w:r>
        <w:rPr>
          <w:rFonts w:ascii="Times New Roman" w:hAnsi="Times New Roman" w:cs="Times New Roman"/>
          <w:bCs/>
          <w:color w:val="000000"/>
          <w:szCs w:val="21"/>
          <w:lang w:bidi="ar"/>
        </w:rPr>
        <w:t>7-12</w:t>
      </w:r>
      <w:r>
        <w:rPr>
          <w:rFonts w:ascii="Times New Roman" w:hAnsi="Times New Roman" w:cs="Times New Roman" w:hint="eastAsia"/>
          <w:bCs/>
          <w:color w:val="000000"/>
          <w:szCs w:val="21"/>
          <w:lang w:bidi="ar"/>
        </w:rPr>
        <w:t>月预计确认收入金额。</w:t>
      </w:r>
    </w:p>
    <w:p w14:paraId="7ADD7575"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bCs/>
          <w:color w:val="000000"/>
          <w:szCs w:val="21"/>
        </w:rPr>
        <w:t>2020</w:t>
      </w:r>
      <w:r>
        <w:rPr>
          <w:rFonts w:ascii="Times New Roman" w:hAnsi="Times New Roman" w:cs="Times New Roman" w:hint="eastAsia"/>
          <w:bCs/>
          <w:color w:val="000000"/>
          <w:szCs w:val="21"/>
        </w:rPr>
        <w:t>年度，北洋天青在手订单（收入口径）情况如下：</w:t>
      </w:r>
    </w:p>
    <w:p w14:paraId="1CF00224"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085"/>
        <w:gridCol w:w="2761"/>
        <w:gridCol w:w="2676"/>
      </w:tblGrid>
      <w:tr w:rsidR="000A0ACD" w14:paraId="7A13036F" w14:textId="77777777">
        <w:trPr>
          <w:trHeight w:val="397"/>
          <w:tblHeader/>
        </w:trPr>
        <w:tc>
          <w:tcPr>
            <w:tcW w:w="1810" w:type="pct"/>
            <w:vMerge w:val="restart"/>
            <w:shd w:val="clear" w:color="auto" w:fill="auto"/>
            <w:noWrap/>
            <w:vAlign w:val="center"/>
          </w:tcPr>
          <w:p w14:paraId="3E8EE3A3"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3190" w:type="pct"/>
            <w:gridSpan w:val="2"/>
            <w:shd w:val="clear" w:color="auto" w:fill="auto"/>
            <w:noWrap/>
            <w:vAlign w:val="center"/>
          </w:tcPr>
          <w:p w14:paraId="0ABFC5C6"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年全年</w:t>
            </w:r>
          </w:p>
        </w:tc>
      </w:tr>
      <w:tr w:rsidR="000A0ACD" w14:paraId="7D1A1B7A" w14:textId="77777777">
        <w:trPr>
          <w:trHeight w:val="397"/>
          <w:tblHeader/>
        </w:trPr>
        <w:tc>
          <w:tcPr>
            <w:tcW w:w="1810" w:type="pct"/>
            <w:vMerge/>
            <w:vAlign w:val="center"/>
          </w:tcPr>
          <w:p w14:paraId="4677B69B" w14:textId="77777777" w:rsidR="000A0ACD" w:rsidRDefault="000A0ACD">
            <w:pPr>
              <w:rPr>
                <w:rFonts w:ascii="Times New Roman" w:hAnsi="Times New Roman" w:cs="Times New Roman"/>
                <w:b/>
                <w:bCs/>
                <w:sz w:val="21"/>
                <w:szCs w:val="21"/>
              </w:rPr>
            </w:pPr>
          </w:p>
        </w:tc>
        <w:tc>
          <w:tcPr>
            <w:tcW w:w="1620" w:type="pct"/>
            <w:shd w:val="clear" w:color="auto" w:fill="auto"/>
            <w:noWrap/>
            <w:vAlign w:val="center"/>
          </w:tcPr>
          <w:p w14:paraId="79A526C1"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已签</w:t>
            </w:r>
          </w:p>
        </w:tc>
        <w:tc>
          <w:tcPr>
            <w:tcW w:w="1570" w:type="pct"/>
            <w:shd w:val="clear" w:color="auto" w:fill="auto"/>
            <w:noWrap/>
            <w:vAlign w:val="center"/>
          </w:tcPr>
          <w:p w14:paraId="4FCCC122"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中标通知书</w:t>
            </w:r>
          </w:p>
        </w:tc>
      </w:tr>
      <w:tr w:rsidR="000A0ACD" w14:paraId="70F118DE" w14:textId="77777777">
        <w:trPr>
          <w:trHeight w:val="397"/>
        </w:trPr>
        <w:tc>
          <w:tcPr>
            <w:tcW w:w="1810" w:type="pct"/>
            <w:shd w:val="clear" w:color="auto" w:fill="auto"/>
            <w:noWrap/>
            <w:vAlign w:val="center"/>
          </w:tcPr>
          <w:p w14:paraId="6D9D0743" w14:textId="77777777" w:rsidR="000A0ACD" w:rsidRDefault="00362A99">
            <w:pPr>
              <w:jc w:val="both"/>
              <w:rPr>
                <w:rFonts w:ascii="Times New Roman" w:hAnsi="Times New Roman" w:cs="Times New Roman"/>
                <w:b/>
                <w:bCs/>
                <w:sz w:val="21"/>
                <w:szCs w:val="21"/>
              </w:rPr>
            </w:pPr>
            <w:r>
              <w:rPr>
                <w:rFonts w:ascii="Times New Roman" w:hAnsi="Times New Roman" w:cs="Times New Roman" w:hint="eastAsia"/>
                <w:b/>
                <w:bCs/>
                <w:sz w:val="21"/>
                <w:szCs w:val="21"/>
              </w:rPr>
              <w:t>澳柯玛</w:t>
            </w:r>
          </w:p>
        </w:tc>
        <w:tc>
          <w:tcPr>
            <w:tcW w:w="1620" w:type="pct"/>
            <w:shd w:val="clear" w:color="auto" w:fill="auto"/>
            <w:noWrap/>
            <w:vAlign w:val="center"/>
          </w:tcPr>
          <w:p w14:paraId="3C2C7D9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4,717.70</w:t>
            </w:r>
          </w:p>
        </w:tc>
        <w:tc>
          <w:tcPr>
            <w:tcW w:w="1570" w:type="pct"/>
            <w:shd w:val="clear" w:color="auto" w:fill="auto"/>
            <w:noWrap/>
            <w:vAlign w:val="center"/>
          </w:tcPr>
          <w:p w14:paraId="11D9F0A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17A4EE10" w14:textId="77777777">
        <w:trPr>
          <w:trHeight w:val="397"/>
        </w:trPr>
        <w:tc>
          <w:tcPr>
            <w:tcW w:w="1810" w:type="pct"/>
            <w:shd w:val="clear" w:color="auto" w:fill="auto"/>
            <w:noWrap/>
            <w:vAlign w:val="center"/>
          </w:tcPr>
          <w:p w14:paraId="6C53E851"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能源配套</w:t>
            </w:r>
          </w:p>
        </w:tc>
        <w:tc>
          <w:tcPr>
            <w:tcW w:w="1620" w:type="pct"/>
            <w:shd w:val="clear" w:color="auto" w:fill="auto"/>
            <w:noWrap/>
            <w:vAlign w:val="center"/>
          </w:tcPr>
          <w:p w14:paraId="6A046C6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1570" w:type="pct"/>
            <w:shd w:val="clear" w:color="auto" w:fill="auto"/>
            <w:noWrap/>
            <w:vAlign w:val="center"/>
          </w:tcPr>
          <w:p w14:paraId="46BE8FF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6B8F1F6B" w14:textId="77777777">
        <w:trPr>
          <w:trHeight w:val="397"/>
        </w:trPr>
        <w:tc>
          <w:tcPr>
            <w:tcW w:w="1810" w:type="pct"/>
            <w:shd w:val="clear" w:color="auto" w:fill="auto"/>
            <w:noWrap/>
            <w:vAlign w:val="center"/>
          </w:tcPr>
          <w:p w14:paraId="2D4DA9AA"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企业信息化</w:t>
            </w:r>
          </w:p>
        </w:tc>
        <w:tc>
          <w:tcPr>
            <w:tcW w:w="1620" w:type="pct"/>
            <w:shd w:val="clear" w:color="auto" w:fill="auto"/>
            <w:noWrap/>
            <w:vAlign w:val="center"/>
          </w:tcPr>
          <w:p w14:paraId="1772AE0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3,971.95</w:t>
            </w:r>
          </w:p>
        </w:tc>
        <w:tc>
          <w:tcPr>
            <w:tcW w:w="1570" w:type="pct"/>
            <w:shd w:val="clear" w:color="auto" w:fill="auto"/>
            <w:noWrap/>
            <w:vAlign w:val="center"/>
          </w:tcPr>
          <w:p w14:paraId="258B497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235BD33F" w14:textId="77777777">
        <w:trPr>
          <w:trHeight w:val="397"/>
        </w:trPr>
        <w:tc>
          <w:tcPr>
            <w:tcW w:w="1810" w:type="pct"/>
            <w:shd w:val="clear" w:color="auto" w:fill="auto"/>
            <w:noWrap/>
            <w:vAlign w:val="center"/>
          </w:tcPr>
          <w:p w14:paraId="6CB531FF"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hint="eastAsia"/>
                <w:sz w:val="21"/>
                <w:szCs w:val="21"/>
              </w:rPr>
              <w:t>-</w:t>
            </w:r>
            <w:r>
              <w:rPr>
                <w:rFonts w:ascii="Times New Roman" w:hAnsi="Times New Roman" w:cs="Times New Roman" w:hint="eastAsia"/>
                <w:sz w:val="21"/>
                <w:szCs w:val="21"/>
              </w:rPr>
              <w:t>总装</w:t>
            </w:r>
          </w:p>
        </w:tc>
        <w:tc>
          <w:tcPr>
            <w:tcW w:w="1620" w:type="pct"/>
            <w:shd w:val="clear" w:color="auto" w:fill="auto"/>
            <w:noWrap/>
            <w:vAlign w:val="center"/>
          </w:tcPr>
          <w:p w14:paraId="7E4BF3A7"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442.12</w:t>
            </w:r>
          </w:p>
        </w:tc>
        <w:tc>
          <w:tcPr>
            <w:tcW w:w="1570" w:type="pct"/>
            <w:shd w:val="clear" w:color="auto" w:fill="auto"/>
            <w:noWrap/>
            <w:vAlign w:val="center"/>
          </w:tcPr>
          <w:p w14:paraId="42CF3CC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0C961128" w14:textId="77777777">
        <w:trPr>
          <w:trHeight w:val="397"/>
        </w:trPr>
        <w:tc>
          <w:tcPr>
            <w:tcW w:w="1810" w:type="pct"/>
            <w:shd w:val="clear" w:color="auto" w:fill="auto"/>
            <w:noWrap/>
            <w:vAlign w:val="center"/>
          </w:tcPr>
          <w:p w14:paraId="14C3E4C4"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1620" w:type="pct"/>
            <w:shd w:val="clear" w:color="auto" w:fill="auto"/>
            <w:noWrap/>
            <w:vAlign w:val="center"/>
          </w:tcPr>
          <w:p w14:paraId="3A2BF49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303.63</w:t>
            </w:r>
          </w:p>
        </w:tc>
        <w:tc>
          <w:tcPr>
            <w:tcW w:w="1570" w:type="pct"/>
            <w:shd w:val="clear" w:color="auto" w:fill="auto"/>
            <w:noWrap/>
            <w:vAlign w:val="center"/>
          </w:tcPr>
          <w:p w14:paraId="43541AD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73066BD6" w14:textId="77777777">
        <w:trPr>
          <w:trHeight w:val="397"/>
        </w:trPr>
        <w:tc>
          <w:tcPr>
            <w:tcW w:w="1810" w:type="pct"/>
            <w:shd w:val="clear" w:color="auto" w:fill="auto"/>
            <w:noWrap/>
            <w:vAlign w:val="center"/>
          </w:tcPr>
          <w:p w14:paraId="741CF2B6" w14:textId="77777777" w:rsidR="000A0ACD" w:rsidRDefault="00362A99">
            <w:pPr>
              <w:jc w:val="both"/>
              <w:rPr>
                <w:rFonts w:ascii="Times New Roman" w:hAnsi="Times New Roman" w:cs="Times New Roman"/>
                <w:b/>
                <w:bCs/>
                <w:sz w:val="21"/>
                <w:szCs w:val="21"/>
              </w:rPr>
            </w:pPr>
            <w:r>
              <w:rPr>
                <w:rFonts w:ascii="Times New Roman" w:hAnsi="Times New Roman" w:cs="Times New Roman" w:hint="eastAsia"/>
                <w:b/>
                <w:bCs/>
                <w:sz w:val="21"/>
                <w:szCs w:val="21"/>
              </w:rPr>
              <w:t>海尔</w:t>
            </w:r>
          </w:p>
        </w:tc>
        <w:tc>
          <w:tcPr>
            <w:tcW w:w="1620" w:type="pct"/>
            <w:shd w:val="clear" w:color="auto" w:fill="auto"/>
            <w:noWrap/>
            <w:vAlign w:val="center"/>
          </w:tcPr>
          <w:p w14:paraId="15981F6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10,044.60</w:t>
            </w:r>
          </w:p>
        </w:tc>
        <w:tc>
          <w:tcPr>
            <w:tcW w:w="1570" w:type="pct"/>
            <w:shd w:val="clear" w:color="auto" w:fill="auto"/>
            <w:noWrap/>
            <w:vAlign w:val="center"/>
          </w:tcPr>
          <w:p w14:paraId="07F8E8C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620.35</w:t>
            </w:r>
          </w:p>
        </w:tc>
      </w:tr>
      <w:tr w:rsidR="000A0ACD" w14:paraId="6FE76A24" w14:textId="77777777">
        <w:trPr>
          <w:trHeight w:val="397"/>
        </w:trPr>
        <w:tc>
          <w:tcPr>
            <w:tcW w:w="1810" w:type="pct"/>
            <w:shd w:val="clear" w:color="auto" w:fill="auto"/>
            <w:noWrap/>
            <w:vAlign w:val="center"/>
          </w:tcPr>
          <w:p w14:paraId="5863D944"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hint="eastAsia"/>
                <w:sz w:val="21"/>
                <w:szCs w:val="21"/>
              </w:rPr>
              <w:t>-</w:t>
            </w:r>
            <w:r>
              <w:rPr>
                <w:rFonts w:ascii="Times New Roman" w:hAnsi="Times New Roman" w:cs="Times New Roman" w:hint="eastAsia"/>
                <w:sz w:val="21"/>
                <w:szCs w:val="21"/>
              </w:rPr>
              <w:t>模具自动化仓储</w:t>
            </w:r>
          </w:p>
        </w:tc>
        <w:tc>
          <w:tcPr>
            <w:tcW w:w="1620" w:type="pct"/>
            <w:shd w:val="clear" w:color="auto" w:fill="auto"/>
            <w:noWrap/>
            <w:vAlign w:val="center"/>
          </w:tcPr>
          <w:p w14:paraId="0992EE8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1570" w:type="pct"/>
            <w:shd w:val="clear" w:color="auto" w:fill="auto"/>
            <w:noWrap/>
            <w:vAlign w:val="center"/>
          </w:tcPr>
          <w:p w14:paraId="64D58F4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0038EBDE" w14:textId="77777777">
        <w:trPr>
          <w:trHeight w:val="397"/>
        </w:trPr>
        <w:tc>
          <w:tcPr>
            <w:tcW w:w="1810" w:type="pct"/>
            <w:shd w:val="clear" w:color="auto" w:fill="auto"/>
            <w:noWrap/>
            <w:vAlign w:val="center"/>
          </w:tcPr>
          <w:p w14:paraId="1BDFD9DF"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物流悬挂输送系统</w:t>
            </w:r>
            <w:r>
              <w:rPr>
                <w:rFonts w:ascii="Times New Roman" w:hAnsi="Times New Roman" w:cs="Times New Roman"/>
                <w:sz w:val="21"/>
                <w:szCs w:val="21"/>
              </w:rPr>
              <w:t>-</w:t>
            </w:r>
            <w:r>
              <w:rPr>
                <w:rFonts w:ascii="Times New Roman" w:hAnsi="Times New Roman" w:cs="Times New Roman" w:hint="eastAsia"/>
                <w:sz w:val="21"/>
                <w:szCs w:val="21"/>
              </w:rPr>
              <w:t>悬挂链</w:t>
            </w:r>
          </w:p>
        </w:tc>
        <w:tc>
          <w:tcPr>
            <w:tcW w:w="1620" w:type="pct"/>
            <w:shd w:val="clear" w:color="auto" w:fill="auto"/>
            <w:noWrap/>
            <w:vAlign w:val="center"/>
          </w:tcPr>
          <w:p w14:paraId="75B5FDF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1,432.74</w:t>
            </w:r>
          </w:p>
        </w:tc>
        <w:tc>
          <w:tcPr>
            <w:tcW w:w="1570" w:type="pct"/>
            <w:shd w:val="clear" w:color="auto" w:fill="auto"/>
            <w:noWrap/>
            <w:vAlign w:val="center"/>
          </w:tcPr>
          <w:p w14:paraId="61DD41F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7B210AFB" w14:textId="77777777">
        <w:trPr>
          <w:trHeight w:val="397"/>
        </w:trPr>
        <w:tc>
          <w:tcPr>
            <w:tcW w:w="1810" w:type="pct"/>
            <w:shd w:val="clear" w:color="auto" w:fill="auto"/>
            <w:noWrap/>
            <w:vAlign w:val="center"/>
          </w:tcPr>
          <w:p w14:paraId="22BD412C"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1620" w:type="pct"/>
            <w:shd w:val="clear" w:color="auto" w:fill="auto"/>
            <w:noWrap/>
            <w:vAlign w:val="center"/>
          </w:tcPr>
          <w:p w14:paraId="5179FE3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1,783.36</w:t>
            </w:r>
          </w:p>
        </w:tc>
        <w:tc>
          <w:tcPr>
            <w:tcW w:w="1570" w:type="pct"/>
            <w:shd w:val="clear" w:color="auto" w:fill="auto"/>
            <w:noWrap/>
            <w:vAlign w:val="center"/>
          </w:tcPr>
          <w:p w14:paraId="5019716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11A94A62" w14:textId="77777777">
        <w:trPr>
          <w:trHeight w:val="397"/>
        </w:trPr>
        <w:tc>
          <w:tcPr>
            <w:tcW w:w="1810" w:type="pct"/>
            <w:shd w:val="clear" w:color="auto" w:fill="auto"/>
            <w:noWrap/>
            <w:vAlign w:val="center"/>
          </w:tcPr>
          <w:p w14:paraId="3DAF3BB7"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1620" w:type="pct"/>
            <w:shd w:val="clear" w:color="auto" w:fill="auto"/>
            <w:noWrap/>
            <w:vAlign w:val="center"/>
          </w:tcPr>
          <w:p w14:paraId="0692B12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1,154.25</w:t>
            </w:r>
          </w:p>
        </w:tc>
        <w:tc>
          <w:tcPr>
            <w:tcW w:w="1570" w:type="pct"/>
            <w:shd w:val="clear" w:color="auto" w:fill="auto"/>
            <w:noWrap/>
            <w:vAlign w:val="center"/>
          </w:tcPr>
          <w:p w14:paraId="44A1E3B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620.35</w:t>
            </w:r>
          </w:p>
        </w:tc>
      </w:tr>
      <w:tr w:rsidR="000A0ACD" w14:paraId="2289549B" w14:textId="77777777">
        <w:trPr>
          <w:trHeight w:val="397"/>
        </w:trPr>
        <w:tc>
          <w:tcPr>
            <w:tcW w:w="1810" w:type="pct"/>
            <w:shd w:val="clear" w:color="auto" w:fill="auto"/>
            <w:noWrap/>
            <w:vAlign w:val="center"/>
          </w:tcPr>
          <w:p w14:paraId="26974AD9"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机器人本体</w:t>
            </w:r>
          </w:p>
        </w:tc>
        <w:tc>
          <w:tcPr>
            <w:tcW w:w="1620" w:type="pct"/>
            <w:shd w:val="clear" w:color="auto" w:fill="auto"/>
            <w:noWrap/>
            <w:vAlign w:val="center"/>
          </w:tcPr>
          <w:p w14:paraId="151F37F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630.09</w:t>
            </w:r>
          </w:p>
        </w:tc>
        <w:tc>
          <w:tcPr>
            <w:tcW w:w="1570" w:type="pct"/>
            <w:shd w:val="clear" w:color="auto" w:fill="auto"/>
            <w:noWrap/>
            <w:vAlign w:val="center"/>
          </w:tcPr>
          <w:p w14:paraId="69B3672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04610747" w14:textId="77777777">
        <w:trPr>
          <w:trHeight w:val="397"/>
        </w:trPr>
        <w:tc>
          <w:tcPr>
            <w:tcW w:w="1810" w:type="pct"/>
            <w:shd w:val="clear" w:color="auto" w:fill="auto"/>
            <w:noWrap/>
            <w:vAlign w:val="center"/>
          </w:tcPr>
          <w:p w14:paraId="097F8771"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机器人集成应用（含压机）</w:t>
            </w:r>
          </w:p>
        </w:tc>
        <w:tc>
          <w:tcPr>
            <w:tcW w:w="1620" w:type="pct"/>
            <w:shd w:val="clear" w:color="auto" w:fill="auto"/>
            <w:noWrap/>
            <w:vAlign w:val="center"/>
          </w:tcPr>
          <w:p w14:paraId="7C7BB85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5,044.16</w:t>
            </w:r>
          </w:p>
        </w:tc>
        <w:tc>
          <w:tcPr>
            <w:tcW w:w="1570" w:type="pct"/>
            <w:shd w:val="clear" w:color="auto" w:fill="auto"/>
            <w:noWrap/>
            <w:vAlign w:val="center"/>
          </w:tcPr>
          <w:p w14:paraId="315AD31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54F56F68" w14:textId="77777777">
        <w:trPr>
          <w:trHeight w:val="397"/>
        </w:trPr>
        <w:tc>
          <w:tcPr>
            <w:tcW w:w="1810" w:type="pct"/>
            <w:shd w:val="clear" w:color="auto" w:fill="auto"/>
            <w:noWrap/>
            <w:vAlign w:val="center"/>
          </w:tcPr>
          <w:p w14:paraId="1960F42E" w14:textId="77777777" w:rsidR="000A0ACD" w:rsidRDefault="00362A99">
            <w:pPr>
              <w:jc w:val="both"/>
              <w:rPr>
                <w:rFonts w:ascii="Times New Roman" w:hAnsi="Times New Roman" w:cs="Times New Roman"/>
                <w:b/>
                <w:bCs/>
                <w:sz w:val="21"/>
                <w:szCs w:val="21"/>
              </w:rPr>
            </w:pPr>
            <w:r>
              <w:rPr>
                <w:rFonts w:ascii="Times New Roman" w:hAnsi="Times New Roman" w:cs="Times New Roman" w:hint="eastAsia"/>
                <w:b/>
                <w:bCs/>
                <w:sz w:val="21"/>
                <w:szCs w:val="21"/>
              </w:rPr>
              <w:t>海信</w:t>
            </w:r>
          </w:p>
        </w:tc>
        <w:tc>
          <w:tcPr>
            <w:tcW w:w="1620" w:type="pct"/>
            <w:shd w:val="clear" w:color="auto" w:fill="auto"/>
            <w:noWrap/>
            <w:vAlign w:val="center"/>
          </w:tcPr>
          <w:p w14:paraId="378443D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312.39</w:t>
            </w:r>
          </w:p>
        </w:tc>
        <w:tc>
          <w:tcPr>
            <w:tcW w:w="1570" w:type="pct"/>
            <w:shd w:val="clear" w:color="auto" w:fill="auto"/>
            <w:noWrap/>
            <w:vAlign w:val="center"/>
          </w:tcPr>
          <w:p w14:paraId="682B01E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17D878B1" w14:textId="77777777">
        <w:trPr>
          <w:trHeight w:val="397"/>
        </w:trPr>
        <w:tc>
          <w:tcPr>
            <w:tcW w:w="1810" w:type="pct"/>
            <w:shd w:val="clear" w:color="auto" w:fill="auto"/>
            <w:noWrap/>
            <w:vAlign w:val="center"/>
          </w:tcPr>
          <w:p w14:paraId="66BFDD38"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1620" w:type="pct"/>
            <w:shd w:val="clear" w:color="auto" w:fill="auto"/>
            <w:noWrap/>
            <w:vAlign w:val="center"/>
          </w:tcPr>
          <w:p w14:paraId="6996918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1570" w:type="pct"/>
            <w:shd w:val="clear" w:color="auto" w:fill="auto"/>
            <w:noWrap/>
            <w:vAlign w:val="center"/>
          </w:tcPr>
          <w:p w14:paraId="505995E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51F70126" w14:textId="77777777">
        <w:trPr>
          <w:trHeight w:val="397"/>
        </w:trPr>
        <w:tc>
          <w:tcPr>
            <w:tcW w:w="1810" w:type="pct"/>
            <w:shd w:val="clear" w:color="auto" w:fill="auto"/>
            <w:noWrap/>
            <w:vAlign w:val="center"/>
          </w:tcPr>
          <w:p w14:paraId="669AD37F"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1620" w:type="pct"/>
            <w:shd w:val="clear" w:color="auto" w:fill="auto"/>
            <w:noWrap/>
            <w:vAlign w:val="center"/>
          </w:tcPr>
          <w:p w14:paraId="5CB0ADF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312.39</w:t>
            </w:r>
          </w:p>
        </w:tc>
        <w:tc>
          <w:tcPr>
            <w:tcW w:w="1570" w:type="pct"/>
            <w:shd w:val="clear" w:color="auto" w:fill="auto"/>
            <w:noWrap/>
            <w:vAlign w:val="center"/>
          </w:tcPr>
          <w:p w14:paraId="010FB09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745D9E3B" w14:textId="77777777">
        <w:trPr>
          <w:trHeight w:val="397"/>
        </w:trPr>
        <w:tc>
          <w:tcPr>
            <w:tcW w:w="1810" w:type="pct"/>
            <w:shd w:val="clear" w:color="auto" w:fill="auto"/>
            <w:noWrap/>
            <w:vAlign w:val="center"/>
          </w:tcPr>
          <w:p w14:paraId="0BF3FCA7" w14:textId="77777777" w:rsidR="000A0ACD" w:rsidRDefault="00362A99">
            <w:pPr>
              <w:jc w:val="both"/>
              <w:rPr>
                <w:rFonts w:ascii="Times New Roman" w:hAnsi="Times New Roman" w:cs="Times New Roman"/>
                <w:b/>
                <w:bCs/>
                <w:sz w:val="21"/>
                <w:szCs w:val="21"/>
              </w:rPr>
            </w:pPr>
            <w:r>
              <w:rPr>
                <w:rFonts w:ascii="Times New Roman" w:hAnsi="Times New Roman" w:cs="Times New Roman" w:hint="eastAsia"/>
                <w:b/>
                <w:bCs/>
                <w:sz w:val="21"/>
                <w:szCs w:val="21"/>
              </w:rPr>
              <w:t>崂山矿泉水</w:t>
            </w:r>
          </w:p>
        </w:tc>
        <w:tc>
          <w:tcPr>
            <w:tcW w:w="1620" w:type="pct"/>
            <w:shd w:val="clear" w:color="auto" w:fill="auto"/>
            <w:noWrap/>
            <w:vAlign w:val="center"/>
          </w:tcPr>
          <w:p w14:paraId="2A305C8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11.54</w:t>
            </w:r>
          </w:p>
        </w:tc>
        <w:tc>
          <w:tcPr>
            <w:tcW w:w="1570" w:type="pct"/>
            <w:shd w:val="clear" w:color="auto" w:fill="auto"/>
            <w:noWrap/>
            <w:vAlign w:val="center"/>
          </w:tcPr>
          <w:p w14:paraId="1C5B447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2043C9EF" w14:textId="77777777">
        <w:trPr>
          <w:trHeight w:val="397"/>
        </w:trPr>
        <w:tc>
          <w:tcPr>
            <w:tcW w:w="1810" w:type="pct"/>
            <w:shd w:val="clear" w:color="auto" w:fill="auto"/>
            <w:noWrap/>
            <w:vAlign w:val="center"/>
          </w:tcPr>
          <w:p w14:paraId="468C2EF3" w14:textId="77777777" w:rsidR="000A0ACD" w:rsidRDefault="00362A99">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企业信息化</w:t>
            </w:r>
          </w:p>
        </w:tc>
        <w:tc>
          <w:tcPr>
            <w:tcW w:w="1620" w:type="pct"/>
            <w:shd w:val="clear" w:color="auto" w:fill="auto"/>
            <w:noWrap/>
            <w:vAlign w:val="center"/>
          </w:tcPr>
          <w:p w14:paraId="0AF2015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11.54</w:t>
            </w:r>
          </w:p>
        </w:tc>
        <w:tc>
          <w:tcPr>
            <w:tcW w:w="1570" w:type="pct"/>
            <w:shd w:val="clear" w:color="auto" w:fill="auto"/>
            <w:noWrap/>
            <w:vAlign w:val="center"/>
          </w:tcPr>
          <w:p w14:paraId="01291629" w14:textId="77777777" w:rsidR="000A0ACD" w:rsidRDefault="000A0ACD">
            <w:pPr>
              <w:jc w:val="right"/>
              <w:rPr>
                <w:rFonts w:ascii="Times New Roman" w:hAnsi="Times New Roman" w:cs="Times New Roman"/>
                <w:sz w:val="21"/>
                <w:szCs w:val="21"/>
              </w:rPr>
            </w:pPr>
          </w:p>
        </w:tc>
      </w:tr>
      <w:tr w:rsidR="000A0ACD" w14:paraId="7944D227" w14:textId="77777777">
        <w:trPr>
          <w:trHeight w:val="397"/>
        </w:trPr>
        <w:tc>
          <w:tcPr>
            <w:tcW w:w="1810" w:type="pct"/>
            <w:shd w:val="clear" w:color="auto" w:fill="auto"/>
            <w:noWrap/>
            <w:vAlign w:val="center"/>
          </w:tcPr>
          <w:p w14:paraId="63A6A1A7" w14:textId="77777777" w:rsidR="000A0ACD" w:rsidRDefault="00362A99">
            <w:pPr>
              <w:ind w:firstLineChars="100" w:firstLine="211"/>
              <w:jc w:val="both"/>
              <w:rPr>
                <w:rFonts w:ascii="Times New Roman" w:hAnsi="Times New Roman" w:cs="Times New Roman"/>
                <w:b/>
                <w:bCs/>
                <w:sz w:val="21"/>
                <w:szCs w:val="21"/>
              </w:rPr>
            </w:pPr>
            <w:r>
              <w:rPr>
                <w:rFonts w:ascii="Times New Roman" w:hAnsi="Times New Roman" w:cs="Times New Roman" w:hint="eastAsia"/>
                <w:b/>
                <w:bCs/>
                <w:sz w:val="21"/>
                <w:szCs w:val="21"/>
              </w:rPr>
              <w:t>小计</w:t>
            </w:r>
          </w:p>
        </w:tc>
        <w:tc>
          <w:tcPr>
            <w:tcW w:w="1620" w:type="pct"/>
            <w:shd w:val="clear" w:color="auto" w:fill="auto"/>
            <w:noWrap/>
            <w:vAlign w:val="center"/>
          </w:tcPr>
          <w:p w14:paraId="0A94621E"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15,086.23</w:t>
            </w:r>
          </w:p>
        </w:tc>
        <w:tc>
          <w:tcPr>
            <w:tcW w:w="1570" w:type="pct"/>
            <w:shd w:val="clear" w:color="auto" w:fill="auto"/>
            <w:noWrap/>
            <w:vAlign w:val="center"/>
          </w:tcPr>
          <w:p w14:paraId="7984DDFB"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620.35</w:t>
            </w:r>
          </w:p>
        </w:tc>
      </w:tr>
      <w:tr w:rsidR="000A0ACD" w14:paraId="03E8C68D" w14:textId="77777777">
        <w:trPr>
          <w:trHeight w:val="397"/>
        </w:trPr>
        <w:tc>
          <w:tcPr>
            <w:tcW w:w="1810" w:type="pct"/>
            <w:shd w:val="clear" w:color="auto" w:fill="auto"/>
            <w:noWrap/>
            <w:vAlign w:val="center"/>
          </w:tcPr>
          <w:p w14:paraId="603F18A1"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3190" w:type="pct"/>
            <w:gridSpan w:val="2"/>
            <w:shd w:val="clear" w:color="auto" w:fill="auto"/>
            <w:noWrap/>
            <w:vAlign w:val="center"/>
          </w:tcPr>
          <w:p w14:paraId="6FA0B911"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15,706.59</w:t>
            </w:r>
          </w:p>
        </w:tc>
      </w:tr>
    </w:tbl>
    <w:p w14:paraId="1415CEFD"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由上表可以看出，北洋天青</w:t>
      </w:r>
      <w:r>
        <w:rPr>
          <w:rFonts w:ascii="Times New Roman" w:hAnsi="Times New Roman" w:cs="Times New Roman"/>
          <w:bCs/>
          <w:color w:val="000000"/>
          <w:szCs w:val="21"/>
        </w:rPr>
        <w:t>2020</w:t>
      </w:r>
      <w:r>
        <w:rPr>
          <w:rFonts w:ascii="Times New Roman" w:hAnsi="Times New Roman" w:cs="Times New Roman" w:hint="eastAsia"/>
          <w:bCs/>
          <w:color w:val="000000"/>
          <w:szCs w:val="21"/>
        </w:rPr>
        <w:t>年全年预计确认收入金额为</w:t>
      </w:r>
      <w:r>
        <w:rPr>
          <w:rFonts w:ascii="Times New Roman" w:hAnsi="Times New Roman" w:cs="Times New Roman"/>
          <w:bCs/>
          <w:color w:val="000000"/>
          <w:szCs w:val="21"/>
        </w:rPr>
        <w:t>15,706.59</w:t>
      </w:r>
      <w:r>
        <w:rPr>
          <w:rFonts w:ascii="Times New Roman" w:hAnsi="Times New Roman" w:cs="Times New Roman" w:hint="eastAsia"/>
          <w:bCs/>
          <w:color w:val="000000"/>
          <w:szCs w:val="21"/>
        </w:rPr>
        <w:t>万元，</w:t>
      </w:r>
      <w:r>
        <w:rPr>
          <w:rFonts w:ascii="Times New Roman" w:hAnsi="Times New Roman" w:cs="Times New Roman"/>
          <w:bCs/>
          <w:color w:val="000000"/>
          <w:szCs w:val="21"/>
        </w:rPr>
        <w:t>1-6</w:t>
      </w:r>
      <w:r>
        <w:rPr>
          <w:rFonts w:ascii="Times New Roman" w:hAnsi="Times New Roman" w:cs="Times New Roman" w:hint="eastAsia"/>
          <w:bCs/>
          <w:color w:val="000000"/>
          <w:szCs w:val="21"/>
        </w:rPr>
        <w:t>月已确认收入金额</w:t>
      </w:r>
      <w:r>
        <w:rPr>
          <w:rFonts w:ascii="Times New Roman" w:hAnsi="Times New Roman" w:cs="Times New Roman"/>
          <w:bCs/>
          <w:color w:val="000000"/>
          <w:szCs w:val="21"/>
        </w:rPr>
        <w:t>4,041.33</w:t>
      </w:r>
      <w:r>
        <w:rPr>
          <w:rFonts w:ascii="Times New Roman" w:hAnsi="Times New Roman" w:cs="Times New Roman" w:hint="eastAsia"/>
          <w:bCs/>
          <w:color w:val="000000"/>
          <w:szCs w:val="21"/>
        </w:rPr>
        <w:t>万元，</w:t>
      </w:r>
      <w:r>
        <w:rPr>
          <w:rFonts w:ascii="Times New Roman" w:hAnsi="Times New Roman" w:cs="Times New Roman"/>
          <w:bCs/>
          <w:color w:val="000000"/>
          <w:szCs w:val="21"/>
        </w:rPr>
        <w:t>7-12</w:t>
      </w:r>
      <w:r>
        <w:rPr>
          <w:rFonts w:ascii="Times New Roman" w:hAnsi="Times New Roman" w:cs="Times New Roman" w:hint="eastAsia"/>
          <w:bCs/>
          <w:color w:val="000000"/>
          <w:szCs w:val="21"/>
        </w:rPr>
        <w:t>月预计确认收入金额为</w:t>
      </w:r>
      <w:r>
        <w:rPr>
          <w:rFonts w:ascii="Times New Roman" w:hAnsi="Times New Roman" w:cs="Times New Roman"/>
          <w:bCs/>
          <w:color w:val="000000"/>
          <w:szCs w:val="21"/>
        </w:rPr>
        <w:t>11,665.26</w:t>
      </w:r>
      <w:r>
        <w:rPr>
          <w:rFonts w:ascii="Times New Roman" w:hAnsi="Times New Roman" w:cs="Times New Roman" w:hint="eastAsia"/>
          <w:bCs/>
          <w:color w:val="000000"/>
          <w:szCs w:val="21"/>
        </w:rPr>
        <w:t>万元。详细情况如下：</w:t>
      </w:r>
    </w:p>
    <w:p w14:paraId="23B2897E"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24"/>
        <w:gridCol w:w="2033"/>
        <w:gridCol w:w="2033"/>
        <w:gridCol w:w="2032"/>
      </w:tblGrid>
      <w:tr w:rsidR="000A0ACD" w14:paraId="746E9534" w14:textId="77777777">
        <w:trPr>
          <w:trHeight w:val="397"/>
          <w:tblHeader/>
        </w:trPr>
        <w:tc>
          <w:tcPr>
            <w:tcW w:w="1422" w:type="pct"/>
            <w:vAlign w:val="center"/>
          </w:tcPr>
          <w:p w14:paraId="1351687D" w14:textId="77777777" w:rsidR="000A0ACD" w:rsidRDefault="00362A99">
            <w:pPr>
              <w:autoSpaceDE w:val="0"/>
              <w:autoSpaceDN w:val="0"/>
              <w:adjustRightInd w:val="0"/>
              <w:jc w:val="center"/>
              <w:rPr>
                <w:rFonts w:ascii="Times New Roman" w:hAnsi="Times New Roman" w:cs="Times New Roman"/>
                <w:b/>
                <w:bCs/>
                <w:sz w:val="21"/>
                <w:szCs w:val="21"/>
              </w:rPr>
            </w:pPr>
            <w:r>
              <w:rPr>
                <w:rFonts w:ascii="Times New Roman" w:hAnsi="Times New Roman" w:cs="Times New Roman" w:hint="eastAsia"/>
                <w:b/>
                <w:bCs/>
                <w:sz w:val="21"/>
                <w:szCs w:val="21"/>
              </w:rPr>
              <w:t>合同分类</w:t>
            </w:r>
          </w:p>
        </w:tc>
        <w:tc>
          <w:tcPr>
            <w:tcW w:w="1193" w:type="pct"/>
            <w:vAlign w:val="center"/>
          </w:tcPr>
          <w:p w14:paraId="3522425A" w14:textId="77777777" w:rsidR="000A0ACD" w:rsidRDefault="00362A99">
            <w:pPr>
              <w:autoSpaceDE w:val="0"/>
              <w:autoSpaceDN w:val="0"/>
              <w:adjustRightIn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1-6</w:t>
            </w:r>
            <w:r>
              <w:rPr>
                <w:rFonts w:ascii="Times New Roman" w:hAnsi="Times New Roman" w:cs="Times New Roman" w:hint="eastAsia"/>
                <w:b/>
                <w:bCs/>
                <w:sz w:val="21"/>
                <w:szCs w:val="21"/>
              </w:rPr>
              <w:t>月</w:t>
            </w:r>
          </w:p>
        </w:tc>
        <w:tc>
          <w:tcPr>
            <w:tcW w:w="1193" w:type="pct"/>
            <w:vAlign w:val="center"/>
          </w:tcPr>
          <w:p w14:paraId="7E584059" w14:textId="77777777" w:rsidR="000A0ACD" w:rsidRDefault="00362A99">
            <w:pPr>
              <w:autoSpaceDE w:val="0"/>
              <w:autoSpaceDN w:val="0"/>
              <w:adjustRightIn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1192" w:type="pct"/>
            <w:vAlign w:val="center"/>
          </w:tcPr>
          <w:p w14:paraId="1AA98561" w14:textId="77777777" w:rsidR="000A0ACD" w:rsidRDefault="00362A99">
            <w:pPr>
              <w:autoSpaceDE w:val="0"/>
              <w:autoSpaceDN w:val="0"/>
              <w:adjustRightIn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p>
        </w:tc>
      </w:tr>
      <w:tr w:rsidR="000A0ACD" w14:paraId="6FB44E78" w14:textId="77777777">
        <w:trPr>
          <w:trHeight w:val="397"/>
        </w:trPr>
        <w:tc>
          <w:tcPr>
            <w:tcW w:w="1422" w:type="pct"/>
            <w:vAlign w:val="center"/>
          </w:tcPr>
          <w:p w14:paraId="515EEA38" w14:textId="77777777" w:rsidR="000A0ACD" w:rsidRDefault="00362A99">
            <w:pPr>
              <w:autoSpaceDE w:val="0"/>
              <w:autoSpaceDN w:val="0"/>
              <w:adjustRightInd w:val="0"/>
              <w:jc w:val="both"/>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1193" w:type="pct"/>
            <w:vAlign w:val="center"/>
          </w:tcPr>
          <w:p w14:paraId="414C49C6" w14:textId="77777777" w:rsidR="000A0ACD" w:rsidRDefault="00362A99">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4,041.33</w:t>
            </w:r>
          </w:p>
        </w:tc>
        <w:tc>
          <w:tcPr>
            <w:tcW w:w="1193" w:type="pct"/>
            <w:vAlign w:val="center"/>
          </w:tcPr>
          <w:p w14:paraId="26B70C32" w14:textId="77777777" w:rsidR="000A0ACD" w:rsidRDefault="00362A99">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11,665.26</w:t>
            </w:r>
          </w:p>
        </w:tc>
        <w:tc>
          <w:tcPr>
            <w:tcW w:w="1192" w:type="pct"/>
            <w:vAlign w:val="center"/>
          </w:tcPr>
          <w:p w14:paraId="575B96C8" w14:textId="77777777" w:rsidR="000A0ACD" w:rsidRDefault="00362A99">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15,706.59</w:t>
            </w:r>
          </w:p>
        </w:tc>
      </w:tr>
      <w:tr w:rsidR="000A0ACD" w14:paraId="76836A32" w14:textId="77777777">
        <w:trPr>
          <w:trHeight w:val="397"/>
        </w:trPr>
        <w:tc>
          <w:tcPr>
            <w:tcW w:w="1422" w:type="pct"/>
            <w:vAlign w:val="center"/>
          </w:tcPr>
          <w:p w14:paraId="73334D4C" w14:textId="77777777" w:rsidR="000A0ACD" w:rsidRDefault="00362A99">
            <w:pPr>
              <w:autoSpaceDE w:val="0"/>
              <w:autoSpaceDN w:val="0"/>
              <w:adjustRightInd w:val="0"/>
              <w:jc w:val="both"/>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1193" w:type="pct"/>
            <w:vAlign w:val="center"/>
          </w:tcPr>
          <w:p w14:paraId="1229589E" w14:textId="77777777" w:rsidR="000A0ACD" w:rsidRDefault="00362A99">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1,650.27</w:t>
            </w:r>
          </w:p>
        </w:tc>
        <w:tc>
          <w:tcPr>
            <w:tcW w:w="1193" w:type="pct"/>
            <w:vAlign w:val="center"/>
          </w:tcPr>
          <w:p w14:paraId="5739708D" w14:textId="77777777" w:rsidR="000A0ACD" w:rsidRDefault="00362A99">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5,991.45</w:t>
            </w:r>
          </w:p>
        </w:tc>
        <w:tc>
          <w:tcPr>
            <w:tcW w:w="1192" w:type="pct"/>
            <w:vAlign w:val="center"/>
          </w:tcPr>
          <w:p w14:paraId="519FB22E" w14:textId="77777777" w:rsidR="000A0ACD" w:rsidRDefault="00362A99">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7,641.72</w:t>
            </w:r>
          </w:p>
        </w:tc>
      </w:tr>
      <w:tr w:rsidR="000A0ACD" w14:paraId="2B6B0B7C" w14:textId="77777777">
        <w:trPr>
          <w:trHeight w:val="397"/>
        </w:trPr>
        <w:tc>
          <w:tcPr>
            <w:tcW w:w="1422" w:type="pct"/>
            <w:vAlign w:val="center"/>
          </w:tcPr>
          <w:p w14:paraId="2A8DF80D" w14:textId="77777777" w:rsidR="000A0ACD" w:rsidRDefault="00362A99">
            <w:pPr>
              <w:autoSpaceDE w:val="0"/>
              <w:autoSpaceDN w:val="0"/>
              <w:adjustRightInd w:val="0"/>
              <w:jc w:val="both"/>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1193" w:type="pct"/>
            <w:vAlign w:val="center"/>
          </w:tcPr>
          <w:p w14:paraId="2371D62D" w14:textId="77777777" w:rsidR="000A0ACD" w:rsidRDefault="00362A99">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2,391.06</w:t>
            </w:r>
          </w:p>
        </w:tc>
        <w:tc>
          <w:tcPr>
            <w:tcW w:w="1193" w:type="pct"/>
            <w:vAlign w:val="center"/>
          </w:tcPr>
          <w:p w14:paraId="613252D0" w14:textId="77777777" w:rsidR="000A0ACD" w:rsidRDefault="00362A99">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5,673.81</w:t>
            </w:r>
          </w:p>
        </w:tc>
        <w:tc>
          <w:tcPr>
            <w:tcW w:w="1192" w:type="pct"/>
            <w:vAlign w:val="center"/>
          </w:tcPr>
          <w:p w14:paraId="629FE6ED" w14:textId="77777777" w:rsidR="000A0ACD" w:rsidRDefault="00362A99">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8,064.87</w:t>
            </w:r>
          </w:p>
        </w:tc>
      </w:tr>
    </w:tbl>
    <w:p w14:paraId="44A4516A" w14:textId="77777777" w:rsidR="000A0ACD" w:rsidRDefault="00362A99">
      <w:pPr>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②</w:t>
      </w:r>
      <w:r>
        <w:rPr>
          <w:rFonts w:ascii="Times New Roman" w:hAnsi="Times New Roman" w:cs="Times New Roman"/>
          <w:lang w:bidi="ar"/>
        </w:rPr>
        <w:t>2021</w:t>
      </w:r>
      <w:r>
        <w:rPr>
          <w:rFonts w:ascii="Times New Roman" w:hAnsi="Times New Roman" w:cs="Times New Roman" w:hint="eastAsia"/>
          <w:lang w:bidi="ar"/>
        </w:rPr>
        <w:t>年收入预测</w:t>
      </w:r>
    </w:p>
    <w:p w14:paraId="6ED42047"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bidi="ar"/>
        </w:rPr>
        <w:t>根据北洋天青至评估报告出具日的在手订单情况、客户近期招投标计划情况结合各业务类型生产工期情况，可以得出</w:t>
      </w:r>
      <w:r>
        <w:rPr>
          <w:rFonts w:ascii="Times New Roman" w:hAnsi="Times New Roman" w:cs="Times New Roman"/>
          <w:bCs/>
          <w:color w:val="000000"/>
          <w:szCs w:val="21"/>
          <w:lang w:bidi="ar"/>
        </w:rPr>
        <w:t>2021</w:t>
      </w:r>
      <w:r>
        <w:rPr>
          <w:rFonts w:ascii="Times New Roman" w:hAnsi="Times New Roman" w:cs="Times New Roman" w:hint="eastAsia"/>
          <w:bCs/>
          <w:color w:val="000000"/>
          <w:szCs w:val="21"/>
          <w:lang w:bidi="ar"/>
        </w:rPr>
        <w:t>年度北洋天青预计确认收入金额。</w:t>
      </w:r>
      <w:r>
        <w:rPr>
          <w:rFonts w:ascii="Times New Roman" w:hAnsi="Times New Roman" w:cs="Times New Roman"/>
          <w:bCs/>
          <w:color w:val="000000"/>
          <w:szCs w:val="21"/>
          <w:lang w:bidi="ar"/>
        </w:rPr>
        <w:t>2021</w:t>
      </w:r>
      <w:r>
        <w:rPr>
          <w:rFonts w:ascii="Times New Roman" w:hAnsi="Times New Roman" w:cs="Times New Roman" w:hint="eastAsia"/>
          <w:bCs/>
          <w:color w:val="000000"/>
          <w:szCs w:val="21"/>
          <w:lang w:bidi="ar"/>
        </w:rPr>
        <w:t>年收入预测详细情况如下：</w:t>
      </w:r>
    </w:p>
    <w:p w14:paraId="5AE73CA7"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02"/>
        <w:gridCol w:w="1418"/>
        <w:gridCol w:w="1420"/>
        <w:gridCol w:w="1844"/>
        <w:gridCol w:w="1038"/>
      </w:tblGrid>
      <w:tr w:rsidR="000A0ACD" w14:paraId="740D7D99" w14:textId="77777777">
        <w:trPr>
          <w:trHeight w:val="397"/>
          <w:tblHeader/>
        </w:trPr>
        <w:tc>
          <w:tcPr>
            <w:tcW w:w="1644" w:type="pct"/>
            <w:vMerge w:val="restart"/>
            <w:shd w:val="clear" w:color="auto" w:fill="auto"/>
            <w:noWrap/>
            <w:vAlign w:val="center"/>
          </w:tcPr>
          <w:p w14:paraId="740EAC0E" w14:textId="77777777" w:rsidR="000A0ACD" w:rsidRDefault="00362A99">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3356" w:type="pct"/>
            <w:gridSpan w:val="4"/>
            <w:shd w:val="clear" w:color="auto" w:fill="auto"/>
            <w:noWrap/>
            <w:vAlign w:val="center"/>
          </w:tcPr>
          <w:p w14:paraId="71EB89AC" w14:textId="77777777" w:rsidR="000A0ACD" w:rsidRDefault="00362A99">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r>
      <w:tr w:rsidR="000A0ACD" w14:paraId="40DEA9AC" w14:textId="77777777">
        <w:trPr>
          <w:trHeight w:val="397"/>
          <w:tblHeader/>
        </w:trPr>
        <w:tc>
          <w:tcPr>
            <w:tcW w:w="1644" w:type="pct"/>
            <w:vMerge/>
            <w:vAlign w:val="center"/>
          </w:tcPr>
          <w:p w14:paraId="449848FF" w14:textId="77777777" w:rsidR="000A0ACD" w:rsidRDefault="000A0ACD">
            <w:pPr>
              <w:keepNext/>
              <w:ind w:leftChars="-25" w:left="-60" w:rightChars="-25" w:right="-60"/>
              <w:rPr>
                <w:rFonts w:ascii="Times New Roman" w:hAnsi="Times New Roman" w:cs="Times New Roman"/>
                <w:b/>
                <w:bCs/>
                <w:sz w:val="21"/>
                <w:szCs w:val="21"/>
              </w:rPr>
            </w:pPr>
          </w:p>
        </w:tc>
        <w:tc>
          <w:tcPr>
            <w:tcW w:w="832" w:type="pct"/>
            <w:shd w:val="clear" w:color="auto" w:fill="auto"/>
            <w:noWrap/>
            <w:vAlign w:val="center"/>
          </w:tcPr>
          <w:p w14:paraId="21354691" w14:textId="77777777" w:rsidR="000A0ACD" w:rsidRDefault="00362A99">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已签</w:t>
            </w:r>
          </w:p>
        </w:tc>
        <w:tc>
          <w:tcPr>
            <w:tcW w:w="833" w:type="pct"/>
            <w:shd w:val="clear" w:color="auto" w:fill="auto"/>
            <w:noWrap/>
            <w:vAlign w:val="center"/>
          </w:tcPr>
          <w:p w14:paraId="13E0D9AF" w14:textId="77777777" w:rsidR="000A0ACD" w:rsidRDefault="00362A99">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中标通知书</w:t>
            </w:r>
          </w:p>
        </w:tc>
        <w:tc>
          <w:tcPr>
            <w:tcW w:w="1082" w:type="pct"/>
            <w:shd w:val="clear" w:color="auto" w:fill="auto"/>
            <w:noWrap/>
            <w:vAlign w:val="center"/>
          </w:tcPr>
          <w:p w14:paraId="340BBA1C" w14:textId="77777777" w:rsidR="000A0ACD" w:rsidRDefault="00362A99">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拟参与投标项目中预计可中标项目</w:t>
            </w:r>
          </w:p>
        </w:tc>
        <w:tc>
          <w:tcPr>
            <w:tcW w:w="609" w:type="pct"/>
            <w:vAlign w:val="center"/>
          </w:tcPr>
          <w:p w14:paraId="40EF8C1A" w14:textId="77777777" w:rsidR="000A0ACD" w:rsidRDefault="00362A99">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全年合计</w:t>
            </w:r>
          </w:p>
        </w:tc>
      </w:tr>
      <w:tr w:rsidR="000A0ACD" w14:paraId="0838A009" w14:textId="77777777">
        <w:trPr>
          <w:trHeight w:val="397"/>
        </w:trPr>
        <w:tc>
          <w:tcPr>
            <w:tcW w:w="1644" w:type="pct"/>
            <w:shd w:val="clear" w:color="auto" w:fill="auto"/>
            <w:noWrap/>
            <w:vAlign w:val="center"/>
          </w:tcPr>
          <w:p w14:paraId="391FF85D" w14:textId="77777777" w:rsidR="000A0ACD" w:rsidRDefault="00362A99">
            <w:pPr>
              <w:ind w:leftChars="-25" w:left="-60" w:rightChars="-25" w:right="-60"/>
              <w:jc w:val="both"/>
              <w:rPr>
                <w:rFonts w:ascii="Times New Roman" w:hAnsi="Times New Roman" w:cs="Times New Roman"/>
                <w:b/>
                <w:bCs/>
                <w:sz w:val="21"/>
                <w:szCs w:val="21"/>
              </w:rPr>
            </w:pPr>
            <w:r>
              <w:rPr>
                <w:rFonts w:ascii="Times New Roman" w:hAnsi="Times New Roman" w:cs="Times New Roman" w:hint="eastAsia"/>
                <w:b/>
                <w:bCs/>
                <w:sz w:val="21"/>
                <w:szCs w:val="21"/>
              </w:rPr>
              <w:t>澳柯玛</w:t>
            </w:r>
          </w:p>
        </w:tc>
        <w:tc>
          <w:tcPr>
            <w:tcW w:w="832" w:type="pct"/>
            <w:shd w:val="clear" w:color="auto" w:fill="auto"/>
            <w:noWrap/>
            <w:vAlign w:val="center"/>
          </w:tcPr>
          <w:p w14:paraId="1A87C933"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10,978.22</w:t>
            </w:r>
          </w:p>
        </w:tc>
        <w:tc>
          <w:tcPr>
            <w:tcW w:w="833" w:type="pct"/>
            <w:shd w:val="clear" w:color="auto" w:fill="auto"/>
            <w:noWrap/>
            <w:vAlign w:val="center"/>
          </w:tcPr>
          <w:p w14:paraId="663E72F4"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1082" w:type="pct"/>
            <w:shd w:val="clear" w:color="auto" w:fill="auto"/>
            <w:noWrap/>
            <w:vAlign w:val="center"/>
          </w:tcPr>
          <w:p w14:paraId="04CCFB26"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609" w:type="pct"/>
            <w:vAlign w:val="center"/>
          </w:tcPr>
          <w:p w14:paraId="46CB81A0"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10,978.22</w:t>
            </w:r>
          </w:p>
        </w:tc>
      </w:tr>
      <w:tr w:rsidR="000A0ACD" w14:paraId="2872ADAA" w14:textId="77777777">
        <w:trPr>
          <w:trHeight w:val="397"/>
        </w:trPr>
        <w:tc>
          <w:tcPr>
            <w:tcW w:w="1644" w:type="pct"/>
            <w:shd w:val="clear" w:color="auto" w:fill="auto"/>
            <w:noWrap/>
            <w:vAlign w:val="center"/>
          </w:tcPr>
          <w:p w14:paraId="7F6022A0"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能源配套</w:t>
            </w:r>
          </w:p>
        </w:tc>
        <w:tc>
          <w:tcPr>
            <w:tcW w:w="832" w:type="pct"/>
            <w:shd w:val="clear" w:color="auto" w:fill="auto"/>
            <w:noWrap/>
            <w:vAlign w:val="center"/>
          </w:tcPr>
          <w:p w14:paraId="261D5E85"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6,044.41</w:t>
            </w:r>
          </w:p>
        </w:tc>
        <w:tc>
          <w:tcPr>
            <w:tcW w:w="833" w:type="pct"/>
            <w:shd w:val="clear" w:color="auto" w:fill="auto"/>
            <w:noWrap/>
            <w:vAlign w:val="center"/>
          </w:tcPr>
          <w:p w14:paraId="4FBFDAA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0E34E7D5"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1EAE86B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6,044.41</w:t>
            </w:r>
          </w:p>
        </w:tc>
      </w:tr>
      <w:tr w:rsidR="000A0ACD" w14:paraId="6AB9BE10" w14:textId="77777777">
        <w:trPr>
          <w:trHeight w:val="397"/>
        </w:trPr>
        <w:tc>
          <w:tcPr>
            <w:tcW w:w="1644" w:type="pct"/>
            <w:shd w:val="clear" w:color="auto" w:fill="auto"/>
            <w:noWrap/>
            <w:vAlign w:val="center"/>
          </w:tcPr>
          <w:p w14:paraId="527D196A"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企业信息化</w:t>
            </w:r>
          </w:p>
        </w:tc>
        <w:tc>
          <w:tcPr>
            <w:tcW w:w="832" w:type="pct"/>
            <w:shd w:val="clear" w:color="auto" w:fill="auto"/>
            <w:noWrap/>
            <w:vAlign w:val="center"/>
          </w:tcPr>
          <w:p w14:paraId="2444DC5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176.99</w:t>
            </w:r>
          </w:p>
        </w:tc>
        <w:tc>
          <w:tcPr>
            <w:tcW w:w="833" w:type="pct"/>
            <w:shd w:val="clear" w:color="auto" w:fill="auto"/>
            <w:noWrap/>
            <w:vAlign w:val="center"/>
          </w:tcPr>
          <w:p w14:paraId="00C6A1F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5F416EA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6C3FE825"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176.99</w:t>
            </w:r>
          </w:p>
        </w:tc>
      </w:tr>
      <w:tr w:rsidR="000A0ACD" w14:paraId="5C5439ED" w14:textId="77777777">
        <w:trPr>
          <w:trHeight w:val="397"/>
        </w:trPr>
        <w:tc>
          <w:tcPr>
            <w:tcW w:w="1644" w:type="pct"/>
            <w:shd w:val="clear" w:color="auto" w:fill="auto"/>
            <w:noWrap/>
            <w:vAlign w:val="center"/>
          </w:tcPr>
          <w:p w14:paraId="72BD57EE"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832" w:type="pct"/>
            <w:shd w:val="clear" w:color="auto" w:fill="auto"/>
            <w:noWrap/>
            <w:vAlign w:val="center"/>
          </w:tcPr>
          <w:p w14:paraId="64E349C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3,473.63</w:t>
            </w:r>
          </w:p>
        </w:tc>
        <w:tc>
          <w:tcPr>
            <w:tcW w:w="833" w:type="pct"/>
            <w:shd w:val="clear" w:color="auto" w:fill="auto"/>
            <w:noWrap/>
            <w:vAlign w:val="center"/>
          </w:tcPr>
          <w:p w14:paraId="7E92757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53B1411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521A770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3,473.63</w:t>
            </w:r>
          </w:p>
        </w:tc>
      </w:tr>
      <w:tr w:rsidR="000A0ACD" w14:paraId="25D00D71" w14:textId="77777777">
        <w:trPr>
          <w:trHeight w:val="397"/>
        </w:trPr>
        <w:tc>
          <w:tcPr>
            <w:tcW w:w="1644" w:type="pct"/>
            <w:shd w:val="clear" w:color="auto" w:fill="auto"/>
            <w:noWrap/>
            <w:vAlign w:val="center"/>
          </w:tcPr>
          <w:p w14:paraId="263F2DC3"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832" w:type="pct"/>
            <w:shd w:val="clear" w:color="auto" w:fill="auto"/>
            <w:noWrap/>
            <w:vAlign w:val="center"/>
          </w:tcPr>
          <w:p w14:paraId="60CB648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1,283.19</w:t>
            </w:r>
          </w:p>
        </w:tc>
        <w:tc>
          <w:tcPr>
            <w:tcW w:w="833" w:type="pct"/>
            <w:shd w:val="clear" w:color="auto" w:fill="auto"/>
            <w:noWrap/>
            <w:vAlign w:val="center"/>
          </w:tcPr>
          <w:p w14:paraId="75DDB02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54BC42E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555E82E2"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1,283.19</w:t>
            </w:r>
          </w:p>
        </w:tc>
      </w:tr>
      <w:tr w:rsidR="000A0ACD" w14:paraId="02AFB149" w14:textId="77777777">
        <w:trPr>
          <w:trHeight w:val="397"/>
        </w:trPr>
        <w:tc>
          <w:tcPr>
            <w:tcW w:w="1644" w:type="pct"/>
            <w:shd w:val="clear" w:color="auto" w:fill="auto"/>
            <w:noWrap/>
            <w:vAlign w:val="center"/>
          </w:tcPr>
          <w:p w14:paraId="39A06CC3" w14:textId="77777777" w:rsidR="000A0ACD" w:rsidRDefault="00362A99">
            <w:pPr>
              <w:ind w:leftChars="-25" w:left="-60" w:rightChars="-25" w:right="-60"/>
              <w:jc w:val="both"/>
              <w:rPr>
                <w:rFonts w:ascii="Times New Roman" w:hAnsi="Times New Roman" w:cs="Times New Roman"/>
                <w:b/>
                <w:bCs/>
                <w:sz w:val="21"/>
                <w:szCs w:val="21"/>
              </w:rPr>
            </w:pPr>
            <w:r>
              <w:rPr>
                <w:rFonts w:ascii="Times New Roman" w:hAnsi="Times New Roman" w:cs="Times New Roman" w:hint="eastAsia"/>
                <w:b/>
                <w:bCs/>
                <w:sz w:val="21"/>
                <w:szCs w:val="21"/>
              </w:rPr>
              <w:t>海尔</w:t>
            </w:r>
          </w:p>
        </w:tc>
        <w:tc>
          <w:tcPr>
            <w:tcW w:w="832" w:type="pct"/>
            <w:shd w:val="clear" w:color="auto" w:fill="auto"/>
            <w:noWrap/>
            <w:vAlign w:val="center"/>
          </w:tcPr>
          <w:p w14:paraId="5A793DF8"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4,887.83</w:t>
            </w:r>
          </w:p>
        </w:tc>
        <w:tc>
          <w:tcPr>
            <w:tcW w:w="833" w:type="pct"/>
            <w:shd w:val="clear" w:color="auto" w:fill="auto"/>
            <w:noWrap/>
            <w:vAlign w:val="center"/>
          </w:tcPr>
          <w:p w14:paraId="784B37B8"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2,781.42</w:t>
            </w:r>
          </w:p>
        </w:tc>
        <w:tc>
          <w:tcPr>
            <w:tcW w:w="1082" w:type="pct"/>
            <w:shd w:val="clear" w:color="auto" w:fill="auto"/>
            <w:noWrap/>
            <w:vAlign w:val="center"/>
          </w:tcPr>
          <w:p w14:paraId="78A58BDF"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9,628.32</w:t>
            </w:r>
          </w:p>
        </w:tc>
        <w:tc>
          <w:tcPr>
            <w:tcW w:w="609" w:type="pct"/>
            <w:vAlign w:val="center"/>
          </w:tcPr>
          <w:p w14:paraId="01F3D7F0"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17,297.57</w:t>
            </w:r>
          </w:p>
        </w:tc>
      </w:tr>
      <w:tr w:rsidR="000A0ACD" w14:paraId="2CB7359F" w14:textId="77777777">
        <w:trPr>
          <w:trHeight w:val="397"/>
        </w:trPr>
        <w:tc>
          <w:tcPr>
            <w:tcW w:w="1644" w:type="pct"/>
            <w:shd w:val="clear" w:color="auto" w:fill="auto"/>
            <w:noWrap/>
            <w:vAlign w:val="center"/>
          </w:tcPr>
          <w:p w14:paraId="2930FF9C"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模具自动化仓储</w:t>
            </w:r>
          </w:p>
        </w:tc>
        <w:tc>
          <w:tcPr>
            <w:tcW w:w="832" w:type="pct"/>
            <w:shd w:val="clear" w:color="auto" w:fill="auto"/>
            <w:noWrap/>
            <w:vAlign w:val="center"/>
          </w:tcPr>
          <w:p w14:paraId="57CAD61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833" w:type="pct"/>
            <w:shd w:val="clear" w:color="auto" w:fill="auto"/>
            <w:noWrap/>
            <w:vAlign w:val="center"/>
          </w:tcPr>
          <w:p w14:paraId="1B83FB1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31434BF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814.16</w:t>
            </w:r>
          </w:p>
        </w:tc>
        <w:tc>
          <w:tcPr>
            <w:tcW w:w="609" w:type="pct"/>
            <w:vAlign w:val="center"/>
          </w:tcPr>
          <w:p w14:paraId="7DC5EA3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814.16</w:t>
            </w:r>
          </w:p>
        </w:tc>
      </w:tr>
      <w:tr w:rsidR="000A0ACD" w14:paraId="00A82CE0" w14:textId="77777777">
        <w:trPr>
          <w:trHeight w:val="397"/>
        </w:trPr>
        <w:tc>
          <w:tcPr>
            <w:tcW w:w="1644" w:type="pct"/>
            <w:shd w:val="clear" w:color="auto" w:fill="auto"/>
            <w:noWrap/>
            <w:vAlign w:val="center"/>
          </w:tcPr>
          <w:p w14:paraId="0B90CF22"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物流悬挂输送系统</w:t>
            </w:r>
            <w:r>
              <w:rPr>
                <w:rFonts w:ascii="Times New Roman" w:hAnsi="Times New Roman" w:cs="Times New Roman"/>
                <w:sz w:val="21"/>
                <w:szCs w:val="21"/>
              </w:rPr>
              <w:t>-</w:t>
            </w:r>
            <w:r>
              <w:rPr>
                <w:rFonts w:ascii="Times New Roman" w:hAnsi="Times New Roman" w:cs="Times New Roman" w:hint="eastAsia"/>
                <w:sz w:val="21"/>
                <w:szCs w:val="21"/>
              </w:rPr>
              <w:t>悬挂链</w:t>
            </w:r>
          </w:p>
        </w:tc>
        <w:tc>
          <w:tcPr>
            <w:tcW w:w="832" w:type="pct"/>
            <w:shd w:val="clear" w:color="auto" w:fill="auto"/>
            <w:noWrap/>
            <w:vAlign w:val="center"/>
          </w:tcPr>
          <w:p w14:paraId="4D6711E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1,361.06</w:t>
            </w:r>
          </w:p>
        </w:tc>
        <w:tc>
          <w:tcPr>
            <w:tcW w:w="833" w:type="pct"/>
            <w:shd w:val="clear" w:color="auto" w:fill="auto"/>
            <w:noWrap/>
            <w:vAlign w:val="center"/>
          </w:tcPr>
          <w:p w14:paraId="0627DBB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42249F72"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1205B973"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1,361.06</w:t>
            </w:r>
          </w:p>
        </w:tc>
      </w:tr>
      <w:tr w:rsidR="000A0ACD" w14:paraId="3E66A361" w14:textId="77777777">
        <w:trPr>
          <w:trHeight w:val="397"/>
        </w:trPr>
        <w:tc>
          <w:tcPr>
            <w:tcW w:w="1644" w:type="pct"/>
            <w:shd w:val="clear" w:color="auto" w:fill="auto"/>
            <w:noWrap/>
            <w:vAlign w:val="center"/>
          </w:tcPr>
          <w:p w14:paraId="4ECE3469"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832" w:type="pct"/>
            <w:shd w:val="clear" w:color="auto" w:fill="auto"/>
            <w:noWrap/>
            <w:vAlign w:val="center"/>
          </w:tcPr>
          <w:p w14:paraId="57BD925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3,173.67</w:t>
            </w:r>
          </w:p>
        </w:tc>
        <w:tc>
          <w:tcPr>
            <w:tcW w:w="833" w:type="pct"/>
            <w:shd w:val="clear" w:color="auto" w:fill="auto"/>
            <w:noWrap/>
            <w:vAlign w:val="center"/>
          </w:tcPr>
          <w:p w14:paraId="1EA3CBA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0CC89A6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06D898B2"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3,173.67</w:t>
            </w:r>
          </w:p>
        </w:tc>
      </w:tr>
      <w:tr w:rsidR="000A0ACD" w14:paraId="36C2B75D" w14:textId="77777777">
        <w:trPr>
          <w:trHeight w:val="397"/>
        </w:trPr>
        <w:tc>
          <w:tcPr>
            <w:tcW w:w="1644" w:type="pct"/>
            <w:shd w:val="clear" w:color="auto" w:fill="auto"/>
            <w:noWrap/>
            <w:vAlign w:val="center"/>
          </w:tcPr>
          <w:p w14:paraId="02969B5B"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832" w:type="pct"/>
            <w:shd w:val="clear" w:color="auto" w:fill="auto"/>
            <w:noWrap/>
            <w:vAlign w:val="center"/>
          </w:tcPr>
          <w:p w14:paraId="66D2A0B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353.10</w:t>
            </w:r>
          </w:p>
        </w:tc>
        <w:tc>
          <w:tcPr>
            <w:tcW w:w="833" w:type="pct"/>
            <w:shd w:val="clear" w:color="auto" w:fill="auto"/>
            <w:noWrap/>
            <w:vAlign w:val="center"/>
          </w:tcPr>
          <w:p w14:paraId="396D52B9"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2,781.42</w:t>
            </w:r>
          </w:p>
        </w:tc>
        <w:tc>
          <w:tcPr>
            <w:tcW w:w="1082" w:type="pct"/>
            <w:shd w:val="clear" w:color="auto" w:fill="auto"/>
            <w:noWrap/>
            <w:vAlign w:val="center"/>
          </w:tcPr>
          <w:p w14:paraId="320B487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8,814.16</w:t>
            </w:r>
          </w:p>
        </w:tc>
        <w:tc>
          <w:tcPr>
            <w:tcW w:w="609" w:type="pct"/>
            <w:vAlign w:val="center"/>
          </w:tcPr>
          <w:p w14:paraId="75E6EA9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11,948.67</w:t>
            </w:r>
          </w:p>
        </w:tc>
      </w:tr>
      <w:tr w:rsidR="000A0ACD" w14:paraId="2FE01462" w14:textId="77777777">
        <w:trPr>
          <w:trHeight w:val="397"/>
        </w:trPr>
        <w:tc>
          <w:tcPr>
            <w:tcW w:w="1644" w:type="pct"/>
            <w:shd w:val="clear" w:color="auto" w:fill="auto"/>
            <w:noWrap/>
            <w:vAlign w:val="center"/>
          </w:tcPr>
          <w:p w14:paraId="67014539"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机器人本体</w:t>
            </w:r>
          </w:p>
        </w:tc>
        <w:tc>
          <w:tcPr>
            <w:tcW w:w="832" w:type="pct"/>
            <w:shd w:val="clear" w:color="auto" w:fill="auto"/>
            <w:noWrap/>
            <w:vAlign w:val="center"/>
          </w:tcPr>
          <w:p w14:paraId="36C97EC3"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833" w:type="pct"/>
            <w:shd w:val="clear" w:color="auto" w:fill="auto"/>
            <w:noWrap/>
            <w:vAlign w:val="center"/>
          </w:tcPr>
          <w:p w14:paraId="6B10DD9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0113145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5400704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09C225B4" w14:textId="77777777">
        <w:trPr>
          <w:trHeight w:val="397"/>
        </w:trPr>
        <w:tc>
          <w:tcPr>
            <w:tcW w:w="1644" w:type="pct"/>
            <w:shd w:val="clear" w:color="auto" w:fill="auto"/>
            <w:noWrap/>
            <w:vAlign w:val="center"/>
          </w:tcPr>
          <w:p w14:paraId="427AC892"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机器人集成应用（含压机）</w:t>
            </w:r>
          </w:p>
        </w:tc>
        <w:tc>
          <w:tcPr>
            <w:tcW w:w="832" w:type="pct"/>
            <w:shd w:val="clear" w:color="auto" w:fill="auto"/>
            <w:noWrap/>
            <w:vAlign w:val="center"/>
          </w:tcPr>
          <w:p w14:paraId="7B6D622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833" w:type="pct"/>
            <w:shd w:val="clear" w:color="auto" w:fill="auto"/>
            <w:noWrap/>
            <w:vAlign w:val="center"/>
          </w:tcPr>
          <w:p w14:paraId="2E5A64B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5CD629A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1F07CFF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4785AC27" w14:textId="77777777">
        <w:trPr>
          <w:trHeight w:val="397"/>
        </w:trPr>
        <w:tc>
          <w:tcPr>
            <w:tcW w:w="1644" w:type="pct"/>
            <w:shd w:val="clear" w:color="auto" w:fill="auto"/>
            <w:noWrap/>
            <w:vAlign w:val="center"/>
          </w:tcPr>
          <w:p w14:paraId="782D1E3D" w14:textId="77777777" w:rsidR="000A0ACD" w:rsidRDefault="00362A99">
            <w:pPr>
              <w:ind w:leftChars="-25" w:left="-60" w:rightChars="-25" w:right="-60"/>
              <w:jc w:val="both"/>
              <w:rPr>
                <w:rFonts w:ascii="Times New Roman" w:hAnsi="Times New Roman" w:cs="Times New Roman"/>
                <w:b/>
                <w:bCs/>
                <w:sz w:val="21"/>
                <w:szCs w:val="21"/>
              </w:rPr>
            </w:pPr>
            <w:r>
              <w:rPr>
                <w:rFonts w:ascii="Times New Roman" w:hAnsi="Times New Roman" w:cs="Times New Roman" w:hint="eastAsia"/>
                <w:b/>
                <w:bCs/>
                <w:sz w:val="21"/>
                <w:szCs w:val="21"/>
              </w:rPr>
              <w:t>海信</w:t>
            </w:r>
          </w:p>
        </w:tc>
        <w:tc>
          <w:tcPr>
            <w:tcW w:w="832" w:type="pct"/>
            <w:shd w:val="clear" w:color="auto" w:fill="auto"/>
            <w:noWrap/>
            <w:vAlign w:val="center"/>
          </w:tcPr>
          <w:p w14:paraId="75EDFEAC"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833" w:type="pct"/>
            <w:shd w:val="clear" w:color="auto" w:fill="auto"/>
            <w:noWrap/>
            <w:vAlign w:val="center"/>
          </w:tcPr>
          <w:p w14:paraId="464FF7B5"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973.45</w:t>
            </w:r>
          </w:p>
        </w:tc>
        <w:tc>
          <w:tcPr>
            <w:tcW w:w="1082" w:type="pct"/>
            <w:shd w:val="clear" w:color="auto" w:fill="auto"/>
            <w:noWrap/>
            <w:vAlign w:val="center"/>
          </w:tcPr>
          <w:p w14:paraId="04DEB1E6"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609" w:type="pct"/>
            <w:vAlign w:val="center"/>
          </w:tcPr>
          <w:p w14:paraId="6E5B818B"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973.45</w:t>
            </w:r>
          </w:p>
        </w:tc>
      </w:tr>
      <w:tr w:rsidR="000A0ACD" w14:paraId="72A88A33" w14:textId="77777777">
        <w:trPr>
          <w:trHeight w:val="397"/>
        </w:trPr>
        <w:tc>
          <w:tcPr>
            <w:tcW w:w="1644" w:type="pct"/>
            <w:shd w:val="clear" w:color="auto" w:fill="auto"/>
            <w:noWrap/>
            <w:vAlign w:val="center"/>
          </w:tcPr>
          <w:p w14:paraId="6E2A3B57"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832" w:type="pct"/>
            <w:shd w:val="clear" w:color="auto" w:fill="auto"/>
            <w:noWrap/>
            <w:vAlign w:val="center"/>
          </w:tcPr>
          <w:p w14:paraId="65337D6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833" w:type="pct"/>
            <w:shd w:val="clear" w:color="auto" w:fill="auto"/>
            <w:noWrap/>
            <w:vAlign w:val="center"/>
          </w:tcPr>
          <w:p w14:paraId="035DC6F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3FA775B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165C6C0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28C11523" w14:textId="77777777">
        <w:trPr>
          <w:trHeight w:val="397"/>
        </w:trPr>
        <w:tc>
          <w:tcPr>
            <w:tcW w:w="1644" w:type="pct"/>
            <w:shd w:val="clear" w:color="auto" w:fill="auto"/>
            <w:noWrap/>
            <w:vAlign w:val="center"/>
          </w:tcPr>
          <w:p w14:paraId="46CAC1EF" w14:textId="77777777" w:rsidR="000A0ACD" w:rsidRDefault="00362A99">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832" w:type="pct"/>
            <w:shd w:val="clear" w:color="auto" w:fill="auto"/>
            <w:noWrap/>
            <w:vAlign w:val="center"/>
          </w:tcPr>
          <w:p w14:paraId="6B7ECDF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833" w:type="pct"/>
            <w:shd w:val="clear" w:color="auto" w:fill="auto"/>
            <w:noWrap/>
            <w:vAlign w:val="center"/>
          </w:tcPr>
          <w:p w14:paraId="7AB00B9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973.45</w:t>
            </w:r>
          </w:p>
        </w:tc>
        <w:tc>
          <w:tcPr>
            <w:tcW w:w="1082" w:type="pct"/>
            <w:shd w:val="clear" w:color="auto" w:fill="auto"/>
            <w:noWrap/>
            <w:vAlign w:val="center"/>
          </w:tcPr>
          <w:p w14:paraId="4EB8925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19D202C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973.45</w:t>
            </w:r>
          </w:p>
        </w:tc>
      </w:tr>
      <w:tr w:rsidR="000A0ACD" w14:paraId="36BC3A99" w14:textId="77777777">
        <w:trPr>
          <w:trHeight w:val="397"/>
        </w:trPr>
        <w:tc>
          <w:tcPr>
            <w:tcW w:w="1644" w:type="pct"/>
            <w:shd w:val="clear" w:color="auto" w:fill="auto"/>
            <w:noWrap/>
            <w:vAlign w:val="center"/>
          </w:tcPr>
          <w:p w14:paraId="1254A3D4" w14:textId="77777777" w:rsidR="000A0ACD" w:rsidRDefault="00362A99">
            <w:pPr>
              <w:ind w:leftChars="-25" w:left="-60" w:rightChars="-25" w:right="-60"/>
              <w:jc w:val="both"/>
              <w:rPr>
                <w:rFonts w:ascii="Times New Roman" w:hAnsi="Times New Roman" w:cs="Times New Roman"/>
                <w:sz w:val="21"/>
                <w:szCs w:val="21"/>
              </w:rPr>
            </w:pPr>
            <w:r>
              <w:rPr>
                <w:rFonts w:ascii="Times New Roman" w:hAnsi="Times New Roman" w:cs="Times New Roman" w:hint="eastAsia"/>
                <w:b/>
                <w:bCs/>
                <w:sz w:val="21"/>
                <w:szCs w:val="21"/>
              </w:rPr>
              <w:t>崂山矿泉水</w:t>
            </w:r>
          </w:p>
        </w:tc>
        <w:tc>
          <w:tcPr>
            <w:tcW w:w="832" w:type="pct"/>
            <w:shd w:val="clear" w:color="auto" w:fill="auto"/>
            <w:noWrap/>
            <w:vAlign w:val="center"/>
          </w:tcPr>
          <w:p w14:paraId="541DB3C3" w14:textId="77777777" w:rsidR="000A0ACD" w:rsidRDefault="000A0ACD">
            <w:pPr>
              <w:ind w:leftChars="-25" w:left="-60" w:rightChars="-25" w:right="-60"/>
              <w:jc w:val="right"/>
              <w:rPr>
                <w:rFonts w:ascii="Times New Roman" w:hAnsi="Times New Roman" w:cs="Times New Roman"/>
                <w:sz w:val="21"/>
                <w:szCs w:val="21"/>
              </w:rPr>
            </w:pPr>
          </w:p>
        </w:tc>
        <w:tc>
          <w:tcPr>
            <w:tcW w:w="833" w:type="pct"/>
            <w:shd w:val="clear" w:color="auto" w:fill="auto"/>
            <w:noWrap/>
            <w:vAlign w:val="center"/>
          </w:tcPr>
          <w:p w14:paraId="12861F14" w14:textId="77777777" w:rsidR="000A0ACD" w:rsidRDefault="000A0ACD">
            <w:pPr>
              <w:ind w:leftChars="-25" w:left="-60" w:rightChars="-25" w:right="-60"/>
              <w:jc w:val="right"/>
              <w:rPr>
                <w:rFonts w:ascii="Times New Roman" w:hAnsi="Times New Roman" w:cs="Times New Roman"/>
                <w:sz w:val="21"/>
                <w:szCs w:val="21"/>
              </w:rPr>
            </w:pPr>
          </w:p>
        </w:tc>
        <w:tc>
          <w:tcPr>
            <w:tcW w:w="1082" w:type="pct"/>
            <w:shd w:val="clear" w:color="auto" w:fill="auto"/>
            <w:noWrap/>
            <w:vAlign w:val="center"/>
          </w:tcPr>
          <w:p w14:paraId="3E62F092" w14:textId="77777777" w:rsidR="000A0ACD" w:rsidRDefault="000A0ACD">
            <w:pPr>
              <w:ind w:leftChars="-25" w:left="-60" w:rightChars="-25" w:right="-60"/>
              <w:jc w:val="right"/>
              <w:rPr>
                <w:rFonts w:ascii="Times New Roman" w:hAnsi="Times New Roman" w:cs="Times New Roman"/>
                <w:sz w:val="21"/>
                <w:szCs w:val="21"/>
              </w:rPr>
            </w:pPr>
          </w:p>
        </w:tc>
        <w:tc>
          <w:tcPr>
            <w:tcW w:w="609" w:type="pct"/>
            <w:vAlign w:val="center"/>
          </w:tcPr>
          <w:p w14:paraId="74B3F49E" w14:textId="77777777" w:rsidR="000A0ACD" w:rsidRDefault="000A0ACD">
            <w:pPr>
              <w:ind w:leftChars="-25" w:left="-60" w:rightChars="-25" w:right="-60"/>
              <w:jc w:val="right"/>
              <w:rPr>
                <w:rFonts w:ascii="Times New Roman" w:hAnsi="Times New Roman" w:cs="Times New Roman"/>
                <w:sz w:val="21"/>
                <w:szCs w:val="21"/>
              </w:rPr>
            </w:pPr>
          </w:p>
        </w:tc>
      </w:tr>
      <w:tr w:rsidR="000A0ACD" w14:paraId="7E82BB29" w14:textId="77777777">
        <w:trPr>
          <w:trHeight w:val="397"/>
        </w:trPr>
        <w:tc>
          <w:tcPr>
            <w:tcW w:w="1644" w:type="pct"/>
            <w:shd w:val="clear" w:color="auto" w:fill="auto"/>
            <w:noWrap/>
            <w:vAlign w:val="center"/>
          </w:tcPr>
          <w:p w14:paraId="6E20DA51" w14:textId="77777777" w:rsidR="000A0ACD" w:rsidRDefault="00362A99">
            <w:pPr>
              <w:ind w:leftChars="-25" w:left="-60" w:rightChars="-25" w:right="-60" w:firstLineChars="100" w:firstLine="210"/>
              <w:jc w:val="both"/>
              <w:rPr>
                <w:rFonts w:ascii="Times New Roman" w:hAnsi="Times New Roman" w:cs="Times New Roman"/>
                <w:b/>
                <w:bCs/>
                <w:sz w:val="21"/>
                <w:szCs w:val="21"/>
              </w:rPr>
            </w:pPr>
            <w:r>
              <w:rPr>
                <w:rFonts w:ascii="Times New Roman" w:hAnsi="Times New Roman" w:cs="Times New Roman" w:hint="eastAsia"/>
                <w:sz w:val="21"/>
                <w:szCs w:val="21"/>
              </w:rPr>
              <w:t>企业信息化</w:t>
            </w:r>
          </w:p>
        </w:tc>
        <w:tc>
          <w:tcPr>
            <w:tcW w:w="832" w:type="pct"/>
            <w:shd w:val="clear" w:color="auto" w:fill="auto"/>
            <w:noWrap/>
            <w:vAlign w:val="center"/>
          </w:tcPr>
          <w:p w14:paraId="7D64545A" w14:textId="77777777" w:rsidR="000A0ACD" w:rsidRDefault="000A0ACD">
            <w:pPr>
              <w:ind w:leftChars="-25" w:left="-60" w:rightChars="-25" w:right="-60"/>
              <w:jc w:val="right"/>
              <w:rPr>
                <w:rFonts w:ascii="Times New Roman" w:hAnsi="Times New Roman" w:cs="Times New Roman"/>
                <w:b/>
                <w:bCs/>
                <w:sz w:val="21"/>
                <w:szCs w:val="21"/>
              </w:rPr>
            </w:pPr>
          </w:p>
        </w:tc>
        <w:tc>
          <w:tcPr>
            <w:tcW w:w="833" w:type="pct"/>
            <w:shd w:val="clear" w:color="auto" w:fill="auto"/>
            <w:noWrap/>
            <w:vAlign w:val="center"/>
          </w:tcPr>
          <w:p w14:paraId="0D04F583" w14:textId="77777777" w:rsidR="000A0ACD" w:rsidRDefault="000A0ACD">
            <w:pPr>
              <w:ind w:leftChars="-25" w:left="-60" w:rightChars="-25" w:right="-60"/>
              <w:jc w:val="right"/>
              <w:rPr>
                <w:rFonts w:ascii="Times New Roman" w:hAnsi="Times New Roman" w:cs="Times New Roman"/>
                <w:b/>
                <w:bCs/>
                <w:sz w:val="21"/>
                <w:szCs w:val="21"/>
              </w:rPr>
            </w:pPr>
          </w:p>
        </w:tc>
        <w:tc>
          <w:tcPr>
            <w:tcW w:w="1082" w:type="pct"/>
            <w:shd w:val="clear" w:color="auto" w:fill="auto"/>
            <w:noWrap/>
            <w:vAlign w:val="center"/>
          </w:tcPr>
          <w:p w14:paraId="124B5CF6" w14:textId="77777777" w:rsidR="000A0ACD" w:rsidRDefault="000A0ACD">
            <w:pPr>
              <w:ind w:leftChars="-25" w:left="-60" w:rightChars="-25" w:right="-60"/>
              <w:jc w:val="right"/>
              <w:rPr>
                <w:rFonts w:ascii="Times New Roman" w:hAnsi="Times New Roman" w:cs="Times New Roman"/>
                <w:b/>
                <w:bCs/>
                <w:sz w:val="21"/>
                <w:szCs w:val="21"/>
              </w:rPr>
            </w:pPr>
          </w:p>
        </w:tc>
        <w:tc>
          <w:tcPr>
            <w:tcW w:w="609" w:type="pct"/>
            <w:vAlign w:val="center"/>
          </w:tcPr>
          <w:p w14:paraId="703A0FF2"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r>
      <w:tr w:rsidR="000A0ACD" w14:paraId="0EA93CFF" w14:textId="77777777">
        <w:trPr>
          <w:trHeight w:val="397"/>
        </w:trPr>
        <w:tc>
          <w:tcPr>
            <w:tcW w:w="1644" w:type="pct"/>
            <w:shd w:val="clear" w:color="auto" w:fill="auto"/>
            <w:noWrap/>
            <w:vAlign w:val="center"/>
          </w:tcPr>
          <w:p w14:paraId="785304A9"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总计</w:t>
            </w:r>
          </w:p>
        </w:tc>
        <w:tc>
          <w:tcPr>
            <w:tcW w:w="832" w:type="pct"/>
            <w:shd w:val="clear" w:color="auto" w:fill="auto"/>
            <w:noWrap/>
            <w:vAlign w:val="center"/>
          </w:tcPr>
          <w:p w14:paraId="23E6AF79"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15,866.05</w:t>
            </w:r>
          </w:p>
        </w:tc>
        <w:tc>
          <w:tcPr>
            <w:tcW w:w="833" w:type="pct"/>
            <w:shd w:val="clear" w:color="auto" w:fill="auto"/>
            <w:noWrap/>
            <w:vAlign w:val="center"/>
          </w:tcPr>
          <w:p w14:paraId="63E673F8"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3,754.87</w:t>
            </w:r>
          </w:p>
        </w:tc>
        <w:tc>
          <w:tcPr>
            <w:tcW w:w="1082" w:type="pct"/>
            <w:shd w:val="clear" w:color="auto" w:fill="auto"/>
            <w:noWrap/>
            <w:vAlign w:val="center"/>
          </w:tcPr>
          <w:p w14:paraId="1AFBE815"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9,628.32</w:t>
            </w:r>
          </w:p>
        </w:tc>
        <w:tc>
          <w:tcPr>
            <w:tcW w:w="609" w:type="pct"/>
            <w:vAlign w:val="center"/>
          </w:tcPr>
          <w:p w14:paraId="4D033230"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29,249.24</w:t>
            </w:r>
          </w:p>
        </w:tc>
      </w:tr>
    </w:tbl>
    <w:p w14:paraId="0D95C926"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由上表可以看出，北洋天青</w:t>
      </w:r>
      <w:r>
        <w:rPr>
          <w:rFonts w:ascii="Times New Roman" w:hAnsi="Times New Roman" w:cs="Times New Roman"/>
          <w:bCs/>
          <w:color w:val="000000"/>
          <w:szCs w:val="21"/>
        </w:rPr>
        <w:t>2021</w:t>
      </w:r>
      <w:r>
        <w:rPr>
          <w:rFonts w:ascii="Times New Roman" w:hAnsi="Times New Roman" w:cs="Times New Roman" w:hint="eastAsia"/>
          <w:bCs/>
          <w:color w:val="000000"/>
          <w:szCs w:val="21"/>
        </w:rPr>
        <w:t>年全年预计确认收入金额为</w:t>
      </w:r>
      <w:r>
        <w:rPr>
          <w:rFonts w:ascii="Times New Roman" w:hAnsi="Times New Roman" w:cs="Times New Roman"/>
          <w:bCs/>
          <w:color w:val="000000"/>
          <w:szCs w:val="21"/>
        </w:rPr>
        <w:t>29,249.24</w:t>
      </w:r>
      <w:r>
        <w:rPr>
          <w:rFonts w:ascii="Times New Roman" w:hAnsi="Times New Roman" w:cs="Times New Roman" w:hint="eastAsia"/>
          <w:bCs/>
          <w:color w:val="000000"/>
          <w:szCs w:val="21"/>
        </w:rPr>
        <w:t>万元。按商品类型分类情况如下：</w:t>
      </w:r>
    </w:p>
    <w:p w14:paraId="4652675C"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61"/>
        <w:gridCol w:w="4261"/>
      </w:tblGrid>
      <w:tr w:rsidR="000A0ACD" w14:paraId="1189571A" w14:textId="77777777">
        <w:trPr>
          <w:trHeight w:val="397"/>
          <w:tblHeader/>
        </w:trPr>
        <w:tc>
          <w:tcPr>
            <w:tcW w:w="2500" w:type="pct"/>
            <w:shd w:val="clear" w:color="auto" w:fill="auto"/>
            <w:noWrap/>
            <w:vAlign w:val="center"/>
          </w:tcPr>
          <w:p w14:paraId="625402DF"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2500" w:type="pct"/>
            <w:shd w:val="clear" w:color="auto" w:fill="auto"/>
            <w:noWrap/>
            <w:vAlign w:val="center"/>
          </w:tcPr>
          <w:p w14:paraId="4BFF05AB"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年度</w:t>
            </w:r>
          </w:p>
        </w:tc>
      </w:tr>
      <w:tr w:rsidR="000A0ACD" w14:paraId="5778A340" w14:textId="77777777">
        <w:trPr>
          <w:trHeight w:val="397"/>
        </w:trPr>
        <w:tc>
          <w:tcPr>
            <w:tcW w:w="2500" w:type="pct"/>
            <w:shd w:val="clear" w:color="auto" w:fill="auto"/>
            <w:vAlign w:val="center"/>
          </w:tcPr>
          <w:p w14:paraId="5CDF3C16"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2500" w:type="pct"/>
            <w:shd w:val="clear" w:color="auto" w:fill="auto"/>
            <w:noWrap/>
            <w:vAlign w:val="center"/>
          </w:tcPr>
          <w:p w14:paraId="7B11084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29,249.24</w:t>
            </w:r>
          </w:p>
        </w:tc>
      </w:tr>
      <w:tr w:rsidR="000A0ACD" w14:paraId="289FA713" w14:textId="77777777">
        <w:trPr>
          <w:trHeight w:val="397"/>
        </w:trPr>
        <w:tc>
          <w:tcPr>
            <w:tcW w:w="2500" w:type="pct"/>
            <w:shd w:val="clear" w:color="auto" w:fill="auto"/>
            <w:noWrap/>
            <w:vAlign w:val="center"/>
          </w:tcPr>
          <w:p w14:paraId="4A1BC576"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2500" w:type="pct"/>
            <w:shd w:val="clear" w:color="auto" w:fill="auto"/>
            <w:noWrap/>
            <w:vAlign w:val="center"/>
          </w:tcPr>
          <w:p w14:paraId="2673195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15,043.93</w:t>
            </w:r>
          </w:p>
        </w:tc>
      </w:tr>
      <w:tr w:rsidR="000A0ACD" w14:paraId="3B9FE99F" w14:textId="77777777">
        <w:trPr>
          <w:trHeight w:val="397"/>
        </w:trPr>
        <w:tc>
          <w:tcPr>
            <w:tcW w:w="2500" w:type="pct"/>
            <w:shd w:val="clear" w:color="auto" w:fill="auto"/>
            <w:noWrap/>
            <w:vAlign w:val="center"/>
          </w:tcPr>
          <w:p w14:paraId="0FD94B89" w14:textId="77777777" w:rsidR="000A0ACD" w:rsidRDefault="00362A99">
            <w:pPr>
              <w:ind w:firstLineChars="300" w:firstLine="630"/>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2500" w:type="pct"/>
            <w:shd w:val="clear" w:color="auto" w:fill="auto"/>
            <w:noWrap/>
            <w:vAlign w:val="center"/>
          </w:tcPr>
          <w:p w14:paraId="1E33932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14,205.31</w:t>
            </w:r>
          </w:p>
        </w:tc>
      </w:tr>
    </w:tbl>
    <w:p w14:paraId="00D25F0B" w14:textId="77777777" w:rsidR="000A0ACD" w:rsidRDefault="00362A99">
      <w:pPr>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③</w:t>
      </w:r>
      <w:r>
        <w:rPr>
          <w:rFonts w:ascii="Times New Roman" w:hAnsi="Times New Roman" w:cs="Times New Roman"/>
          <w:lang w:bidi="ar"/>
        </w:rPr>
        <w:t>2022</w:t>
      </w:r>
      <w:r>
        <w:rPr>
          <w:rFonts w:ascii="Times New Roman" w:hAnsi="Times New Roman" w:cs="Times New Roman" w:hint="eastAsia"/>
          <w:lang w:bidi="ar"/>
        </w:rPr>
        <w:t>年及以后各年度收入预测</w:t>
      </w:r>
    </w:p>
    <w:p w14:paraId="2194DA27" w14:textId="11E7EEB9" w:rsidR="000A0ACD" w:rsidRDefault="00362A99">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val="en-GB"/>
        </w:rPr>
        <w:t>通过客户访谈以及标的公司未来经营计划，机器人</w:t>
      </w:r>
      <w:r w:rsidR="0037747A">
        <w:rPr>
          <w:rFonts w:ascii="Times New Roman" w:hAnsi="Times New Roman" w:cs="Times New Roman" w:hint="eastAsia"/>
          <w:bCs/>
          <w:color w:val="000000"/>
          <w:szCs w:val="21"/>
          <w:lang w:val="en-GB"/>
        </w:rPr>
        <w:t>及</w:t>
      </w:r>
      <w:r>
        <w:rPr>
          <w:rFonts w:ascii="Times New Roman" w:hAnsi="Times New Roman" w:cs="Times New Roman" w:hint="eastAsia"/>
          <w:bCs/>
          <w:color w:val="000000"/>
          <w:szCs w:val="21"/>
          <w:lang w:val="en-GB"/>
        </w:rPr>
        <w:t>配套项目尤其是机器人</w:t>
      </w:r>
      <w:r w:rsidR="0037747A">
        <w:rPr>
          <w:rFonts w:ascii="Times New Roman" w:hAnsi="Times New Roman" w:cs="Times New Roman" w:hint="eastAsia"/>
          <w:bCs/>
          <w:color w:val="000000"/>
          <w:szCs w:val="21"/>
          <w:lang w:val="en-GB"/>
        </w:rPr>
        <w:t>及</w:t>
      </w:r>
      <w:r>
        <w:rPr>
          <w:rFonts w:ascii="Times New Roman" w:hAnsi="Times New Roman" w:cs="Times New Roman" w:hint="eastAsia"/>
          <w:bCs/>
          <w:color w:val="000000"/>
          <w:szCs w:val="21"/>
          <w:lang w:val="en-GB"/>
        </w:rPr>
        <w:t>配套中的机器人本体安装项目由于毛利低，北洋天青未来将不再考虑继续承接。标的公司业务方向将以毛利更高的定制化集成和机器人应用项目为主。同时考虑一定的竞争因素，</w:t>
      </w:r>
      <w:r>
        <w:rPr>
          <w:rFonts w:ascii="Times New Roman" w:hAnsi="Times New Roman" w:cs="Times New Roman"/>
          <w:bCs/>
          <w:color w:val="000000"/>
          <w:szCs w:val="21"/>
          <w:lang w:val="en-GB"/>
        </w:rPr>
        <w:t>2023</w:t>
      </w:r>
      <w:r>
        <w:rPr>
          <w:rFonts w:ascii="Times New Roman" w:hAnsi="Times New Roman" w:cs="Times New Roman" w:hint="eastAsia"/>
          <w:bCs/>
          <w:color w:val="000000"/>
          <w:szCs w:val="21"/>
          <w:lang w:val="en-GB"/>
        </w:rPr>
        <w:t>年以后标的公司的收入规模增长速度将逐年放缓。</w:t>
      </w:r>
      <w:r>
        <w:rPr>
          <w:rFonts w:ascii="Times New Roman" w:hAnsi="Times New Roman" w:cs="Times New Roman" w:hint="eastAsia"/>
          <w:bCs/>
          <w:color w:val="000000"/>
          <w:szCs w:val="21"/>
          <w:lang w:bidi="ar"/>
        </w:rPr>
        <w:t>标的公司未来年度业务收入预测如下：</w:t>
      </w:r>
    </w:p>
    <w:p w14:paraId="6681C3A3"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08"/>
        <w:gridCol w:w="1019"/>
        <w:gridCol w:w="1018"/>
        <w:gridCol w:w="1018"/>
        <w:gridCol w:w="1019"/>
        <w:gridCol w:w="1018"/>
        <w:gridCol w:w="1019"/>
        <w:gridCol w:w="1103"/>
      </w:tblGrid>
      <w:tr w:rsidR="000A0ACD" w14:paraId="64EDF653" w14:textId="77777777">
        <w:trPr>
          <w:trHeight w:val="397"/>
          <w:tblHeader/>
        </w:trPr>
        <w:tc>
          <w:tcPr>
            <w:tcW w:w="768" w:type="pct"/>
            <w:vMerge w:val="restart"/>
            <w:shd w:val="clear" w:color="auto" w:fill="auto"/>
            <w:noWrap/>
            <w:vAlign w:val="center"/>
          </w:tcPr>
          <w:p w14:paraId="1B3B35C5" w14:textId="77777777" w:rsidR="000A0ACD" w:rsidRDefault="00362A99">
            <w:pPr>
              <w:ind w:leftChars="-25" w:left="-60" w:rightChars="-25" w:right="-60"/>
              <w:jc w:val="center"/>
              <w:rPr>
                <w:rFonts w:ascii="Times New Roman" w:hAnsi="Times New Roman" w:cs="Times New Roman"/>
                <w:b/>
                <w:bCs/>
                <w:sz w:val="21"/>
                <w:szCs w:val="21"/>
              </w:rPr>
            </w:pPr>
            <w:bookmarkStart w:id="109" w:name="_Hlk58529532"/>
            <w:bookmarkStart w:id="110" w:name="_Toc163542853"/>
            <w:bookmarkStart w:id="111" w:name="_Toc161394621"/>
            <w:r>
              <w:rPr>
                <w:rFonts w:ascii="Times New Roman" w:hAnsi="Times New Roman" w:cs="Times New Roman" w:hint="eastAsia"/>
                <w:b/>
                <w:bCs/>
                <w:sz w:val="21"/>
                <w:szCs w:val="21"/>
              </w:rPr>
              <w:t>项目</w:t>
            </w:r>
          </w:p>
        </w:tc>
        <w:tc>
          <w:tcPr>
            <w:tcW w:w="4232" w:type="pct"/>
            <w:gridSpan w:val="7"/>
            <w:shd w:val="clear" w:color="auto" w:fill="auto"/>
            <w:noWrap/>
            <w:vAlign w:val="center"/>
          </w:tcPr>
          <w:p w14:paraId="498A97CA"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未来年度业务收入预测数据</w:t>
            </w:r>
          </w:p>
        </w:tc>
      </w:tr>
      <w:tr w:rsidR="000A0ACD" w14:paraId="1D11A928" w14:textId="77777777">
        <w:trPr>
          <w:trHeight w:val="397"/>
          <w:tblHeader/>
        </w:trPr>
        <w:tc>
          <w:tcPr>
            <w:tcW w:w="768" w:type="pct"/>
            <w:vMerge/>
            <w:vAlign w:val="center"/>
          </w:tcPr>
          <w:p w14:paraId="180FB51B" w14:textId="77777777" w:rsidR="000A0ACD" w:rsidRDefault="000A0ACD">
            <w:pPr>
              <w:ind w:leftChars="-25" w:left="-60" w:rightChars="-25" w:right="-60"/>
              <w:rPr>
                <w:rFonts w:ascii="Times New Roman" w:hAnsi="Times New Roman" w:cs="Times New Roman"/>
                <w:b/>
                <w:bCs/>
                <w:sz w:val="21"/>
                <w:szCs w:val="21"/>
              </w:rPr>
            </w:pPr>
          </w:p>
        </w:tc>
        <w:tc>
          <w:tcPr>
            <w:tcW w:w="598" w:type="pct"/>
            <w:shd w:val="clear" w:color="auto" w:fill="auto"/>
            <w:noWrap/>
            <w:vAlign w:val="center"/>
          </w:tcPr>
          <w:p w14:paraId="2DA39651"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97" w:type="pct"/>
            <w:shd w:val="clear" w:color="auto" w:fill="auto"/>
            <w:noWrap/>
            <w:vAlign w:val="center"/>
          </w:tcPr>
          <w:p w14:paraId="77CA5C2B" w14:textId="09BDDD4B"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2021</w:t>
            </w:r>
            <w:r w:rsidR="0037747A">
              <w:rPr>
                <w:rFonts w:ascii="Times New Roman" w:hAnsi="Times New Roman" w:cs="Times New Roman" w:hint="eastAsia"/>
                <w:b/>
                <w:bCs/>
                <w:sz w:val="21"/>
                <w:szCs w:val="21"/>
              </w:rPr>
              <w:t>年度</w:t>
            </w:r>
          </w:p>
        </w:tc>
        <w:tc>
          <w:tcPr>
            <w:tcW w:w="597" w:type="pct"/>
            <w:shd w:val="clear" w:color="auto" w:fill="auto"/>
            <w:noWrap/>
            <w:vAlign w:val="center"/>
          </w:tcPr>
          <w:p w14:paraId="293EC70C" w14:textId="53DF2E8E"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2022</w:t>
            </w:r>
            <w:r w:rsidR="0037747A">
              <w:rPr>
                <w:rFonts w:ascii="Times New Roman" w:hAnsi="Times New Roman" w:cs="Times New Roman" w:hint="eastAsia"/>
                <w:b/>
                <w:bCs/>
                <w:sz w:val="21"/>
                <w:szCs w:val="21"/>
              </w:rPr>
              <w:t>年度</w:t>
            </w:r>
          </w:p>
        </w:tc>
        <w:tc>
          <w:tcPr>
            <w:tcW w:w="598" w:type="pct"/>
            <w:shd w:val="clear" w:color="auto" w:fill="auto"/>
            <w:noWrap/>
            <w:vAlign w:val="center"/>
          </w:tcPr>
          <w:p w14:paraId="6866E0B6" w14:textId="3409F326"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2023</w:t>
            </w:r>
            <w:r w:rsidR="0037747A">
              <w:rPr>
                <w:rFonts w:ascii="Times New Roman" w:hAnsi="Times New Roman" w:cs="Times New Roman" w:hint="eastAsia"/>
                <w:b/>
                <w:bCs/>
                <w:sz w:val="21"/>
                <w:szCs w:val="21"/>
              </w:rPr>
              <w:t>年度</w:t>
            </w:r>
          </w:p>
        </w:tc>
        <w:tc>
          <w:tcPr>
            <w:tcW w:w="597" w:type="pct"/>
            <w:shd w:val="clear" w:color="auto" w:fill="auto"/>
            <w:noWrap/>
            <w:vAlign w:val="center"/>
          </w:tcPr>
          <w:p w14:paraId="4DC79FA6" w14:textId="7CC1D26A"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2024</w:t>
            </w:r>
            <w:r w:rsidR="0037747A">
              <w:rPr>
                <w:rFonts w:ascii="Times New Roman" w:hAnsi="Times New Roman" w:cs="Times New Roman" w:hint="eastAsia"/>
                <w:b/>
                <w:bCs/>
                <w:sz w:val="21"/>
                <w:szCs w:val="21"/>
              </w:rPr>
              <w:t>年度</w:t>
            </w:r>
          </w:p>
        </w:tc>
        <w:tc>
          <w:tcPr>
            <w:tcW w:w="598" w:type="pct"/>
            <w:shd w:val="clear" w:color="auto" w:fill="auto"/>
            <w:noWrap/>
            <w:vAlign w:val="center"/>
          </w:tcPr>
          <w:p w14:paraId="7E4494F8" w14:textId="32B23601"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2025</w:t>
            </w:r>
            <w:r w:rsidR="0037747A">
              <w:rPr>
                <w:rFonts w:ascii="Times New Roman" w:hAnsi="Times New Roman" w:cs="Times New Roman" w:hint="eastAsia"/>
                <w:b/>
                <w:bCs/>
                <w:sz w:val="21"/>
                <w:szCs w:val="21"/>
              </w:rPr>
              <w:t>年度</w:t>
            </w:r>
          </w:p>
        </w:tc>
        <w:tc>
          <w:tcPr>
            <w:tcW w:w="647" w:type="pct"/>
            <w:shd w:val="clear" w:color="auto" w:fill="auto"/>
            <w:noWrap/>
            <w:vAlign w:val="center"/>
          </w:tcPr>
          <w:p w14:paraId="2813DCFD"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0A0ACD" w14:paraId="306DB2F6" w14:textId="77777777">
        <w:trPr>
          <w:trHeight w:val="397"/>
        </w:trPr>
        <w:tc>
          <w:tcPr>
            <w:tcW w:w="768" w:type="pct"/>
            <w:shd w:val="clear" w:color="auto" w:fill="auto"/>
            <w:noWrap/>
            <w:vAlign w:val="center"/>
          </w:tcPr>
          <w:p w14:paraId="499335CD"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主营业务收入</w:t>
            </w:r>
          </w:p>
        </w:tc>
        <w:tc>
          <w:tcPr>
            <w:tcW w:w="598" w:type="pct"/>
            <w:shd w:val="clear" w:color="auto" w:fill="auto"/>
            <w:noWrap/>
            <w:vAlign w:val="center"/>
          </w:tcPr>
          <w:p w14:paraId="2F83E43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11,665.26</w:t>
            </w:r>
          </w:p>
        </w:tc>
        <w:tc>
          <w:tcPr>
            <w:tcW w:w="597" w:type="pct"/>
            <w:shd w:val="clear" w:color="auto" w:fill="auto"/>
            <w:noWrap/>
            <w:vAlign w:val="center"/>
          </w:tcPr>
          <w:p w14:paraId="71D8188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29,249.24</w:t>
            </w:r>
          </w:p>
        </w:tc>
        <w:tc>
          <w:tcPr>
            <w:tcW w:w="597" w:type="pct"/>
            <w:shd w:val="clear" w:color="auto" w:fill="auto"/>
            <w:noWrap/>
            <w:vAlign w:val="center"/>
          </w:tcPr>
          <w:p w14:paraId="0A3101F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32,361.96</w:t>
            </w:r>
          </w:p>
        </w:tc>
        <w:tc>
          <w:tcPr>
            <w:tcW w:w="598" w:type="pct"/>
            <w:shd w:val="clear" w:color="auto" w:fill="auto"/>
            <w:noWrap/>
            <w:vAlign w:val="center"/>
          </w:tcPr>
          <w:p w14:paraId="1525AA1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34,790.00</w:t>
            </w:r>
          </w:p>
        </w:tc>
        <w:tc>
          <w:tcPr>
            <w:tcW w:w="597" w:type="pct"/>
            <w:shd w:val="clear" w:color="auto" w:fill="auto"/>
            <w:noWrap/>
            <w:vAlign w:val="center"/>
          </w:tcPr>
          <w:p w14:paraId="60FA044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36,700.00</w:t>
            </w:r>
          </w:p>
        </w:tc>
        <w:tc>
          <w:tcPr>
            <w:tcW w:w="598" w:type="pct"/>
            <w:shd w:val="clear" w:color="auto" w:fill="auto"/>
            <w:noWrap/>
            <w:vAlign w:val="center"/>
          </w:tcPr>
          <w:p w14:paraId="7282D0D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c>
          <w:tcPr>
            <w:tcW w:w="647" w:type="pct"/>
            <w:shd w:val="clear" w:color="auto" w:fill="auto"/>
            <w:noWrap/>
            <w:vAlign w:val="center"/>
          </w:tcPr>
          <w:p w14:paraId="1F919E2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r>
      <w:tr w:rsidR="000A0ACD" w14:paraId="186B98BD" w14:textId="77777777">
        <w:trPr>
          <w:trHeight w:val="397"/>
        </w:trPr>
        <w:tc>
          <w:tcPr>
            <w:tcW w:w="768" w:type="pct"/>
            <w:shd w:val="clear" w:color="auto" w:fill="auto"/>
            <w:noWrap/>
            <w:vAlign w:val="center"/>
          </w:tcPr>
          <w:p w14:paraId="7B774AF3"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598" w:type="pct"/>
            <w:shd w:val="clear" w:color="auto" w:fill="auto"/>
            <w:noWrap/>
            <w:vAlign w:val="center"/>
          </w:tcPr>
          <w:p w14:paraId="2A83465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5,991.45</w:t>
            </w:r>
          </w:p>
        </w:tc>
        <w:tc>
          <w:tcPr>
            <w:tcW w:w="597" w:type="pct"/>
            <w:shd w:val="clear" w:color="auto" w:fill="auto"/>
            <w:noWrap/>
            <w:vAlign w:val="center"/>
          </w:tcPr>
          <w:p w14:paraId="092E270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15,043.93</w:t>
            </w:r>
          </w:p>
        </w:tc>
        <w:tc>
          <w:tcPr>
            <w:tcW w:w="597" w:type="pct"/>
            <w:shd w:val="clear" w:color="auto" w:fill="auto"/>
            <w:noWrap/>
            <w:vAlign w:val="center"/>
          </w:tcPr>
          <w:p w14:paraId="4A9C5D49"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24,857.53</w:t>
            </w:r>
          </w:p>
        </w:tc>
        <w:tc>
          <w:tcPr>
            <w:tcW w:w="598" w:type="pct"/>
            <w:shd w:val="clear" w:color="auto" w:fill="auto"/>
            <w:noWrap/>
            <w:vAlign w:val="center"/>
          </w:tcPr>
          <w:p w14:paraId="6BB38B4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97" w:type="pct"/>
            <w:shd w:val="clear" w:color="auto" w:fill="auto"/>
            <w:noWrap/>
            <w:vAlign w:val="center"/>
          </w:tcPr>
          <w:p w14:paraId="61F2900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98" w:type="pct"/>
            <w:shd w:val="clear" w:color="auto" w:fill="auto"/>
            <w:noWrap/>
            <w:vAlign w:val="center"/>
          </w:tcPr>
          <w:p w14:paraId="318D801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647" w:type="pct"/>
            <w:shd w:val="clear" w:color="auto" w:fill="auto"/>
            <w:noWrap/>
            <w:vAlign w:val="center"/>
          </w:tcPr>
          <w:p w14:paraId="1C76E63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r>
      <w:tr w:rsidR="000A0ACD" w14:paraId="44CF1985" w14:textId="77777777">
        <w:trPr>
          <w:trHeight w:val="397"/>
        </w:trPr>
        <w:tc>
          <w:tcPr>
            <w:tcW w:w="768" w:type="pct"/>
            <w:shd w:val="clear" w:color="auto" w:fill="auto"/>
            <w:noWrap/>
            <w:vAlign w:val="center"/>
          </w:tcPr>
          <w:p w14:paraId="72CF57AF"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598" w:type="pct"/>
            <w:shd w:val="clear" w:color="auto" w:fill="auto"/>
            <w:noWrap/>
            <w:vAlign w:val="center"/>
          </w:tcPr>
          <w:p w14:paraId="1763CA4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5,673.81</w:t>
            </w:r>
          </w:p>
        </w:tc>
        <w:tc>
          <w:tcPr>
            <w:tcW w:w="597" w:type="pct"/>
            <w:shd w:val="clear" w:color="auto" w:fill="auto"/>
            <w:noWrap/>
            <w:vAlign w:val="center"/>
          </w:tcPr>
          <w:p w14:paraId="6A543A25"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14,205.31</w:t>
            </w:r>
          </w:p>
        </w:tc>
        <w:tc>
          <w:tcPr>
            <w:tcW w:w="597" w:type="pct"/>
            <w:shd w:val="clear" w:color="auto" w:fill="auto"/>
            <w:noWrap/>
            <w:vAlign w:val="center"/>
          </w:tcPr>
          <w:p w14:paraId="3C477F4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7,504.42</w:t>
            </w:r>
          </w:p>
        </w:tc>
        <w:tc>
          <w:tcPr>
            <w:tcW w:w="598" w:type="pct"/>
            <w:shd w:val="clear" w:color="auto" w:fill="auto"/>
            <w:noWrap/>
            <w:vAlign w:val="center"/>
          </w:tcPr>
          <w:p w14:paraId="1DEB68F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97" w:type="pct"/>
            <w:shd w:val="clear" w:color="auto" w:fill="auto"/>
            <w:noWrap/>
            <w:vAlign w:val="center"/>
          </w:tcPr>
          <w:p w14:paraId="6B279EB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98" w:type="pct"/>
            <w:shd w:val="clear" w:color="auto" w:fill="auto"/>
            <w:noWrap/>
            <w:vAlign w:val="center"/>
          </w:tcPr>
          <w:p w14:paraId="6A0055B3"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647" w:type="pct"/>
            <w:shd w:val="clear" w:color="auto" w:fill="auto"/>
            <w:noWrap/>
            <w:vAlign w:val="center"/>
          </w:tcPr>
          <w:p w14:paraId="29E4AD0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r>
    </w:tbl>
    <w:bookmarkEnd w:id="109"/>
    <w:p w14:paraId="5812E8B1"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2</w:t>
      </w:r>
      <w:r>
        <w:rPr>
          <w:rFonts w:ascii="Times New Roman" w:hAnsi="Times New Roman" w:cs="Times New Roman" w:hint="eastAsia"/>
          <w:lang w:bidi="ar"/>
        </w:rPr>
        <w:t>）营业成本预测</w:t>
      </w:r>
      <w:bookmarkEnd w:id="110"/>
      <w:bookmarkEnd w:id="111"/>
    </w:p>
    <w:p w14:paraId="6875C549"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bidi="ar"/>
        </w:rPr>
        <w:t>北洋天青主营业务历史各类产品的成本及毛利率情况如下所示：</w:t>
      </w:r>
    </w:p>
    <w:p w14:paraId="091E6C72"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36"/>
        <w:gridCol w:w="1616"/>
        <w:gridCol w:w="1616"/>
        <w:gridCol w:w="1737"/>
        <w:gridCol w:w="1617"/>
      </w:tblGrid>
      <w:tr w:rsidR="000A0ACD" w14:paraId="229827A7" w14:textId="77777777">
        <w:trPr>
          <w:trHeight w:val="397"/>
        </w:trPr>
        <w:tc>
          <w:tcPr>
            <w:tcW w:w="1136" w:type="pct"/>
            <w:vMerge w:val="restart"/>
            <w:shd w:val="clear" w:color="auto" w:fill="auto"/>
            <w:vAlign w:val="center"/>
          </w:tcPr>
          <w:p w14:paraId="6F330C9B" w14:textId="77777777" w:rsidR="000A0ACD" w:rsidRDefault="00362A99">
            <w:pPr>
              <w:keepNext/>
              <w:jc w:val="center"/>
              <w:rPr>
                <w:rFonts w:ascii="Times New Roman" w:hAnsi="Times New Roman" w:cs="Times New Roman"/>
                <w:b/>
                <w:bCs/>
                <w:sz w:val="21"/>
                <w:szCs w:val="21"/>
              </w:rPr>
            </w:pPr>
            <w:bookmarkStart w:id="112" w:name="_Hlk58529548"/>
            <w:r>
              <w:rPr>
                <w:rFonts w:ascii="Times New Roman" w:hAnsi="Times New Roman" w:cs="Times New Roman" w:hint="eastAsia"/>
                <w:b/>
                <w:bCs/>
                <w:sz w:val="21"/>
                <w:szCs w:val="21"/>
              </w:rPr>
              <w:t>合同分类</w:t>
            </w:r>
          </w:p>
        </w:tc>
        <w:tc>
          <w:tcPr>
            <w:tcW w:w="948" w:type="pct"/>
            <w:shd w:val="clear" w:color="auto" w:fill="auto"/>
            <w:vAlign w:val="center"/>
          </w:tcPr>
          <w:p w14:paraId="1477832F" w14:textId="77777777" w:rsidR="000A0ACD" w:rsidRDefault="00362A99">
            <w:pPr>
              <w:keepNext/>
              <w:jc w:val="center"/>
              <w:rPr>
                <w:rFonts w:ascii="Times New Roman" w:hAnsi="Times New Roman" w:cs="Times New Roman"/>
                <w:b/>
                <w:bCs/>
                <w:sz w:val="21"/>
                <w:szCs w:val="21"/>
              </w:rPr>
            </w:pPr>
            <w:r>
              <w:rPr>
                <w:rFonts w:ascii="Times New Roman" w:hAnsi="Times New Roman" w:cs="Times New Roman" w:hint="eastAsia"/>
                <w:b/>
                <w:bCs/>
                <w:sz w:val="21"/>
                <w:szCs w:val="21"/>
                <w:lang w:val="en-GB"/>
              </w:rPr>
              <w:t>2017</w:t>
            </w:r>
            <w:r>
              <w:rPr>
                <w:rFonts w:ascii="Times New Roman" w:hAnsi="Times New Roman" w:cs="Times New Roman" w:hint="eastAsia"/>
                <w:b/>
                <w:bCs/>
                <w:sz w:val="21"/>
                <w:szCs w:val="21"/>
                <w:lang w:val="en-GB"/>
              </w:rPr>
              <w:t>年度</w:t>
            </w:r>
          </w:p>
        </w:tc>
        <w:tc>
          <w:tcPr>
            <w:tcW w:w="948" w:type="pct"/>
            <w:shd w:val="clear" w:color="auto" w:fill="auto"/>
            <w:vAlign w:val="center"/>
          </w:tcPr>
          <w:p w14:paraId="47F052B4" w14:textId="77777777" w:rsidR="000A0ACD" w:rsidRDefault="00362A99">
            <w:pPr>
              <w:keepNext/>
              <w:jc w:val="center"/>
              <w:rPr>
                <w:rFonts w:ascii="Times New Roman" w:hAnsi="Times New Roman" w:cs="Times New Roman"/>
                <w:b/>
                <w:bCs/>
                <w:sz w:val="21"/>
                <w:szCs w:val="21"/>
              </w:rPr>
            </w:pPr>
            <w:r>
              <w:rPr>
                <w:rFonts w:ascii="Times New Roman" w:hAnsi="Times New Roman" w:cs="Times New Roman" w:hint="eastAsia"/>
                <w:b/>
                <w:bCs/>
                <w:sz w:val="21"/>
                <w:szCs w:val="21"/>
                <w:lang w:val="en-GB"/>
              </w:rPr>
              <w:t>2018</w:t>
            </w:r>
            <w:r>
              <w:rPr>
                <w:rFonts w:ascii="Times New Roman" w:hAnsi="Times New Roman" w:cs="Times New Roman" w:hint="eastAsia"/>
                <w:b/>
                <w:bCs/>
                <w:sz w:val="21"/>
                <w:szCs w:val="21"/>
                <w:lang w:val="en-GB"/>
              </w:rPr>
              <w:t>年度</w:t>
            </w:r>
          </w:p>
        </w:tc>
        <w:tc>
          <w:tcPr>
            <w:tcW w:w="1019" w:type="pct"/>
            <w:shd w:val="clear" w:color="auto" w:fill="auto"/>
            <w:vAlign w:val="center"/>
          </w:tcPr>
          <w:p w14:paraId="69A198CF" w14:textId="77777777" w:rsidR="000A0ACD" w:rsidRDefault="00362A99">
            <w:pPr>
              <w:keepNext/>
              <w:jc w:val="center"/>
              <w:rPr>
                <w:rFonts w:ascii="Times New Roman" w:hAnsi="Times New Roman" w:cs="Times New Roman"/>
                <w:b/>
                <w:bCs/>
                <w:sz w:val="21"/>
                <w:szCs w:val="21"/>
              </w:rPr>
            </w:pPr>
            <w:r>
              <w:rPr>
                <w:rFonts w:ascii="Times New Roman" w:hAnsi="Times New Roman" w:cs="Times New Roman" w:hint="eastAsia"/>
                <w:b/>
                <w:bCs/>
                <w:sz w:val="21"/>
                <w:szCs w:val="21"/>
                <w:lang w:val="en-GB"/>
              </w:rPr>
              <w:t>2019</w:t>
            </w:r>
            <w:r>
              <w:rPr>
                <w:rFonts w:ascii="Times New Roman" w:hAnsi="Times New Roman" w:cs="Times New Roman" w:hint="eastAsia"/>
                <w:b/>
                <w:bCs/>
                <w:sz w:val="21"/>
                <w:szCs w:val="21"/>
                <w:lang w:val="en-GB"/>
              </w:rPr>
              <w:t>年度</w:t>
            </w:r>
          </w:p>
        </w:tc>
        <w:tc>
          <w:tcPr>
            <w:tcW w:w="948" w:type="pct"/>
            <w:shd w:val="clear" w:color="auto" w:fill="auto"/>
            <w:vAlign w:val="center"/>
          </w:tcPr>
          <w:p w14:paraId="777019BC" w14:textId="77777777" w:rsidR="000A0ACD" w:rsidRDefault="00362A99">
            <w:pPr>
              <w:keepNext/>
              <w:jc w:val="center"/>
              <w:rPr>
                <w:rFonts w:ascii="Times New Roman" w:hAnsi="Times New Roman" w:cs="Times New Roman"/>
                <w:b/>
                <w:bCs/>
                <w:sz w:val="21"/>
                <w:szCs w:val="21"/>
              </w:rPr>
            </w:pPr>
            <w:r>
              <w:rPr>
                <w:rFonts w:ascii="Times New Roman" w:hAnsi="Times New Roman" w:cs="Times New Roman" w:hint="eastAsia"/>
                <w:b/>
                <w:bCs/>
                <w:sz w:val="21"/>
                <w:szCs w:val="21"/>
                <w:lang w:val="en-GB"/>
              </w:rPr>
              <w:t>2020</w:t>
            </w:r>
            <w:r>
              <w:rPr>
                <w:rFonts w:ascii="Times New Roman" w:hAnsi="Times New Roman" w:cs="Times New Roman" w:hint="eastAsia"/>
                <w:b/>
                <w:bCs/>
                <w:sz w:val="21"/>
                <w:szCs w:val="21"/>
                <w:lang w:val="en-GB"/>
              </w:rPr>
              <w:t>年</w:t>
            </w:r>
            <w:r>
              <w:rPr>
                <w:rFonts w:ascii="Times New Roman" w:hAnsi="Times New Roman" w:cs="Times New Roman" w:hint="eastAsia"/>
                <w:b/>
                <w:bCs/>
                <w:sz w:val="21"/>
                <w:szCs w:val="21"/>
                <w:lang w:val="en-GB"/>
              </w:rPr>
              <w:t>1-6</w:t>
            </w:r>
            <w:r>
              <w:rPr>
                <w:rFonts w:ascii="Times New Roman" w:hAnsi="Times New Roman" w:cs="Times New Roman" w:hint="eastAsia"/>
                <w:b/>
                <w:bCs/>
                <w:sz w:val="21"/>
                <w:szCs w:val="21"/>
                <w:lang w:val="en-GB"/>
              </w:rPr>
              <w:t>月</w:t>
            </w:r>
          </w:p>
        </w:tc>
      </w:tr>
      <w:tr w:rsidR="000A0ACD" w14:paraId="5D8740ED" w14:textId="77777777">
        <w:trPr>
          <w:trHeight w:val="397"/>
        </w:trPr>
        <w:tc>
          <w:tcPr>
            <w:tcW w:w="1136" w:type="pct"/>
            <w:vMerge/>
            <w:vAlign w:val="center"/>
          </w:tcPr>
          <w:p w14:paraId="4235E9F0" w14:textId="77777777" w:rsidR="000A0ACD" w:rsidRDefault="000A0ACD">
            <w:pPr>
              <w:jc w:val="center"/>
              <w:rPr>
                <w:rFonts w:ascii="Times New Roman" w:hAnsi="Times New Roman" w:cs="Times New Roman"/>
                <w:b/>
                <w:bCs/>
                <w:sz w:val="21"/>
                <w:szCs w:val="21"/>
              </w:rPr>
            </w:pPr>
          </w:p>
        </w:tc>
        <w:tc>
          <w:tcPr>
            <w:tcW w:w="3864" w:type="pct"/>
            <w:gridSpan w:val="4"/>
            <w:shd w:val="clear" w:color="auto" w:fill="auto"/>
            <w:vAlign w:val="center"/>
          </w:tcPr>
          <w:p w14:paraId="295C85D7"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主营业务成本</w:t>
            </w:r>
          </w:p>
        </w:tc>
      </w:tr>
      <w:tr w:rsidR="000A0ACD" w14:paraId="47606BA0" w14:textId="77777777">
        <w:trPr>
          <w:trHeight w:val="397"/>
        </w:trPr>
        <w:tc>
          <w:tcPr>
            <w:tcW w:w="1136" w:type="pct"/>
            <w:shd w:val="clear" w:color="auto" w:fill="auto"/>
            <w:vAlign w:val="center"/>
          </w:tcPr>
          <w:p w14:paraId="28D2AA4D"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948" w:type="pct"/>
            <w:shd w:val="clear" w:color="auto" w:fill="auto"/>
            <w:vAlign w:val="center"/>
          </w:tcPr>
          <w:p w14:paraId="34DC1C86"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2,447.82</w:t>
            </w:r>
          </w:p>
        </w:tc>
        <w:tc>
          <w:tcPr>
            <w:tcW w:w="948" w:type="pct"/>
            <w:shd w:val="clear" w:color="auto" w:fill="auto"/>
            <w:vAlign w:val="center"/>
          </w:tcPr>
          <w:p w14:paraId="7B3EFE44"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4,113.44</w:t>
            </w:r>
          </w:p>
        </w:tc>
        <w:tc>
          <w:tcPr>
            <w:tcW w:w="1019" w:type="pct"/>
            <w:shd w:val="clear" w:color="auto" w:fill="auto"/>
            <w:vAlign w:val="center"/>
          </w:tcPr>
          <w:p w14:paraId="3AAD82BF"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6,911.95</w:t>
            </w:r>
          </w:p>
        </w:tc>
        <w:tc>
          <w:tcPr>
            <w:tcW w:w="948" w:type="pct"/>
            <w:shd w:val="clear" w:color="auto" w:fill="auto"/>
            <w:vAlign w:val="center"/>
          </w:tcPr>
          <w:p w14:paraId="2D7D9F99"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2,873.98</w:t>
            </w:r>
          </w:p>
        </w:tc>
      </w:tr>
      <w:tr w:rsidR="000A0ACD" w14:paraId="62CA4E34" w14:textId="77777777">
        <w:trPr>
          <w:trHeight w:val="397"/>
        </w:trPr>
        <w:tc>
          <w:tcPr>
            <w:tcW w:w="1136" w:type="pct"/>
            <w:shd w:val="clear" w:color="auto" w:fill="auto"/>
            <w:vAlign w:val="center"/>
          </w:tcPr>
          <w:p w14:paraId="590DB80F"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948" w:type="pct"/>
            <w:shd w:val="clear" w:color="auto" w:fill="auto"/>
            <w:vAlign w:val="center"/>
          </w:tcPr>
          <w:p w14:paraId="7E5AF69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1,496.53</w:t>
            </w:r>
          </w:p>
        </w:tc>
        <w:tc>
          <w:tcPr>
            <w:tcW w:w="948" w:type="pct"/>
            <w:shd w:val="clear" w:color="auto" w:fill="auto"/>
            <w:vAlign w:val="center"/>
          </w:tcPr>
          <w:p w14:paraId="02B38C6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437.38</w:t>
            </w:r>
          </w:p>
        </w:tc>
        <w:tc>
          <w:tcPr>
            <w:tcW w:w="1019" w:type="pct"/>
            <w:shd w:val="clear" w:color="auto" w:fill="auto"/>
            <w:vAlign w:val="center"/>
          </w:tcPr>
          <w:p w14:paraId="3D1D004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5,620.31</w:t>
            </w:r>
          </w:p>
        </w:tc>
        <w:tc>
          <w:tcPr>
            <w:tcW w:w="948" w:type="pct"/>
            <w:shd w:val="clear" w:color="auto" w:fill="auto"/>
            <w:vAlign w:val="center"/>
          </w:tcPr>
          <w:p w14:paraId="1CA0E05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1,185.84</w:t>
            </w:r>
          </w:p>
        </w:tc>
      </w:tr>
      <w:tr w:rsidR="000A0ACD" w14:paraId="3E6684D7" w14:textId="77777777">
        <w:trPr>
          <w:trHeight w:val="397"/>
        </w:trPr>
        <w:tc>
          <w:tcPr>
            <w:tcW w:w="1136" w:type="pct"/>
            <w:shd w:val="clear" w:color="auto" w:fill="auto"/>
            <w:vAlign w:val="center"/>
          </w:tcPr>
          <w:p w14:paraId="06270560"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948" w:type="pct"/>
            <w:shd w:val="clear" w:color="auto" w:fill="auto"/>
            <w:vAlign w:val="center"/>
          </w:tcPr>
          <w:p w14:paraId="2205D73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951.29</w:t>
            </w:r>
          </w:p>
        </w:tc>
        <w:tc>
          <w:tcPr>
            <w:tcW w:w="948" w:type="pct"/>
            <w:shd w:val="clear" w:color="auto" w:fill="auto"/>
            <w:vAlign w:val="center"/>
          </w:tcPr>
          <w:p w14:paraId="551F352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3,676.06</w:t>
            </w:r>
          </w:p>
        </w:tc>
        <w:tc>
          <w:tcPr>
            <w:tcW w:w="1019" w:type="pct"/>
            <w:shd w:val="clear" w:color="auto" w:fill="auto"/>
            <w:vAlign w:val="center"/>
          </w:tcPr>
          <w:p w14:paraId="2947B60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1,291.64</w:t>
            </w:r>
          </w:p>
        </w:tc>
        <w:tc>
          <w:tcPr>
            <w:tcW w:w="948" w:type="pct"/>
            <w:shd w:val="clear" w:color="auto" w:fill="auto"/>
            <w:vAlign w:val="center"/>
          </w:tcPr>
          <w:p w14:paraId="3F1FB4C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1,688.14</w:t>
            </w:r>
          </w:p>
        </w:tc>
      </w:tr>
      <w:tr w:rsidR="000A0ACD" w14:paraId="39927CD6" w14:textId="77777777">
        <w:trPr>
          <w:trHeight w:val="397"/>
        </w:trPr>
        <w:tc>
          <w:tcPr>
            <w:tcW w:w="1136" w:type="pct"/>
            <w:vMerge w:val="restart"/>
            <w:shd w:val="clear" w:color="auto" w:fill="auto"/>
            <w:vAlign w:val="center"/>
          </w:tcPr>
          <w:p w14:paraId="7E030A70"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合同分类</w:t>
            </w:r>
          </w:p>
        </w:tc>
        <w:tc>
          <w:tcPr>
            <w:tcW w:w="948" w:type="pct"/>
            <w:shd w:val="clear" w:color="auto" w:fill="auto"/>
            <w:vAlign w:val="center"/>
          </w:tcPr>
          <w:p w14:paraId="55B45ED3"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2017</w:t>
            </w:r>
            <w:r>
              <w:rPr>
                <w:rFonts w:ascii="Times New Roman" w:hAnsi="Times New Roman" w:cs="Times New Roman" w:hint="eastAsia"/>
                <w:b/>
                <w:bCs/>
                <w:sz w:val="21"/>
                <w:szCs w:val="21"/>
              </w:rPr>
              <w:t>年度</w:t>
            </w:r>
          </w:p>
        </w:tc>
        <w:tc>
          <w:tcPr>
            <w:tcW w:w="948" w:type="pct"/>
            <w:shd w:val="clear" w:color="auto" w:fill="auto"/>
            <w:vAlign w:val="center"/>
          </w:tcPr>
          <w:p w14:paraId="03A6B37A"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年度</w:t>
            </w:r>
          </w:p>
        </w:tc>
        <w:tc>
          <w:tcPr>
            <w:tcW w:w="1019" w:type="pct"/>
            <w:shd w:val="clear" w:color="auto" w:fill="auto"/>
            <w:vAlign w:val="center"/>
          </w:tcPr>
          <w:p w14:paraId="2D3FF53C"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年度</w:t>
            </w:r>
          </w:p>
        </w:tc>
        <w:tc>
          <w:tcPr>
            <w:tcW w:w="948" w:type="pct"/>
            <w:shd w:val="clear" w:color="auto" w:fill="auto"/>
            <w:vAlign w:val="center"/>
          </w:tcPr>
          <w:p w14:paraId="09AFD531"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1-6</w:t>
            </w:r>
            <w:r>
              <w:rPr>
                <w:rFonts w:ascii="Times New Roman" w:hAnsi="Times New Roman" w:cs="Times New Roman" w:hint="eastAsia"/>
                <w:b/>
                <w:bCs/>
                <w:sz w:val="21"/>
                <w:szCs w:val="21"/>
              </w:rPr>
              <w:t>月</w:t>
            </w:r>
          </w:p>
        </w:tc>
      </w:tr>
      <w:tr w:rsidR="000A0ACD" w14:paraId="46070DCC" w14:textId="77777777">
        <w:trPr>
          <w:trHeight w:val="397"/>
        </w:trPr>
        <w:tc>
          <w:tcPr>
            <w:tcW w:w="1136" w:type="pct"/>
            <w:vMerge/>
            <w:vAlign w:val="center"/>
          </w:tcPr>
          <w:p w14:paraId="43CBF4E2" w14:textId="77777777" w:rsidR="000A0ACD" w:rsidRDefault="000A0ACD">
            <w:pPr>
              <w:rPr>
                <w:rFonts w:ascii="Times New Roman" w:hAnsi="Times New Roman" w:cs="Times New Roman"/>
                <w:b/>
                <w:bCs/>
                <w:sz w:val="21"/>
                <w:szCs w:val="21"/>
              </w:rPr>
            </w:pPr>
          </w:p>
        </w:tc>
        <w:tc>
          <w:tcPr>
            <w:tcW w:w="3864" w:type="pct"/>
            <w:gridSpan w:val="4"/>
            <w:shd w:val="clear" w:color="auto" w:fill="auto"/>
            <w:vAlign w:val="center"/>
          </w:tcPr>
          <w:p w14:paraId="027E6576"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毛利率</w:t>
            </w:r>
          </w:p>
        </w:tc>
      </w:tr>
      <w:tr w:rsidR="000A0ACD" w14:paraId="4DD626B1" w14:textId="77777777">
        <w:trPr>
          <w:trHeight w:val="397"/>
        </w:trPr>
        <w:tc>
          <w:tcPr>
            <w:tcW w:w="1136" w:type="pct"/>
            <w:shd w:val="clear" w:color="auto" w:fill="auto"/>
            <w:vAlign w:val="center"/>
          </w:tcPr>
          <w:p w14:paraId="17A93237"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948" w:type="pct"/>
            <w:shd w:val="clear" w:color="auto" w:fill="auto"/>
            <w:vAlign w:val="center"/>
          </w:tcPr>
          <w:p w14:paraId="50F83010"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27.9</w:t>
            </w:r>
            <w:r>
              <w:rPr>
                <w:rFonts w:ascii="Times New Roman" w:hAnsi="Times New Roman" w:cs="Times New Roman" w:hint="eastAsia"/>
                <w:b/>
                <w:bCs/>
                <w:sz w:val="21"/>
                <w:szCs w:val="21"/>
              </w:rPr>
              <w:t>5</w:t>
            </w:r>
            <w:r>
              <w:rPr>
                <w:rFonts w:ascii="Times New Roman" w:hAnsi="Times New Roman" w:cs="Times New Roman"/>
                <w:b/>
                <w:bCs/>
                <w:sz w:val="21"/>
                <w:szCs w:val="21"/>
              </w:rPr>
              <w:t>%</w:t>
            </w:r>
          </w:p>
        </w:tc>
        <w:tc>
          <w:tcPr>
            <w:tcW w:w="948" w:type="pct"/>
            <w:shd w:val="clear" w:color="auto" w:fill="auto"/>
            <w:vAlign w:val="center"/>
          </w:tcPr>
          <w:p w14:paraId="5C58A59C"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32.6</w:t>
            </w:r>
            <w:r>
              <w:rPr>
                <w:rFonts w:ascii="Times New Roman" w:hAnsi="Times New Roman" w:cs="Times New Roman" w:hint="eastAsia"/>
                <w:b/>
                <w:bCs/>
                <w:sz w:val="21"/>
                <w:szCs w:val="21"/>
              </w:rPr>
              <w:t>3</w:t>
            </w:r>
            <w:r>
              <w:rPr>
                <w:rFonts w:ascii="Times New Roman" w:hAnsi="Times New Roman" w:cs="Times New Roman"/>
                <w:b/>
                <w:bCs/>
                <w:sz w:val="21"/>
                <w:szCs w:val="21"/>
              </w:rPr>
              <w:t>%</w:t>
            </w:r>
          </w:p>
        </w:tc>
        <w:tc>
          <w:tcPr>
            <w:tcW w:w="1019" w:type="pct"/>
            <w:shd w:val="clear" w:color="auto" w:fill="auto"/>
            <w:vAlign w:val="center"/>
          </w:tcPr>
          <w:p w14:paraId="4FD63CAB"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33.</w:t>
            </w:r>
            <w:r>
              <w:rPr>
                <w:rFonts w:ascii="Times New Roman" w:hAnsi="Times New Roman" w:cs="Times New Roman" w:hint="eastAsia"/>
                <w:b/>
                <w:bCs/>
                <w:sz w:val="21"/>
                <w:szCs w:val="21"/>
              </w:rPr>
              <w:t>06</w:t>
            </w:r>
            <w:r>
              <w:rPr>
                <w:rFonts w:ascii="Times New Roman" w:hAnsi="Times New Roman" w:cs="Times New Roman"/>
                <w:b/>
                <w:bCs/>
                <w:sz w:val="21"/>
                <w:szCs w:val="21"/>
              </w:rPr>
              <w:t>%</w:t>
            </w:r>
          </w:p>
        </w:tc>
        <w:tc>
          <w:tcPr>
            <w:tcW w:w="948" w:type="pct"/>
            <w:shd w:val="clear" w:color="auto" w:fill="auto"/>
            <w:vAlign w:val="center"/>
          </w:tcPr>
          <w:p w14:paraId="68E254A5"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28.</w:t>
            </w:r>
            <w:r>
              <w:rPr>
                <w:rFonts w:ascii="Times New Roman" w:hAnsi="Times New Roman" w:cs="Times New Roman" w:hint="eastAsia"/>
                <w:b/>
                <w:bCs/>
                <w:sz w:val="21"/>
                <w:szCs w:val="21"/>
              </w:rPr>
              <w:t>8</w:t>
            </w:r>
            <w:r>
              <w:rPr>
                <w:rFonts w:ascii="Times New Roman" w:hAnsi="Times New Roman" w:cs="Times New Roman"/>
                <w:b/>
                <w:bCs/>
                <w:sz w:val="21"/>
                <w:szCs w:val="21"/>
              </w:rPr>
              <w:t>9%</w:t>
            </w:r>
          </w:p>
        </w:tc>
      </w:tr>
      <w:tr w:rsidR="000A0ACD" w14:paraId="21173984" w14:textId="77777777">
        <w:trPr>
          <w:trHeight w:val="397"/>
        </w:trPr>
        <w:tc>
          <w:tcPr>
            <w:tcW w:w="1136" w:type="pct"/>
            <w:shd w:val="clear" w:color="auto" w:fill="auto"/>
            <w:vAlign w:val="center"/>
          </w:tcPr>
          <w:p w14:paraId="2B972B98"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948" w:type="pct"/>
            <w:shd w:val="clear" w:color="auto" w:fill="auto"/>
            <w:vAlign w:val="center"/>
          </w:tcPr>
          <w:p w14:paraId="6170312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33.</w:t>
            </w:r>
            <w:r>
              <w:rPr>
                <w:rFonts w:ascii="Times New Roman" w:hAnsi="Times New Roman" w:cs="Times New Roman" w:hint="eastAsia"/>
                <w:sz w:val="21"/>
                <w:szCs w:val="21"/>
              </w:rPr>
              <w:t>39</w:t>
            </w:r>
            <w:r>
              <w:rPr>
                <w:rFonts w:ascii="Times New Roman" w:hAnsi="Times New Roman" w:cs="Times New Roman"/>
                <w:sz w:val="21"/>
                <w:szCs w:val="21"/>
              </w:rPr>
              <w:t>%</w:t>
            </w:r>
          </w:p>
        </w:tc>
        <w:tc>
          <w:tcPr>
            <w:tcW w:w="948" w:type="pct"/>
            <w:shd w:val="clear" w:color="auto" w:fill="auto"/>
            <w:vAlign w:val="center"/>
          </w:tcPr>
          <w:p w14:paraId="281A4AD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50.9</w:t>
            </w:r>
            <w:r>
              <w:rPr>
                <w:rFonts w:ascii="Times New Roman" w:hAnsi="Times New Roman" w:cs="Times New Roman" w:hint="eastAsia"/>
                <w:sz w:val="21"/>
                <w:szCs w:val="21"/>
              </w:rPr>
              <w:t>0</w:t>
            </w:r>
            <w:r>
              <w:rPr>
                <w:rFonts w:ascii="Times New Roman" w:hAnsi="Times New Roman" w:cs="Times New Roman"/>
                <w:sz w:val="21"/>
                <w:szCs w:val="21"/>
              </w:rPr>
              <w:t>%</w:t>
            </w:r>
          </w:p>
        </w:tc>
        <w:tc>
          <w:tcPr>
            <w:tcW w:w="1019" w:type="pct"/>
            <w:shd w:val="clear" w:color="auto" w:fill="auto"/>
            <w:vAlign w:val="center"/>
          </w:tcPr>
          <w:p w14:paraId="13B69B6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34.2</w:t>
            </w:r>
            <w:r>
              <w:rPr>
                <w:rFonts w:ascii="Times New Roman" w:hAnsi="Times New Roman" w:cs="Times New Roman" w:hint="eastAsia"/>
                <w:sz w:val="21"/>
                <w:szCs w:val="21"/>
              </w:rPr>
              <w:t>2</w:t>
            </w:r>
            <w:r>
              <w:rPr>
                <w:rFonts w:ascii="Times New Roman" w:hAnsi="Times New Roman" w:cs="Times New Roman"/>
                <w:sz w:val="21"/>
                <w:szCs w:val="21"/>
              </w:rPr>
              <w:t>%</w:t>
            </w:r>
          </w:p>
        </w:tc>
        <w:tc>
          <w:tcPr>
            <w:tcW w:w="948" w:type="pct"/>
            <w:shd w:val="clear" w:color="auto" w:fill="auto"/>
            <w:vAlign w:val="center"/>
          </w:tcPr>
          <w:p w14:paraId="5F74DB8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28.1</w:t>
            </w:r>
            <w:r>
              <w:rPr>
                <w:rFonts w:ascii="Times New Roman" w:hAnsi="Times New Roman" w:cs="Times New Roman" w:hint="eastAsia"/>
                <w:sz w:val="21"/>
                <w:szCs w:val="21"/>
              </w:rPr>
              <w:t>4</w:t>
            </w:r>
            <w:r>
              <w:rPr>
                <w:rFonts w:ascii="Times New Roman" w:hAnsi="Times New Roman" w:cs="Times New Roman"/>
                <w:sz w:val="21"/>
                <w:szCs w:val="21"/>
              </w:rPr>
              <w:t>%</w:t>
            </w:r>
          </w:p>
        </w:tc>
      </w:tr>
      <w:tr w:rsidR="000A0ACD" w14:paraId="17C007A9" w14:textId="77777777">
        <w:trPr>
          <w:trHeight w:val="397"/>
        </w:trPr>
        <w:tc>
          <w:tcPr>
            <w:tcW w:w="1136" w:type="pct"/>
            <w:shd w:val="clear" w:color="auto" w:fill="auto"/>
            <w:vAlign w:val="center"/>
          </w:tcPr>
          <w:p w14:paraId="13064483"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948" w:type="pct"/>
            <w:shd w:val="clear" w:color="auto" w:fill="auto"/>
            <w:vAlign w:val="center"/>
          </w:tcPr>
          <w:p w14:paraId="727F1AF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17.3</w:t>
            </w:r>
            <w:r>
              <w:rPr>
                <w:rFonts w:ascii="Times New Roman" w:hAnsi="Times New Roman" w:cs="Times New Roman" w:hint="eastAsia"/>
                <w:sz w:val="21"/>
                <w:szCs w:val="21"/>
              </w:rPr>
              <w:t>3</w:t>
            </w:r>
            <w:r>
              <w:rPr>
                <w:rFonts w:ascii="Times New Roman" w:hAnsi="Times New Roman" w:cs="Times New Roman"/>
                <w:sz w:val="21"/>
                <w:szCs w:val="21"/>
              </w:rPr>
              <w:t>%</w:t>
            </w:r>
          </w:p>
        </w:tc>
        <w:tc>
          <w:tcPr>
            <w:tcW w:w="948" w:type="pct"/>
            <w:shd w:val="clear" w:color="auto" w:fill="auto"/>
            <w:vAlign w:val="center"/>
          </w:tcPr>
          <w:p w14:paraId="113AA3F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29.5</w:t>
            </w:r>
            <w:r>
              <w:rPr>
                <w:rFonts w:ascii="Times New Roman" w:hAnsi="Times New Roman" w:cs="Times New Roman" w:hint="eastAsia"/>
                <w:sz w:val="21"/>
                <w:szCs w:val="21"/>
              </w:rPr>
              <w:t>1</w:t>
            </w:r>
            <w:r>
              <w:rPr>
                <w:rFonts w:ascii="Times New Roman" w:hAnsi="Times New Roman" w:cs="Times New Roman"/>
                <w:sz w:val="21"/>
                <w:szCs w:val="21"/>
              </w:rPr>
              <w:t>%</w:t>
            </w:r>
          </w:p>
        </w:tc>
        <w:tc>
          <w:tcPr>
            <w:tcW w:w="1019" w:type="pct"/>
            <w:shd w:val="clear" w:color="auto" w:fill="auto"/>
            <w:vAlign w:val="center"/>
          </w:tcPr>
          <w:p w14:paraId="11B0142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27.5</w:t>
            </w:r>
            <w:r>
              <w:rPr>
                <w:rFonts w:ascii="Times New Roman" w:hAnsi="Times New Roman" w:cs="Times New Roman" w:hint="eastAsia"/>
                <w:sz w:val="21"/>
                <w:szCs w:val="21"/>
              </w:rPr>
              <w:t>0</w:t>
            </w:r>
            <w:r>
              <w:rPr>
                <w:rFonts w:ascii="Times New Roman" w:hAnsi="Times New Roman" w:cs="Times New Roman"/>
                <w:sz w:val="21"/>
                <w:szCs w:val="21"/>
              </w:rPr>
              <w:t>%</w:t>
            </w:r>
          </w:p>
        </w:tc>
        <w:tc>
          <w:tcPr>
            <w:tcW w:w="948" w:type="pct"/>
            <w:shd w:val="clear" w:color="auto" w:fill="auto"/>
            <w:vAlign w:val="center"/>
          </w:tcPr>
          <w:p w14:paraId="2B02714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29.4</w:t>
            </w:r>
            <w:r>
              <w:rPr>
                <w:rFonts w:ascii="Times New Roman" w:hAnsi="Times New Roman" w:cs="Times New Roman" w:hint="eastAsia"/>
                <w:sz w:val="21"/>
                <w:szCs w:val="21"/>
              </w:rPr>
              <w:t>0</w:t>
            </w:r>
            <w:r>
              <w:rPr>
                <w:rFonts w:ascii="Times New Roman" w:hAnsi="Times New Roman" w:cs="Times New Roman"/>
                <w:sz w:val="21"/>
                <w:szCs w:val="21"/>
              </w:rPr>
              <w:t>%</w:t>
            </w:r>
          </w:p>
        </w:tc>
      </w:tr>
    </w:tbl>
    <w:bookmarkEnd w:id="112"/>
    <w:p w14:paraId="3CF29C96"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bidi="ar"/>
        </w:rPr>
        <w:t>主营业务成本由生产成本结转。生产成本包括直接材料、直接人工、制造费用，其中制造费具体可以分为厂房房租、水电费、折旧和摊销、物料消耗、劳保费等。</w:t>
      </w:r>
    </w:p>
    <w:p w14:paraId="426DF731"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bidi="ar"/>
        </w:rPr>
        <w:t>根据标的公司历史年度毛利情况可以看出，综合毛利呈逐年上升状态，主要是由于标的公司成立初期，为了打开市场，采取低价竞争以及承接机器人本体安装等毛利较低项目的方式获取订单，不断积累客户资源，通过多年客户积累以及产品质量和产品技术水平的提高，近年来标的公司产品综合毛利呈现出逐年上升趋势。</w:t>
      </w:r>
    </w:p>
    <w:p w14:paraId="0FB0DE55"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w:t>
      </w:r>
      <w:r>
        <w:rPr>
          <w:rFonts w:ascii="Times New Roman" w:hAnsi="Times New Roman" w:cs="Times New Roman"/>
          <w:bCs/>
          <w:color w:val="000000"/>
          <w:szCs w:val="21"/>
          <w:lang w:bidi="ar"/>
        </w:rPr>
        <w:t>1-6</w:t>
      </w:r>
      <w:r>
        <w:rPr>
          <w:rFonts w:ascii="Times New Roman" w:hAnsi="Times New Roman" w:cs="Times New Roman" w:hint="eastAsia"/>
          <w:bCs/>
          <w:color w:val="000000"/>
          <w:szCs w:val="21"/>
          <w:lang w:bidi="ar"/>
        </w:rPr>
        <w:t>月毛利降低，主要是受疫情及海外因素影响，下游客户高毛利订单的招投标工作推迟，已签约高毛利海外订单交货推迟，同时标的公司</w:t>
      </w:r>
      <w:r>
        <w:rPr>
          <w:rFonts w:ascii="Times New Roman" w:hAnsi="Times New Roman" w:cs="Times New Roman"/>
          <w:bCs/>
          <w:color w:val="000000"/>
          <w:szCs w:val="21"/>
          <w:lang w:bidi="ar"/>
        </w:rPr>
        <w:t>1-6</w:t>
      </w:r>
      <w:r>
        <w:rPr>
          <w:rFonts w:ascii="Times New Roman" w:hAnsi="Times New Roman" w:cs="Times New Roman" w:hint="eastAsia"/>
          <w:bCs/>
          <w:color w:val="000000"/>
          <w:szCs w:val="21"/>
          <w:lang w:bidi="ar"/>
        </w:rPr>
        <w:t>月份订单中低毛利订单占比较高导致。本次评估综合考虑标的公司未来产品结构调整及成本上涨因素，并结合</w:t>
      </w:r>
      <w:r>
        <w:rPr>
          <w:rFonts w:ascii="Times New Roman" w:hAnsi="Times New Roman" w:cs="Times New Roman"/>
          <w:bCs/>
          <w:color w:val="000000"/>
          <w:szCs w:val="21"/>
          <w:lang w:bidi="ar"/>
        </w:rPr>
        <w:t>2019</w:t>
      </w:r>
      <w:r>
        <w:rPr>
          <w:rFonts w:ascii="Times New Roman" w:hAnsi="Times New Roman" w:cs="Times New Roman" w:hint="eastAsia"/>
          <w:bCs/>
          <w:color w:val="000000"/>
          <w:szCs w:val="21"/>
          <w:lang w:bidi="ar"/>
        </w:rPr>
        <w:t>年、</w:t>
      </w: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年至评估报告出具体日在手订单综合毛利情况，以及</w:t>
      </w: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年在手订单预算毛利情况，预测未来年度企业毛利。</w:t>
      </w:r>
    </w:p>
    <w:p w14:paraId="0F4E19F4"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lang w:bidi="ar"/>
        </w:rPr>
        <w:t>综上，标的公司未来年度营业成本预测情况如下表：</w:t>
      </w:r>
    </w:p>
    <w:p w14:paraId="42466C86"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45"/>
        <w:gridCol w:w="1437"/>
        <w:gridCol w:w="972"/>
        <w:gridCol w:w="971"/>
        <w:gridCol w:w="971"/>
        <w:gridCol w:w="971"/>
        <w:gridCol w:w="971"/>
        <w:gridCol w:w="981"/>
      </w:tblGrid>
      <w:tr w:rsidR="000A0ACD" w14:paraId="491B8DB4" w14:textId="77777777">
        <w:trPr>
          <w:trHeight w:val="397"/>
          <w:tblHeader/>
        </w:trPr>
        <w:tc>
          <w:tcPr>
            <w:tcW w:w="730" w:type="pct"/>
            <w:vMerge w:val="restart"/>
            <w:shd w:val="clear" w:color="auto" w:fill="auto"/>
            <w:vAlign w:val="center"/>
          </w:tcPr>
          <w:p w14:paraId="22BE2414" w14:textId="77777777" w:rsidR="000A0ACD" w:rsidRDefault="00362A99">
            <w:pPr>
              <w:ind w:leftChars="-25" w:left="-60" w:rightChars="-25" w:right="-60"/>
              <w:jc w:val="center"/>
              <w:rPr>
                <w:rFonts w:ascii="Times New Roman" w:hAnsi="Times New Roman" w:cs="Times New Roman"/>
                <w:b/>
                <w:bCs/>
                <w:sz w:val="21"/>
                <w:szCs w:val="21"/>
              </w:rPr>
            </w:pPr>
            <w:bookmarkStart w:id="113" w:name="_Hlk58135716"/>
            <w:bookmarkStart w:id="114" w:name="_Toc161394623"/>
            <w:bookmarkStart w:id="115" w:name="_Toc163542855"/>
            <w:r>
              <w:rPr>
                <w:rFonts w:ascii="Times New Roman" w:hAnsi="Times New Roman" w:cs="Times New Roman" w:hint="eastAsia"/>
                <w:b/>
                <w:bCs/>
                <w:sz w:val="21"/>
                <w:szCs w:val="21"/>
              </w:rPr>
              <w:t>项目</w:t>
            </w:r>
          </w:p>
        </w:tc>
        <w:tc>
          <w:tcPr>
            <w:tcW w:w="4269" w:type="pct"/>
            <w:gridSpan w:val="7"/>
            <w:shd w:val="clear" w:color="auto" w:fill="auto"/>
            <w:noWrap/>
            <w:vAlign w:val="center"/>
          </w:tcPr>
          <w:p w14:paraId="737ACD1C"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未来年度营业成本预测数据</w:t>
            </w:r>
          </w:p>
        </w:tc>
      </w:tr>
      <w:tr w:rsidR="000A0ACD" w14:paraId="33DE9C16" w14:textId="77777777">
        <w:trPr>
          <w:trHeight w:val="397"/>
          <w:tblHeader/>
        </w:trPr>
        <w:tc>
          <w:tcPr>
            <w:tcW w:w="730" w:type="pct"/>
            <w:vMerge/>
            <w:vAlign w:val="center"/>
          </w:tcPr>
          <w:p w14:paraId="411806D6" w14:textId="77777777" w:rsidR="000A0ACD" w:rsidRDefault="000A0ACD">
            <w:pPr>
              <w:ind w:leftChars="-25" w:left="-60" w:rightChars="-25" w:right="-60"/>
              <w:rPr>
                <w:rFonts w:ascii="Times New Roman" w:hAnsi="Times New Roman" w:cs="Times New Roman"/>
                <w:b/>
                <w:bCs/>
                <w:sz w:val="21"/>
                <w:szCs w:val="21"/>
              </w:rPr>
            </w:pPr>
          </w:p>
        </w:tc>
        <w:tc>
          <w:tcPr>
            <w:tcW w:w="843" w:type="pct"/>
            <w:shd w:val="clear" w:color="auto" w:fill="auto"/>
            <w:noWrap/>
            <w:vAlign w:val="center"/>
          </w:tcPr>
          <w:p w14:paraId="51CB0E6B"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70" w:type="pct"/>
            <w:shd w:val="clear" w:color="auto" w:fill="auto"/>
            <w:noWrap/>
            <w:vAlign w:val="center"/>
          </w:tcPr>
          <w:p w14:paraId="75F4EE11"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2021</w:t>
            </w:r>
            <w:r>
              <w:rPr>
                <w:rFonts w:ascii="Times New Roman" w:hAnsi="Times New Roman" w:cs="Times New Roman" w:hint="eastAsia"/>
                <w:b/>
                <w:bCs/>
                <w:sz w:val="21"/>
                <w:szCs w:val="21"/>
              </w:rPr>
              <w:t>年度</w:t>
            </w:r>
          </w:p>
        </w:tc>
        <w:tc>
          <w:tcPr>
            <w:tcW w:w="570" w:type="pct"/>
            <w:shd w:val="clear" w:color="auto" w:fill="auto"/>
            <w:noWrap/>
            <w:vAlign w:val="center"/>
          </w:tcPr>
          <w:p w14:paraId="505E0227"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2022</w:t>
            </w:r>
            <w:r>
              <w:rPr>
                <w:rFonts w:ascii="Times New Roman" w:hAnsi="Times New Roman" w:cs="Times New Roman" w:hint="eastAsia"/>
                <w:b/>
                <w:bCs/>
                <w:sz w:val="21"/>
                <w:szCs w:val="21"/>
              </w:rPr>
              <w:t>年度</w:t>
            </w:r>
          </w:p>
        </w:tc>
        <w:tc>
          <w:tcPr>
            <w:tcW w:w="570" w:type="pct"/>
            <w:shd w:val="clear" w:color="auto" w:fill="auto"/>
            <w:noWrap/>
            <w:vAlign w:val="center"/>
          </w:tcPr>
          <w:p w14:paraId="4185754C"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2023</w:t>
            </w:r>
            <w:r>
              <w:rPr>
                <w:rFonts w:ascii="Times New Roman" w:hAnsi="Times New Roman" w:cs="Times New Roman" w:hint="eastAsia"/>
                <w:b/>
                <w:bCs/>
                <w:sz w:val="21"/>
                <w:szCs w:val="21"/>
              </w:rPr>
              <w:t>年度</w:t>
            </w:r>
          </w:p>
        </w:tc>
        <w:tc>
          <w:tcPr>
            <w:tcW w:w="570" w:type="pct"/>
            <w:shd w:val="clear" w:color="auto" w:fill="auto"/>
            <w:noWrap/>
            <w:vAlign w:val="center"/>
          </w:tcPr>
          <w:p w14:paraId="37F1CA5D"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2024</w:t>
            </w:r>
            <w:r>
              <w:rPr>
                <w:rFonts w:ascii="Times New Roman" w:hAnsi="Times New Roman" w:cs="Times New Roman" w:hint="eastAsia"/>
                <w:b/>
                <w:bCs/>
                <w:sz w:val="21"/>
                <w:szCs w:val="21"/>
              </w:rPr>
              <w:t>年度</w:t>
            </w:r>
          </w:p>
        </w:tc>
        <w:tc>
          <w:tcPr>
            <w:tcW w:w="570" w:type="pct"/>
            <w:shd w:val="clear" w:color="auto" w:fill="auto"/>
            <w:noWrap/>
            <w:vAlign w:val="center"/>
          </w:tcPr>
          <w:p w14:paraId="51ED1EE3"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2025</w:t>
            </w:r>
            <w:r>
              <w:rPr>
                <w:rFonts w:ascii="Times New Roman" w:hAnsi="Times New Roman" w:cs="Times New Roman" w:hint="eastAsia"/>
                <w:b/>
                <w:bCs/>
                <w:sz w:val="21"/>
                <w:szCs w:val="21"/>
              </w:rPr>
              <w:t>年度</w:t>
            </w:r>
          </w:p>
        </w:tc>
        <w:tc>
          <w:tcPr>
            <w:tcW w:w="573" w:type="pct"/>
            <w:shd w:val="clear" w:color="auto" w:fill="auto"/>
            <w:noWrap/>
            <w:vAlign w:val="center"/>
          </w:tcPr>
          <w:p w14:paraId="10C6C0C9"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0A0ACD" w14:paraId="037A21A5" w14:textId="77777777">
        <w:trPr>
          <w:trHeight w:val="397"/>
        </w:trPr>
        <w:tc>
          <w:tcPr>
            <w:tcW w:w="730" w:type="pct"/>
            <w:shd w:val="clear" w:color="auto" w:fill="auto"/>
            <w:vAlign w:val="center"/>
          </w:tcPr>
          <w:p w14:paraId="7E16D340"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营业成本</w:t>
            </w:r>
          </w:p>
        </w:tc>
        <w:tc>
          <w:tcPr>
            <w:tcW w:w="843" w:type="pct"/>
            <w:shd w:val="clear" w:color="auto" w:fill="auto"/>
            <w:noWrap/>
            <w:vAlign w:val="center"/>
          </w:tcPr>
          <w:p w14:paraId="4CB3479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6,835.47</w:t>
            </w:r>
          </w:p>
        </w:tc>
        <w:tc>
          <w:tcPr>
            <w:tcW w:w="570" w:type="pct"/>
            <w:shd w:val="clear" w:color="auto" w:fill="auto"/>
            <w:noWrap/>
            <w:vAlign w:val="center"/>
          </w:tcPr>
          <w:p w14:paraId="14CE6A1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19,304.50</w:t>
            </w:r>
          </w:p>
        </w:tc>
        <w:tc>
          <w:tcPr>
            <w:tcW w:w="570" w:type="pct"/>
            <w:shd w:val="clear" w:color="auto" w:fill="auto"/>
            <w:noWrap/>
            <w:vAlign w:val="center"/>
          </w:tcPr>
          <w:p w14:paraId="4DC9907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21,358.89</w:t>
            </w:r>
          </w:p>
        </w:tc>
        <w:tc>
          <w:tcPr>
            <w:tcW w:w="570" w:type="pct"/>
            <w:shd w:val="clear" w:color="auto" w:fill="auto"/>
            <w:noWrap/>
            <w:vAlign w:val="center"/>
          </w:tcPr>
          <w:p w14:paraId="48B8B67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22,961.40</w:t>
            </w:r>
          </w:p>
        </w:tc>
        <w:tc>
          <w:tcPr>
            <w:tcW w:w="570" w:type="pct"/>
            <w:shd w:val="clear" w:color="auto" w:fill="auto"/>
            <w:noWrap/>
            <w:vAlign w:val="center"/>
          </w:tcPr>
          <w:p w14:paraId="713DEA9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24,222.00</w:t>
            </w:r>
          </w:p>
        </w:tc>
        <w:tc>
          <w:tcPr>
            <w:tcW w:w="570" w:type="pct"/>
            <w:shd w:val="clear" w:color="auto" w:fill="auto"/>
            <w:noWrap/>
            <w:vAlign w:val="center"/>
          </w:tcPr>
          <w:p w14:paraId="6F5EB059"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c>
          <w:tcPr>
            <w:tcW w:w="573" w:type="pct"/>
            <w:shd w:val="clear" w:color="auto" w:fill="auto"/>
            <w:noWrap/>
            <w:vAlign w:val="center"/>
          </w:tcPr>
          <w:p w14:paraId="1EA0376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r>
      <w:tr w:rsidR="000A0ACD" w14:paraId="1018956C" w14:textId="77777777">
        <w:trPr>
          <w:trHeight w:val="397"/>
        </w:trPr>
        <w:tc>
          <w:tcPr>
            <w:tcW w:w="730" w:type="pct"/>
            <w:shd w:val="clear" w:color="auto" w:fill="auto"/>
            <w:vAlign w:val="center"/>
          </w:tcPr>
          <w:p w14:paraId="7F696565" w14:textId="77777777" w:rsidR="000A0ACD" w:rsidRDefault="00362A99">
            <w:pPr>
              <w:ind w:leftChars="-22" w:left="-53" w:rightChars="-25" w:right="-60"/>
              <w:rPr>
                <w:rFonts w:ascii="Times New Roman" w:hAnsi="Times New Roman" w:cs="Times New Roman"/>
                <w:sz w:val="21"/>
                <w:szCs w:val="21"/>
              </w:rPr>
            </w:pPr>
            <w:r>
              <w:rPr>
                <w:rFonts w:ascii="Times New Roman" w:hAnsi="Times New Roman" w:cs="Times New Roman" w:hint="eastAsia"/>
                <w:sz w:val="21"/>
                <w:szCs w:val="21"/>
              </w:rPr>
              <w:t>其中：定制化集成和机器人及配套</w:t>
            </w:r>
          </w:p>
        </w:tc>
        <w:tc>
          <w:tcPr>
            <w:tcW w:w="843" w:type="pct"/>
            <w:shd w:val="clear" w:color="auto" w:fill="auto"/>
            <w:noWrap/>
            <w:vAlign w:val="center"/>
          </w:tcPr>
          <w:p w14:paraId="0963C53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6,835.47</w:t>
            </w:r>
          </w:p>
        </w:tc>
        <w:tc>
          <w:tcPr>
            <w:tcW w:w="570" w:type="pct"/>
            <w:shd w:val="clear" w:color="auto" w:fill="auto"/>
            <w:noWrap/>
            <w:vAlign w:val="center"/>
          </w:tcPr>
          <w:p w14:paraId="53916349"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19,304.50</w:t>
            </w:r>
          </w:p>
        </w:tc>
        <w:tc>
          <w:tcPr>
            <w:tcW w:w="570" w:type="pct"/>
            <w:shd w:val="clear" w:color="auto" w:fill="auto"/>
            <w:noWrap/>
            <w:vAlign w:val="center"/>
          </w:tcPr>
          <w:p w14:paraId="0B9AC9F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21,358.89</w:t>
            </w:r>
          </w:p>
        </w:tc>
        <w:tc>
          <w:tcPr>
            <w:tcW w:w="570" w:type="pct"/>
            <w:shd w:val="clear" w:color="auto" w:fill="auto"/>
            <w:noWrap/>
            <w:vAlign w:val="center"/>
          </w:tcPr>
          <w:p w14:paraId="4C434939"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22,961.40</w:t>
            </w:r>
          </w:p>
        </w:tc>
        <w:tc>
          <w:tcPr>
            <w:tcW w:w="570" w:type="pct"/>
            <w:shd w:val="clear" w:color="auto" w:fill="auto"/>
            <w:noWrap/>
            <w:vAlign w:val="center"/>
          </w:tcPr>
          <w:p w14:paraId="4C5CDB89"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24,222.00</w:t>
            </w:r>
          </w:p>
        </w:tc>
        <w:tc>
          <w:tcPr>
            <w:tcW w:w="570" w:type="pct"/>
            <w:shd w:val="clear" w:color="auto" w:fill="auto"/>
            <w:noWrap/>
            <w:vAlign w:val="center"/>
          </w:tcPr>
          <w:p w14:paraId="215EE9B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c>
          <w:tcPr>
            <w:tcW w:w="573" w:type="pct"/>
            <w:shd w:val="clear" w:color="auto" w:fill="auto"/>
            <w:noWrap/>
            <w:vAlign w:val="center"/>
          </w:tcPr>
          <w:p w14:paraId="5138EE3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r>
    </w:tbl>
    <w:bookmarkEnd w:id="113"/>
    <w:p w14:paraId="1A28FBFF"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3</w:t>
      </w:r>
      <w:r>
        <w:rPr>
          <w:rFonts w:ascii="Times New Roman" w:hAnsi="Times New Roman" w:cs="Times New Roman" w:hint="eastAsia"/>
          <w:lang w:bidi="ar"/>
        </w:rPr>
        <w:t>）税金及附加预测</w:t>
      </w:r>
      <w:bookmarkEnd w:id="114"/>
      <w:bookmarkEnd w:id="115"/>
    </w:p>
    <w:p w14:paraId="31581C1C" w14:textId="77777777" w:rsidR="000A0ACD" w:rsidRDefault="00362A99">
      <w:pPr>
        <w:pStyle w:val="affffd"/>
        <w:spacing w:before="156"/>
        <w:ind w:firstLine="480"/>
        <w:rPr>
          <w:bCs/>
        </w:rPr>
      </w:pPr>
      <w:r>
        <w:rPr>
          <w:rFonts w:hint="eastAsia"/>
          <w:bCs/>
        </w:rPr>
        <w:t>北洋天青的税金及附加包括城市维护建设税、教育费附加和地方教育费附加、车船税及地方水利基金。</w:t>
      </w:r>
    </w:p>
    <w:p w14:paraId="1C3B3A09" w14:textId="77777777" w:rsidR="000A0ACD" w:rsidRDefault="00362A99">
      <w:pPr>
        <w:pStyle w:val="affffd"/>
        <w:spacing w:before="156"/>
        <w:ind w:firstLine="480"/>
        <w:rPr>
          <w:bCs/>
        </w:rPr>
      </w:pPr>
      <w:r>
        <w:rPr>
          <w:rFonts w:hint="eastAsia"/>
          <w:bCs/>
        </w:rPr>
        <w:t>以预测年度的营业收入为基础结合评估基准日适用的税率确定未来年度的税金及附加。</w:t>
      </w:r>
    </w:p>
    <w:p w14:paraId="272E3946" w14:textId="77777777" w:rsidR="000A0ACD" w:rsidRDefault="00362A99">
      <w:pPr>
        <w:pStyle w:val="affffd"/>
        <w:spacing w:before="156"/>
        <w:ind w:firstLine="480"/>
        <w:rPr>
          <w:bCs/>
        </w:rPr>
      </w:pPr>
      <w:r>
        <w:rPr>
          <w:rFonts w:hint="eastAsia"/>
          <w:bCs/>
        </w:rPr>
        <w:t>评估基准日北洋天青执行的税率详见下表：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67"/>
        <w:gridCol w:w="3422"/>
        <w:gridCol w:w="3133"/>
      </w:tblGrid>
      <w:tr w:rsidR="000A0ACD" w14:paraId="75241241" w14:textId="77777777">
        <w:trPr>
          <w:trHeight w:val="397"/>
          <w:tblHeader/>
        </w:trPr>
        <w:tc>
          <w:tcPr>
            <w:tcW w:w="1154" w:type="pct"/>
            <w:vAlign w:val="center"/>
          </w:tcPr>
          <w:p w14:paraId="3357E947" w14:textId="77777777" w:rsidR="000A0ACD" w:rsidRDefault="00362A99">
            <w:pPr>
              <w:jc w:val="center"/>
              <w:rPr>
                <w:rFonts w:ascii="Times New Roman" w:hAnsi="Times New Roman" w:cs="Times New Roman"/>
                <w:b/>
                <w:sz w:val="21"/>
                <w:szCs w:val="21"/>
              </w:rPr>
            </w:pPr>
            <w:bookmarkStart w:id="116" w:name="_Hlk48396962"/>
            <w:r>
              <w:rPr>
                <w:rFonts w:ascii="Times New Roman" w:hAnsi="Times New Roman" w:cs="Times New Roman" w:hint="eastAsia"/>
                <w:b/>
                <w:sz w:val="21"/>
                <w:szCs w:val="21"/>
              </w:rPr>
              <w:t>税种</w:t>
            </w:r>
          </w:p>
        </w:tc>
        <w:tc>
          <w:tcPr>
            <w:tcW w:w="2008" w:type="pct"/>
            <w:vAlign w:val="center"/>
          </w:tcPr>
          <w:p w14:paraId="4E9D2122" w14:textId="77777777" w:rsidR="000A0ACD" w:rsidRDefault="00362A99">
            <w:pPr>
              <w:jc w:val="center"/>
              <w:rPr>
                <w:rFonts w:ascii="Times New Roman" w:hAnsi="Times New Roman" w:cs="Times New Roman"/>
                <w:b/>
                <w:sz w:val="21"/>
                <w:szCs w:val="21"/>
              </w:rPr>
            </w:pPr>
            <w:r>
              <w:rPr>
                <w:rFonts w:ascii="Times New Roman" w:hAnsi="Times New Roman" w:cs="Times New Roman" w:hint="eastAsia"/>
                <w:b/>
                <w:sz w:val="21"/>
                <w:szCs w:val="21"/>
              </w:rPr>
              <w:t>计税依据</w:t>
            </w:r>
          </w:p>
        </w:tc>
        <w:tc>
          <w:tcPr>
            <w:tcW w:w="1838" w:type="pct"/>
            <w:vAlign w:val="center"/>
          </w:tcPr>
          <w:p w14:paraId="7D0CF51B" w14:textId="77777777" w:rsidR="000A0ACD" w:rsidRDefault="00362A99">
            <w:pPr>
              <w:jc w:val="center"/>
              <w:rPr>
                <w:rFonts w:ascii="Times New Roman" w:hAnsi="Times New Roman" w:cs="Times New Roman"/>
                <w:b/>
                <w:sz w:val="21"/>
                <w:szCs w:val="21"/>
              </w:rPr>
            </w:pPr>
            <w:r>
              <w:rPr>
                <w:rFonts w:ascii="Times New Roman" w:hAnsi="Times New Roman" w:cs="Times New Roman" w:hint="eastAsia"/>
                <w:b/>
                <w:sz w:val="21"/>
                <w:szCs w:val="21"/>
              </w:rPr>
              <w:t>税率</w:t>
            </w:r>
          </w:p>
        </w:tc>
      </w:tr>
      <w:tr w:rsidR="000A0ACD" w14:paraId="6F6CC111" w14:textId="77777777">
        <w:trPr>
          <w:trHeight w:val="397"/>
        </w:trPr>
        <w:tc>
          <w:tcPr>
            <w:tcW w:w="1154" w:type="pct"/>
            <w:vAlign w:val="center"/>
          </w:tcPr>
          <w:p w14:paraId="03DD34CA"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增值税</w:t>
            </w:r>
          </w:p>
        </w:tc>
        <w:tc>
          <w:tcPr>
            <w:tcW w:w="2008" w:type="pct"/>
            <w:vAlign w:val="center"/>
          </w:tcPr>
          <w:p w14:paraId="583ECF85"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应纳税增值额</w:t>
            </w:r>
          </w:p>
        </w:tc>
        <w:tc>
          <w:tcPr>
            <w:tcW w:w="1838" w:type="pct"/>
            <w:vAlign w:val="center"/>
          </w:tcPr>
          <w:p w14:paraId="7CAC0C9C"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13%</w:t>
            </w:r>
            <w:r>
              <w:rPr>
                <w:rFonts w:ascii="Times New Roman" w:hAnsi="Times New Roman" w:cs="Times New Roman" w:hint="eastAsia"/>
                <w:sz w:val="21"/>
                <w:szCs w:val="21"/>
              </w:rPr>
              <w:t>、</w:t>
            </w:r>
            <w:r>
              <w:rPr>
                <w:rFonts w:ascii="Times New Roman" w:hAnsi="Times New Roman" w:cs="Times New Roman" w:hint="eastAsia"/>
                <w:sz w:val="21"/>
                <w:szCs w:val="21"/>
              </w:rPr>
              <w:t>6%</w:t>
            </w:r>
            <w:r>
              <w:rPr>
                <w:rFonts w:ascii="Times New Roman" w:hAnsi="Times New Roman" w:cs="Times New Roman" w:hint="eastAsia"/>
                <w:sz w:val="21"/>
                <w:szCs w:val="21"/>
              </w:rPr>
              <w:t>（少部分收入）</w:t>
            </w:r>
          </w:p>
        </w:tc>
      </w:tr>
      <w:tr w:rsidR="000A0ACD" w14:paraId="48DA7854" w14:textId="77777777">
        <w:trPr>
          <w:trHeight w:val="397"/>
        </w:trPr>
        <w:tc>
          <w:tcPr>
            <w:tcW w:w="1154" w:type="pct"/>
            <w:vAlign w:val="center"/>
          </w:tcPr>
          <w:p w14:paraId="3A37A7E1"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城市维护建设税</w:t>
            </w:r>
          </w:p>
        </w:tc>
        <w:tc>
          <w:tcPr>
            <w:tcW w:w="2008" w:type="pct"/>
            <w:vAlign w:val="center"/>
          </w:tcPr>
          <w:p w14:paraId="0430429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应纳增值税额</w:t>
            </w:r>
          </w:p>
        </w:tc>
        <w:tc>
          <w:tcPr>
            <w:tcW w:w="1838" w:type="pct"/>
            <w:vAlign w:val="center"/>
          </w:tcPr>
          <w:p w14:paraId="4A76C117"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7%</w:t>
            </w:r>
          </w:p>
        </w:tc>
      </w:tr>
      <w:tr w:rsidR="000A0ACD" w14:paraId="25214D72" w14:textId="77777777">
        <w:trPr>
          <w:trHeight w:val="397"/>
        </w:trPr>
        <w:tc>
          <w:tcPr>
            <w:tcW w:w="1154" w:type="pct"/>
            <w:vAlign w:val="center"/>
          </w:tcPr>
          <w:p w14:paraId="00471AB7"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教育费附加</w:t>
            </w:r>
          </w:p>
        </w:tc>
        <w:tc>
          <w:tcPr>
            <w:tcW w:w="2008" w:type="pct"/>
            <w:vAlign w:val="center"/>
          </w:tcPr>
          <w:p w14:paraId="42D89D0C"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应纳增值税额</w:t>
            </w:r>
          </w:p>
        </w:tc>
        <w:tc>
          <w:tcPr>
            <w:tcW w:w="1838" w:type="pct"/>
            <w:vAlign w:val="center"/>
          </w:tcPr>
          <w:p w14:paraId="0B0DA28A"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5%</w:t>
            </w:r>
          </w:p>
        </w:tc>
      </w:tr>
      <w:tr w:rsidR="000A0ACD" w14:paraId="5A79F6E0" w14:textId="77777777">
        <w:trPr>
          <w:trHeight w:val="397"/>
        </w:trPr>
        <w:tc>
          <w:tcPr>
            <w:tcW w:w="1154" w:type="pct"/>
            <w:vAlign w:val="center"/>
          </w:tcPr>
          <w:p w14:paraId="09A4C291"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企业所得税</w:t>
            </w:r>
          </w:p>
        </w:tc>
        <w:tc>
          <w:tcPr>
            <w:tcW w:w="2008" w:type="pct"/>
            <w:vAlign w:val="center"/>
          </w:tcPr>
          <w:p w14:paraId="10C8F857"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应纳税所得额</w:t>
            </w:r>
          </w:p>
        </w:tc>
        <w:tc>
          <w:tcPr>
            <w:tcW w:w="1838" w:type="pct"/>
            <w:vAlign w:val="center"/>
          </w:tcPr>
          <w:p w14:paraId="08EBD5E9"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15%</w:t>
            </w:r>
          </w:p>
        </w:tc>
      </w:tr>
      <w:tr w:rsidR="000A0ACD" w14:paraId="15D6856C" w14:textId="77777777">
        <w:trPr>
          <w:trHeight w:val="397"/>
        </w:trPr>
        <w:tc>
          <w:tcPr>
            <w:tcW w:w="1154" w:type="pct"/>
            <w:vAlign w:val="center"/>
          </w:tcPr>
          <w:p w14:paraId="1400E82A"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地方水利基金</w:t>
            </w:r>
          </w:p>
        </w:tc>
        <w:tc>
          <w:tcPr>
            <w:tcW w:w="2008" w:type="pct"/>
            <w:vAlign w:val="center"/>
          </w:tcPr>
          <w:p w14:paraId="01D73F3F"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应纳税增值额</w:t>
            </w:r>
          </w:p>
        </w:tc>
        <w:tc>
          <w:tcPr>
            <w:tcW w:w="1838" w:type="pct"/>
            <w:vAlign w:val="center"/>
          </w:tcPr>
          <w:p w14:paraId="39A1F8E7"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0.5%</w:t>
            </w:r>
          </w:p>
        </w:tc>
      </w:tr>
    </w:tbl>
    <w:bookmarkEnd w:id="116"/>
    <w:p w14:paraId="61C93FFF"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lang w:bidi="ar"/>
        </w:rPr>
        <w:t>未来年度税金及附加见下表：</w:t>
      </w:r>
    </w:p>
    <w:p w14:paraId="00A90995"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51"/>
        <w:gridCol w:w="1322"/>
        <w:gridCol w:w="923"/>
        <w:gridCol w:w="922"/>
        <w:gridCol w:w="922"/>
        <w:gridCol w:w="922"/>
        <w:gridCol w:w="922"/>
        <w:gridCol w:w="922"/>
      </w:tblGrid>
      <w:tr w:rsidR="000A0ACD" w14:paraId="69AFDF47" w14:textId="77777777">
        <w:trPr>
          <w:trHeight w:val="397"/>
          <w:tblHeader/>
        </w:trPr>
        <w:tc>
          <w:tcPr>
            <w:tcW w:w="872" w:type="pct"/>
            <w:shd w:val="clear" w:color="auto" w:fill="auto"/>
            <w:noWrap/>
            <w:vAlign w:val="center"/>
          </w:tcPr>
          <w:p w14:paraId="6FE15AD7" w14:textId="77777777" w:rsidR="000A0ACD" w:rsidRDefault="00362A99">
            <w:pPr>
              <w:jc w:val="center"/>
              <w:rPr>
                <w:rFonts w:ascii="Times New Roman" w:hAnsi="Times New Roman" w:cs="Times New Roman"/>
                <w:b/>
                <w:bCs/>
                <w:sz w:val="21"/>
                <w:szCs w:val="21"/>
              </w:rPr>
            </w:pPr>
            <w:bookmarkStart w:id="117" w:name="_Toc163542856"/>
            <w:r>
              <w:rPr>
                <w:rFonts w:ascii="Times New Roman" w:hAnsi="Times New Roman" w:cs="Times New Roman" w:hint="eastAsia"/>
                <w:b/>
                <w:bCs/>
                <w:sz w:val="21"/>
                <w:szCs w:val="21"/>
              </w:rPr>
              <w:t>项目</w:t>
            </w:r>
          </w:p>
        </w:tc>
        <w:tc>
          <w:tcPr>
            <w:tcW w:w="794" w:type="pct"/>
            <w:shd w:val="clear" w:color="auto" w:fill="auto"/>
            <w:noWrap/>
            <w:vAlign w:val="center"/>
          </w:tcPr>
          <w:p w14:paraId="3366CF69"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55" w:type="pct"/>
            <w:shd w:val="clear" w:color="auto" w:fill="auto"/>
            <w:noWrap/>
            <w:vAlign w:val="center"/>
          </w:tcPr>
          <w:p w14:paraId="0A2FC457"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c>
          <w:tcPr>
            <w:tcW w:w="555" w:type="pct"/>
            <w:shd w:val="clear" w:color="auto" w:fill="auto"/>
            <w:noWrap/>
            <w:vAlign w:val="center"/>
          </w:tcPr>
          <w:p w14:paraId="658C053C"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2022</w:t>
            </w:r>
            <w:r>
              <w:rPr>
                <w:rFonts w:ascii="Times New Roman" w:hAnsi="Times New Roman" w:cs="Times New Roman" w:hint="eastAsia"/>
                <w:b/>
                <w:bCs/>
                <w:sz w:val="21"/>
                <w:szCs w:val="21"/>
              </w:rPr>
              <w:t>年</w:t>
            </w:r>
          </w:p>
        </w:tc>
        <w:tc>
          <w:tcPr>
            <w:tcW w:w="555" w:type="pct"/>
            <w:shd w:val="clear" w:color="auto" w:fill="auto"/>
            <w:noWrap/>
            <w:vAlign w:val="center"/>
          </w:tcPr>
          <w:p w14:paraId="47B1C183"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2023</w:t>
            </w:r>
            <w:r>
              <w:rPr>
                <w:rFonts w:ascii="Times New Roman" w:hAnsi="Times New Roman" w:cs="Times New Roman" w:hint="eastAsia"/>
                <w:b/>
                <w:bCs/>
                <w:sz w:val="21"/>
                <w:szCs w:val="21"/>
              </w:rPr>
              <w:t>年</w:t>
            </w:r>
          </w:p>
        </w:tc>
        <w:tc>
          <w:tcPr>
            <w:tcW w:w="555" w:type="pct"/>
            <w:shd w:val="clear" w:color="auto" w:fill="auto"/>
            <w:noWrap/>
            <w:vAlign w:val="center"/>
          </w:tcPr>
          <w:p w14:paraId="09599BF4"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2024</w:t>
            </w:r>
            <w:r>
              <w:rPr>
                <w:rFonts w:ascii="Times New Roman" w:hAnsi="Times New Roman" w:cs="Times New Roman" w:hint="eastAsia"/>
                <w:b/>
                <w:bCs/>
                <w:sz w:val="21"/>
                <w:szCs w:val="21"/>
              </w:rPr>
              <w:t>年</w:t>
            </w:r>
          </w:p>
        </w:tc>
        <w:tc>
          <w:tcPr>
            <w:tcW w:w="555" w:type="pct"/>
            <w:shd w:val="clear" w:color="auto" w:fill="auto"/>
            <w:noWrap/>
            <w:vAlign w:val="center"/>
          </w:tcPr>
          <w:p w14:paraId="4DC09F8E"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2025</w:t>
            </w:r>
            <w:r>
              <w:rPr>
                <w:rFonts w:ascii="Times New Roman" w:hAnsi="Times New Roman" w:cs="Times New Roman" w:hint="eastAsia"/>
                <w:b/>
                <w:bCs/>
                <w:sz w:val="21"/>
                <w:szCs w:val="21"/>
              </w:rPr>
              <w:t>年</w:t>
            </w:r>
          </w:p>
        </w:tc>
        <w:tc>
          <w:tcPr>
            <w:tcW w:w="555" w:type="pct"/>
            <w:shd w:val="clear" w:color="auto" w:fill="auto"/>
            <w:noWrap/>
            <w:vAlign w:val="center"/>
          </w:tcPr>
          <w:p w14:paraId="71B5E219"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0A0ACD" w14:paraId="0CEE9128" w14:textId="77777777">
        <w:trPr>
          <w:trHeight w:val="397"/>
        </w:trPr>
        <w:tc>
          <w:tcPr>
            <w:tcW w:w="872" w:type="pct"/>
            <w:shd w:val="clear" w:color="auto" w:fill="auto"/>
            <w:noWrap/>
            <w:vAlign w:val="center"/>
          </w:tcPr>
          <w:p w14:paraId="1B158CEC"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城建税</w:t>
            </w:r>
          </w:p>
        </w:tc>
        <w:tc>
          <w:tcPr>
            <w:tcW w:w="794" w:type="pct"/>
            <w:shd w:val="clear" w:color="auto" w:fill="auto"/>
            <w:noWrap/>
            <w:vAlign w:val="center"/>
          </w:tcPr>
          <w:p w14:paraId="24CC035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35.45</w:t>
            </w:r>
          </w:p>
        </w:tc>
        <w:tc>
          <w:tcPr>
            <w:tcW w:w="555" w:type="pct"/>
            <w:shd w:val="clear" w:color="auto" w:fill="auto"/>
            <w:noWrap/>
            <w:vAlign w:val="center"/>
          </w:tcPr>
          <w:p w14:paraId="41A7FC2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81.79</w:t>
            </w:r>
          </w:p>
        </w:tc>
        <w:tc>
          <w:tcPr>
            <w:tcW w:w="555" w:type="pct"/>
            <w:shd w:val="clear" w:color="auto" w:fill="auto"/>
            <w:noWrap/>
            <w:vAlign w:val="center"/>
          </w:tcPr>
          <w:p w14:paraId="6480B00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90.62</w:t>
            </w:r>
          </w:p>
        </w:tc>
        <w:tc>
          <w:tcPr>
            <w:tcW w:w="555" w:type="pct"/>
            <w:shd w:val="clear" w:color="auto" w:fill="auto"/>
            <w:noWrap/>
            <w:vAlign w:val="center"/>
          </w:tcPr>
          <w:p w14:paraId="37ED797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97.50</w:t>
            </w:r>
          </w:p>
        </w:tc>
        <w:tc>
          <w:tcPr>
            <w:tcW w:w="555" w:type="pct"/>
            <w:shd w:val="clear" w:color="auto" w:fill="auto"/>
            <w:noWrap/>
            <w:vAlign w:val="center"/>
          </w:tcPr>
          <w:p w14:paraId="2C59DFA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102.92</w:t>
            </w:r>
          </w:p>
        </w:tc>
        <w:tc>
          <w:tcPr>
            <w:tcW w:w="555" w:type="pct"/>
            <w:shd w:val="clear" w:color="auto" w:fill="auto"/>
            <w:noWrap/>
            <w:vAlign w:val="center"/>
          </w:tcPr>
          <w:p w14:paraId="0EE5516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106.04</w:t>
            </w:r>
          </w:p>
        </w:tc>
        <w:tc>
          <w:tcPr>
            <w:tcW w:w="555" w:type="pct"/>
            <w:shd w:val="clear" w:color="auto" w:fill="auto"/>
            <w:noWrap/>
            <w:vAlign w:val="center"/>
          </w:tcPr>
          <w:p w14:paraId="0E70801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106.04</w:t>
            </w:r>
          </w:p>
        </w:tc>
      </w:tr>
      <w:tr w:rsidR="000A0ACD" w14:paraId="750A5277" w14:textId="77777777">
        <w:trPr>
          <w:trHeight w:val="397"/>
        </w:trPr>
        <w:tc>
          <w:tcPr>
            <w:tcW w:w="872" w:type="pct"/>
            <w:shd w:val="clear" w:color="auto" w:fill="auto"/>
            <w:noWrap/>
            <w:vAlign w:val="center"/>
          </w:tcPr>
          <w:p w14:paraId="374351BF"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教育费附加</w:t>
            </w:r>
          </w:p>
        </w:tc>
        <w:tc>
          <w:tcPr>
            <w:tcW w:w="794" w:type="pct"/>
            <w:shd w:val="clear" w:color="auto" w:fill="auto"/>
            <w:noWrap/>
            <w:vAlign w:val="center"/>
          </w:tcPr>
          <w:p w14:paraId="2CA3D84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25.32</w:t>
            </w:r>
          </w:p>
        </w:tc>
        <w:tc>
          <w:tcPr>
            <w:tcW w:w="555" w:type="pct"/>
            <w:shd w:val="clear" w:color="auto" w:fill="auto"/>
            <w:noWrap/>
            <w:vAlign w:val="center"/>
          </w:tcPr>
          <w:p w14:paraId="24AD68C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58.42</w:t>
            </w:r>
          </w:p>
        </w:tc>
        <w:tc>
          <w:tcPr>
            <w:tcW w:w="555" w:type="pct"/>
            <w:shd w:val="clear" w:color="auto" w:fill="auto"/>
            <w:noWrap/>
            <w:vAlign w:val="center"/>
          </w:tcPr>
          <w:p w14:paraId="2B9A32C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64.73</w:t>
            </w:r>
          </w:p>
        </w:tc>
        <w:tc>
          <w:tcPr>
            <w:tcW w:w="555" w:type="pct"/>
            <w:shd w:val="clear" w:color="auto" w:fill="auto"/>
            <w:noWrap/>
            <w:vAlign w:val="center"/>
          </w:tcPr>
          <w:p w14:paraId="5599C50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69.64</w:t>
            </w:r>
          </w:p>
        </w:tc>
        <w:tc>
          <w:tcPr>
            <w:tcW w:w="555" w:type="pct"/>
            <w:shd w:val="clear" w:color="auto" w:fill="auto"/>
            <w:noWrap/>
            <w:vAlign w:val="center"/>
          </w:tcPr>
          <w:p w14:paraId="07281F6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73.51</w:t>
            </w:r>
          </w:p>
        </w:tc>
        <w:tc>
          <w:tcPr>
            <w:tcW w:w="555" w:type="pct"/>
            <w:shd w:val="clear" w:color="auto" w:fill="auto"/>
            <w:noWrap/>
            <w:vAlign w:val="center"/>
          </w:tcPr>
          <w:p w14:paraId="294A141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75.74</w:t>
            </w:r>
          </w:p>
        </w:tc>
        <w:tc>
          <w:tcPr>
            <w:tcW w:w="555" w:type="pct"/>
            <w:shd w:val="clear" w:color="auto" w:fill="auto"/>
            <w:noWrap/>
            <w:vAlign w:val="center"/>
          </w:tcPr>
          <w:p w14:paraId="19F2072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75.74</w:t>
            </w:r>
          </w:p>
        </w:tc>
      </w:tr>
      <w:tr w:rsidR="000A0ACD" w14:paraId="247B8764" w14:textId="77777777">
        <w:trPr>
          <w:trHeight w:val="397"/>
        </w:trPr>
        <w:tc>
          <w:tcPr>
            <w:tcW w:w="872" w:type="pct"/>
            <w:shd w:val="clear" w:color="auto" w:fill="auto"/>
            <w:noWrap/>
            <w:vAlign w:val="center"/>
          </w:tcPr>
          <w:p w14:paraId="280A8882"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印花税</w:t>
            </w:r>
          </w:p>
        </w:tc>
        <w:tc>
          <w:tcPr>
            <w:tcW w:w="794" w:type="pct"/>
            <w:shd w:val="clear" w:color="auto" w:fill="auto"/>
            <w:noWrap/>
            <w:vAlign w:val="center"/>
          </w:tcPr>
          <w:p w14:paraId="37239EA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3.50</w:t>
            </w:r>
          </w:p>
        </w:tc>
        <w:tc>
          <w:tcPr>
            <w:tcW w:w="555" w:type="pct"/>
            <w:shd w:val="clear" w:color="auto" w:fill="auto"/>
            <w:noWrap/>
            <w:vAlign w:val="center"/>
          </w:tcPr>
          <w:p w14:paraId="6C89FB5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8.77</w:t>
            </w:r>
          </w:p>
        </w:tc>
        <w:tc>
          <w:tcPr>
            <w:tcW w:w="555" w:type="pct"/>
            <w:shd w:val="clear" w:color="auto" w:fill="auto"/>
            <w:noWrap/>
            <w:vAlign w:val="center"/>
          </w:tcPr>
          <w:p w14:paraId="047C9C9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9.71</w:t>
            </w:r>
          </w:p>
        </w:tc>
        <w:tc>
          <w:tcPr>
            <w:tcW w:w="555" w:type="pct"/>
            <w:shd w:val="clear" w:color="auto" w:fill="auto"/>
            <w:noWrap/>
            <w:vAlign w:val="center"/>
          </w:tcPr>
          <w:p w14:paraId="3B9102A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10.44</w:t>
            </w:r>
          </w:p>
        </w:tc>
        <w:tc>
          <w:tcPr>
            <w:tcW w:w="555" w:type="pct"/>
            <w:shd w:val="clear" w:color="auto" w:fill="auto"/>
            <w:noWrap/>
            <w:vAlign w:val="center"/>
          </w:tcPr>
          <w:p w14:paraId="4520D0A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11.01</w:t>
            </w:r>
          </w:p>
        </w:tc>
        <w:tc>
          <w:tcPr>
            <w:tcW w:w="555" w:type="pct"/>
            <w:shd w:val="clear" w:color="auto" w:fill="auto"/>
            <w:noWrap/>
            <w:vAlign w:val="center"/>
          </w:tcPr>
          <w:p w14:paraId="16F0C79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11.34</w:t>
            </w:r>
          </w:p>
        </w:tc>
        <w:tc>
          <w:tcPr>
            <w:tcW w:w="555" w:type="pct"/>
            <w:shd w:val="clear" w:color="auto" w:fill="auto"/>
            <w:noWrap/>
            <w:vAlign w:val="center"/>
          </w:tcPr>
          <w:p w14:paraId="2E26E06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11.34</w:t>
            </w:r>
          </w:p>
        </w:tc>
      </w:tr>
      <w:tr w:rsidR="000A0ACD" w14:paraId="7C769459" w14:textId="77777777">
        <w:trPr>
          <w:trHeight w:val="397"/>
        </w:trPr>
        <w:tc>
          <w:tcPr>
            <w:tcW w:w="872" w:type="pct"/>
            <w:shd w:val="clear" w:color="auto" w:fill="auto"/>
            <w:noWrap/>
            <w:vAlign w:val="center"/>
          </w:tcPr>
          <w:p w14:paraId="3205D51B"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车船税</w:t>
            </w:r>
          </w:p>
        </w:tc>
        <w:tc>
          <w:tcPr>
            <w:tcW w:w="794" w:type="pct"/>
            <w:shd w:val="clear" w:color="auto" w:fill="auto"/>
            <w:noWrap/>
            <w:vAlign w:val="center"/>
          </w:tcPr>
          <w:p w14:paraId="24CD351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0.23</w:t>
            </w:r>
          </w:p>
        </w:tc>
        <w:tc>
          <w:tcPr>
            <w:tcW w:w="555" w:type="pct"/>
            <w:shd w:val="clear" w:color="auto" w:fill="auto"/>
            <w:noWrap/>
            <w:vAlign w:val="center"/>
          </w:tcPr>
          <w:p w14:paraId="6F7B7E3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0.52</w:t>
            </w:r>
          </w:p>
        </w:tc>
        <w:tc>
          <w:tcPr>
            <w:tcW w:w="555" w:type="pct"/>
            <w:shd w:val="clear" w:color="auto" w:fill="auto"/>
            <w:noWrap/>
            <w:vAlign w:val="center"/>
          </w:tcPr>
          <w:p w14:paraId="6FA6C8C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0.52</w:t>
            </w:r>
          </w:p>
        </w:tc>
        <w:tc>
          <w:tcPr>
            <w:tcW w:w="555" w:type="pct"/>
            <w:shd w:val="clear" w:color="auto" w:fill="auto"/>
            <w:noWrap/>
            <w:vAlign w:val="center"/>
          </w:tcPr>
          <w:p w14:paraId="6C71FD7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0.52</w:t>
            </w:r>
          </w:p>
        </w:tc>
        <w:tc>
          <w:tcPr>
            <w:tcW w:w="555" w:type="pct"/>
            <w:shd w:val="clear" w:color="auto" w:fill="auto"/>
            <w:noWrap/>
            <w:vAlign w:val="center"/>
          </w:tcPr>
          <w:p w14:paraId="6C15C9D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0.52</w:t>
            </w:r>
          </w:p>
        </w:tc>
        <w:tc>
          <w:tcPr>
            <w:tcW w:w="555" w:type="pct"/>
            <w:shd w:val="clear" w:color="auto" w:fill="auto"/>
            <w:noWrap/>
            <w:vAlign w:val="center"/>
          </w:tcPr>
          <w:p w14:paraId="1AEC666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0.52</w:t>
            </w:r>
          </w:p>
        </w:tc>
        <w:tc>
          <w:tcPr>
            <w:tcW w:w="555" w:type="pct"/>
            <w:shd w:val="clear" w:color="auto" w:fill="auto"/>
            <w:noWrap/>
            <w:vAlign w:val="center"/>
          </w:tcPr>
          <w:p w14:paraId="7A21C45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0.52</w:t>
            </w:r>
          </w:p>
        </w:tc>
      </w:tr>
      <w:tr w:rsidR="000A0ACD" w14:paraId="023C2C87" w14:textId="77777777">
        <w:trPr>
          <w:trHeight w:val="397"/>
        </w:trPr>
        <w:tc>
          <w:tcPr>
            <w:tcW w:w="872" w:type="pct"/>
            <w:shd w:val="clear" w:color="auto" w:fill="auto"/>
            <w:noWrap/>
            <w:vAlign w:val="center"/>
          </w:tcPr>
          <w:p w14:paraId="6C260AA6"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水利基金</w:t>
            </w:r>
          </w:p>
        </w:tc>
        <w:tc>
          <w:tcPr>
            <w:tcW w:w="794" w:type="pct"/>
            <w:shd w:val="clear" w:color="auto" w:fill="auto"/>
            <w:noWrap/>
            <w:vAlign w:val="center"/>
          </w:tcPr>
          <w:p w14:paraId="0A7366F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2.53</w:t>
            </w:r>
          </w:p>
        </w:tc>
        <w:tc>
          <w:tcPr>
            <w:tcW w:w="555" w:type="pct"/>
            <w:shd w:val="clear" w:color="auto" w:fill="auto"/>
            <w:noWrap/>
            <w:vAlign w:val="center"/>
          </w:tcPr>
          <w:p w14:paraId="0840B69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5.84</w:t>
            </w:r>
          </w:p>
        </w:tc>
        <w:tc>
          <w:tcPr>
            <w:tcW w:w="555" w:type="pct"/>
            <w:shd w:val="clear" w:color="auto" w:fill="auto"/>
            <w:noWrap/>
            <w:vAlign w:val="center"/>
          </w:tcPr>
          <w:p w14:paraId="35A8A70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6.47</w:t>
            </w:r>
          </w:p>
        </w:tc>
        <w:tc>
          <w:tcPr>
            <w:tcW w:w="555" w:type="pct"/>
            <w:shd w:val="clear" w:color="auto" w:fill="auto"/>
            <w:noWrap/>
            <w:vAlign w:val="center"/>
          </w:tcPr>
          <w:p w14:paraId="221D776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6.96</w:t>
            </w:r>
          </w:p>
        </w:tc>
        <w:tc>
          <w:tcPr>
            <w:tcW w:w="555" w:type="pct"/>
            <w:shd w:val="clear" w:color="auto" w:fill="auto"/>
            <w:noWrap/>
            <w:vAlign w:val="center"/>
          </w:tcPr>
          <w:p w14:paraId="5F7AE13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7.35</w:t>
            </w:r>
          </w:p>
        </w:tc>
        <w:tc>
          <w:tcPr>
            <w:tcW w:w="555" w:type="pct"/>
            <w:shd w:val="clear" w:color="auto" w:fill="auto"/>
            <w:noWrap/>
            <w:vAlign w:val="center"/>
          </w:tcPr>
          <w:p w14:paraId="081FE92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7.57</w:t>
            </w:r>
          </w:p>
        </w:tc>
        <w:tc>
          <w:tcPr>
            <w:tcW w:w="555" w:type="pct"/>
            <w:shd w:val="clear" w:color="auto" w:fill="auto"/>
            <w:noWrap/>
            <w:vAlign w:val="center"/>
          </w:tcPr>
          <w:p w14:paraId="4B40710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7.57</w:t>
            </w:r>
          </w:p>
        </w:tc>
      </w:tr>
      <w:tr w:rsidR="000A0ACD" w14:paraId="1444A290" w14:textId="77777777">
        <w:trPr>
          <w:trHeight w:val="397"/>
        </w:trPr>
        <w:tc>
          <w:tcPr>
            <w:tcW w:w="872" w:type="pct"/>
            <w:shd w:val="clear" w:color="auto" w:fill="auto"/>
            <w:noWrap/>
            <w:vAlign w:val="center"/>
          </w:tcPr>
          <w:p w14:paraId="5984DF81"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税金及附加</w:t>
            </w:r>
          </w:p>
        </w:tc>
        <w:tc>
          <w:tcPr>
            <w:tcW w:w="794" w:type="pct"/>
            <w:shd w:val="clear" w:color="auto" w:fill="auto"/>
            <w:noWrap/>
            <w:vAlign w:val="center"/>
          </w:tcPr>
          <w:p w14:paraId="597F350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67.03</w:t>
            </w:r>
          </w:p>
        </w:tc>
        <w:tc>
          <w:tcPr>
            <w:tcW w:w="555" w:type="pct"/>
            <w:shd w:val="clear" w:color="auto" w:fill="auto"/>
            <w:noWrap/>
            <w:vAlign w:val="center"/>
          </w:tcPr>
          <w:p w14:paraId="0021296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155.36</w:t>
            </w:r>
          </w:p>
        </w:tc>
        <w:tc>
          <w:tcPr>
            <w:tcW w:w="555" w:type="pct"/>
            <w:shd w:val="clear" w:color="auto" w:fill="auto"/>
            <w:noWrap/>
            <w:vAlign w:val="center"/>
          </w:tcPr>
          <w:p w14:paraId="133D22B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172.05</w:t>
            </w:r>
          </w:p>
        </w:tc>
        <w:tc>
          <w:tcPr>
            <w:tcW w:w="555" w:type="pct"/>
            <w:shd w:val="clear" w:color="auto" w:fill="auto"/>
            <w:noWrap/>
            <w:vAlign w:val="center"/>
          </w:tcPr>
          <w:p w14:paraId="2B68997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185.07</w:t>
            </w:r>
          </w:p>
        </w:tc>
        <w:tc>
          <w:tcPr>
            <w:tcW w:w="555" w:type="pct"/>
            <w:shd w:val="clear" w:color="auto" w:fill="auto"/>
            <w:noWrap/>
            <w:vAlign w:val="center"/>
          </w:tcPr>
          <w:p w14:paraId="66D48F8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195.31</w:t>
            </w:r>
          </w:p>
        </w:tc>
        <w:tc>
          <w:tcPr>
            <w:tcW w:w="555" w:type="pct"/>
            <w:shd w:val="clear" w:color="auto" w:fill="auto"/>
            <w:noWrap/>
            <w:vAlign w:val="center"/>
          </w:tcPr>
          <w:p w14:paraId="03921E0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201.21</w:t>
            </w:r>
          </w:p>
        </w:tc>
        <w:tc>
          <w:tcPr>
            <w:tcW w:w="555" w:type="pct"/>
            <w:shd w:val="clear" w:color="auto" w:fill="auto"/>
            <w:noWrap/>
            <w:vAlign w:val="center"/>
          </w:tcPr>
          <w:p w14:paraId="1796EE67"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201.21</w:t>
            </w:r>
          </w:p>
        </w:tc>
      </w:tr>
    </w:tbl>
    <w:p w14:paraId="281D2A2F"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4</w:t>
      </w:r>
      <w:r>
        <w:rPr>
          <w:rFonts w:ascii="Times New Roman" w:hAnsi="Times New Roman" w:cs="Times New Roman" w:hint="eastAsia"/>
          <w:lang w:bidi="ar"/>
        </w:rPr>
        <w:t>）销售费用预测</w:t>
      </w:r>
      <w:bookmarkEnd w:id="117"/>
    </w:p>
    <w:p w14:paraId="01E80593" w14:textId="77777777" w:rsidR="000A0ACD" w:rsidRDefault="00362A99">
      <w:pPr>
        <w:pStyle w:val="affffd"/>
        <w:spacing w:before="156"/>
        <w:ind w:firstLine="480"/>
        <w:rPr>
          <w:bCs/>
        </w:rPr>
      </w:pPr>
      <w:r>
        <w:rPr>
          <w:rFonts w:hint="eastAsia"/>
          <w:bCs/>
        </w:rPr>
        <w:t>销售费用主要为销售人员的职工薪酬（含社保和公积金）、服务费、售后维护费、运输费、招待费、折旧费、办公费、差旅费、展览费和广告费以及其他费用。评估人员对各类费用分别预测如下：</w:t>
      </w:r>
    </w:p>
    <w:p w14:paraId="3D2A8A3B" w14:textId="77777777" w:rsidR="000A0ACD" w:rsidRDefault="00362A99">
      <w:pPr>
        <w:pStyle w:val="affffd"/>
        <w:spacing w:before="156"/>
        <w:ind w:firstLine="480"/>
        <w:rPr>
          <w:bCs/>
        </w:rPr>
      </w:pPr>
      <w:r>
        <w:rPr>
          <w:rFonts w:hint="eastAsia"/>
          <w:bCs/>
        </w:rPr>
        <w:t>销售人员职工薪酬包括人员工资和根据人员工资计提的社保等。人员工资是公司营运过程中产生的销售部门人员的工资奖金，根据历史的人员工资水平，结合标的公司的人事发展策略，通过预测未来年度的销售业务人员人数和人均月工资确定预测期的人员工资；社会保险根据人员工资计提的各类社保和公积金。评估人员在分析历史年度各项保险费用的计提比例和实际支付情况后，以预测的人员工资为基础，预测未来年度的保险费。</w:t>
      </w:r>
    </w:p>
    <w:p w14:paraId="2405CB42" w14:textId="77777777" w:rsidR="000A0ACD" w:rsidRDefault="00362A99">
      <w:pPr>
        <w:pStyle w:val="affffd"/>
        <w:spacing w:before="156"/>
        <w:ind w:firstLine="480"/>
        <w:rPr>
          <w:bCs/>
        </w:rPr>
      </w:pPr>
      <w:r>
        <w:rPr>
          <w:rFonts w:hint="eastAsia"/>
          <w:bCs/>
        </w:rPr>
        <w:t>对折旧摊销，遵循了企业执行的一贯会计政策，按照预测年度的实际固定资产规模，采用直线法计提。永续年度按年折旧额确定资本性支出，同时确定当年的折旧费用。销售费用中的折旧摊销金额按照历史年度平均占全部折旧摊销金额比例确定。</w:t>
      </w:r>
    </w:p>
    <w:p w14:paraId="0D537AF2" w14:textId="77777777" w:rsidR="000A0ACD" w:rsidRDefault="00362A99">
      <w:pPr>
        <w:pStyle w:val="affffd"/>
        <w:spacing w:before="156"/>
        <w:ind w:firstLine="480"/>
        <w:rPr>
          <w:bCs/>
        </w:rPr>
      </w:pPr>
      <w:r>
        <w:rPr>
          <w:rFonts w:hint="eastAsia"/>
          <w:bCs/>
        </w:rPr>
        <w:t>对于其他销售费用，评估人员根据各项费用在历史年度中的支付水平，以企业发展规模和收入增长情况为基础，参考企业历史年度的费用发生额确定合理的增长比率预测未来年度中的相应费用。</w:t>
      </w:r>
    </w:p>
    <w:p w14:paraId="56A052D4" w14:textId="77777777" w:rsidR="000A0ACD" w:rsidRDefault="00362A99">
      <w:pPr>
        <w:pStyle w:val="affffd"/>
        <w:spacing w:before="156"/>
        <w:ind w:firstLine="480"/>
        <w:rPr>
          <w:bCs/>
        </w:rPr>
      </w:pPr>
      <w:r>
        <w:rPr>
          <w:rFonts w:hint="eastAsia"/>
          <w:bCs/>
        </w:rPr>
        <w:t>因此未来年度销售费用预测情况如下表：</w:t>
      </w:r>
    </w:p>
    <w:p w14:paraId="5F9682B4"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68"/>
        <w:gridCol w:w="1520"/>
        <w:gridCol w:w="861"/>
        <w:gridCol w:w="861"/>
        <w:gridCol w:w="903"/>
        <w:gridCol w:w="903"/>
        <w:gridCol w:w="903"/>
        <w:gridCol w:w="903"/>
      </w:tblGrid>
      <w:tr w:rsidR="000A0ACD" w14:paraId="586175D5" w14:textId="77777777">
        <w:trPr>
          <w:trHeight w:val="397"/>
          <w:tblHeader/>
        </w:trPr>
        <w:tc>
          <w:tcPr>
            <w:tcW w:w="1024" w:type="pct"/>
            <w:vMerge w:val="restart"/>
            <w:shd w:val="clear" w:color="auto" w:fill="auto"/>
            <w:vAlign w:val="center"/>
          </w:tcPr>
          <w:p w14:paraId="2C211E9D" w14:textId="77777777" w:rsidR="000A0ACD" w:rsidRDefault="00362A99">
            <w:pPr>
              <w:jc w:val="center"/>
              <w:rPr>
                <w:rFonts w:ascii="Times New Roman" w:hAnsi="Times New Roman" w:cs="Times New Roman"/>
                <w:b/>
                <w:bCs/>
                <w:spacing w:val="-6"/>
                <w:sz w:val="21"/>
                <w:szCs w:val="21"/>
              </w:rPr>
            </w:pPr>
            <w:bookmarkStart w:id="118" w:name="_Toc163542857"/>
            <w:bookmarkStart w:id="119" w:name="_Toc161394624"/>
            <w:r>
              <w:rPr>
                <w:rFonts w:ascii="Times New Roman" w:hAnsi="Times New Roman" w:cs="Times New Roman" w:hint="eastAsia"/>
                <w:b/>
                <w:bCs/>
                <w:spacing w:val="-6"/>
                <w:sz w:val="21"/>
                <w:szCs w:val="21"/>
              </w:rPr>
              <w:t>费用明细项</w:t>
            </w:r>
          </w:p>
        </w:tc>
        <w:tc>
          <w:tcPr>
            <w:tcW w:w="3976" w:type="pct"/>
            <w:gridSpan w:val="7"/>
            <w:shd w:val="clear" w:color="auto" w:fill="auto"/>
            <w:noWrap/>
            <w:vAlign w:val="center"/>
          </w:tcPr>
          <w:p w14:paraId="0DA0441B"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未来年度销售费用预测数据</w:t>
            </w:r>
          </w:p>
        </w:tc>
      </w:tr>
      <w:tr w:rsidR="000A0ACD" w14:paraId="213B1F90" w14:textId="77777777">
        <w:trPr>
          <w:trHeight w:val="397"/>
          <w:tblHeader/>
        </w:trPr>
        <w:tc>
          <w:tcPr>
            <w:tcW w:w="1024" w:type="pct"/>
            <w:vMerge/>
            <w:shd w:val="clear" w:color="auto" w:fill="auto"/>
            <w:vAlign w:val="center"/>
          </w:tcPr>
          <w:p w14:paraId="2DF244CC" w14:textId="77777777" w:rsidR="000A0ACD" w:rsidRDefault="000A0ACD">
            <w:pPr>
              <w:rPr>
                <w:rFonts w:ascii="Times New Roman" w:hAnsi="Times New Roman" w:cs="Times New Roman"/>
                <w:b/>
                <w:bCs/>
                <w:spacing w:val="-6"/>
                <w:sz w:val="21"/>
                <w:szCs w:val="21"/>
              </w:rPr>
            </w:pPr>
          </w:p>
        </w:tc>
        <w:tc>
          <w:tcPr>
            <w:tcW w:w="765" w:type="pct"/>
            <w:shd w:val="clear" w:color="auto" w:fill="auto"/>
            <w:noWrap/>
            <w:vAlign w:val="center"/>
          </w:tcPr>
          <w:p w14:paraId="42460679"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2020</w:t>
            </w:r>
            <w:r>
              <w:rPr>
                <w:rFonts w:ascii="Times New Roman" w:hAnsi="Times New Roman" w:cs="Times New Roman" w:hint="eastAsia"/>
                <w:b/>
                <w:bCs/>
                <w:spacing w:val="-6"/>
                <w:sz w:val="21"/>
                <w:szCs w:val="21"/>
              </w:rPr>
              <w:t>年</w:t>
            </w:r>
            <w:r>
              <w:rPr>
                <w:rFonts w:ascii="Times New Roman" w:hAnsi="Times New Roman" w:cs="Times New Roman" w:hint="eastAsia"/>
                <w:b/>
                <w:bCs/>
                <w:spacing w:val="-6"/>
                <w:sz w:val="21"/>
                <w:szCs w:val="21"/>
              </w:rPr>
              <w:t>7-12</w:t>
            </w:r>
            <w:r>
              <w:rPr>
                <w:rFonts w:ascii="Times New Roman" w:hAnsi="Times New Roman" w:cs="Times New Roman" w:hint="eastAsia"/>
                <w:b/>
                <w:bCs/>
                <w:spacing w:val="-6"/>
                <w:sz w:val="21"/>
                <w:szCs w:val="21"/>
              </w:rPr>
              <w:t>月</w:t>
            </w:r>
          </w:p>
        </w:tc>
        <w:tc>
          <w:tcPr>
            <w:tcW w:w="518" w:type="pct"/>
            <w:shd w:val="clear" w:color="auto" w:fill="auto"/>
            <w:noWrap/>
            <w:vAlign w:val="center"/>
          </w:tcPr>
          <w:p w14:paraId="13732AEC"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2021</w:t>
            </w:r>
            <w:r>
              <w:rPr>
                <w:rFonts w:ascii="Times New Roman" w:hAnsi="Times New Roman" w:cs="Times New Roman" w:hint="eastAsia"/>
                <w:b/>
                <w:bCs/>
                <w:spacing w:val="-6"/>
                <w:sz w:val="21"/>
                <w:szCs w:val="21"/>
              </w:rPr>
              <w:t>年</w:t>
            </w:r>
          </w:p>
        </w:tc>
        <w:tc>
          <w:tcPr>
            <w:tcW w:w="518" w:type="pct"/>
            <w:shd w:val="clear" w:color="auto" w:fill="auto"/>
            <w:noWrap/>
            <w:vAlign w:val="center"/>
          </w:tcPr>
          <w:p w14:paraId="444266D7"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2022</w:t>
            </w:r>
            <w:r>
              <w:rPr>
                <w:rFonts w:ascii="Times New Roman" w:hAnsi="Times New Roman" w:cs="Times New Roman" w:hint="eastAsia"/>
                <w:b/>
                <w:bCs/>
                <w:spacing w:val="-6"/>
                <w:sz w:val="21"/>
                <w:szCs w:val="21"/>
              </w:rPr>
              <w:t>年</w:t>
            </w:r>
          </w:p>
        </w:tc>
        <w:tc>
          <w:tcPr>
            <w:tcW w:w="544" w:type="pct"/>
            <w:shd w:val="clear" w:color="auto" w:fill="auto"/>
            <w:noWrap/>
            <w:vAlign w:val="center"/>
          </w:tcPr>
          <w:p w14:paraId="42702E68"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2023</w:t>
            </w:r>
            <w:r>
              <w:rPr>
                <w:rFonts w:ascii="Times New Roman" w:hAnsi="Times New Roman" w:cs="Times New Roman" w:hint="eastAsia"/>
                <w:b/>
                <w:bCs/>
                <w:spacing w:val="-6"/>
                <w:sz w:val="21"/>
                <w:szCs w:val="21"/>
              </w:rPr>
              <w:t>年</w:t>
            </w:r>
          </w:p>
        </w:tc>
        <w:tc>
          <w:tcPr>
            <w:tcW w:w="544" w:type="pct"/>
            <w:shd w:val="clear" w:color="auto" w:fill="auto"/>
            <w:noWrap/>
            <w:vAlign w:val="center"/>
          </w:tcPr>
          <w:p w14:paraId="64B11FA0"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2024</w:t>
            </w:r>
            <w:r>
              <w:rPr>
                <w:rFonts w:ascii="Times New Roman" w:hAnsi="Times New Roman" w:cs="Times New Roman" w:hint="eastAsia"/>
                <w:b/>
                <w:bCs/>
                <w:spacing w:val="-6"/>
                <w:sz w:val="21"/>
                <w:szCs w:val="21"/>
              </w:rPr>
              <w:t>年</w:t>
            </w:r>
          </w:p>
        </w:tc>
        <w:tc>
          <w:tcPr>
            <w:tcW w:w="544" w:type="pct"/>
            <w:shd w:val="clear" w:color="auto" w:fill="auto"/>
            <w:noWrap/>
            <w:vAlign w:val="center"/>
          </w:tcPr>
          <w:p w14:paraId="7A1720C7"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2025</w:t>
            </w:r>
            <w:r>
              <w:rPr>
                <w:rFonts w:ascii="Times New Roman" w:hAnsi="Times New Roman" w:cs="Times New Roman" w:hint="eastAsia"/>
                <w:b/>
                <w:bCs/>
                <w:spacing w:val="-6"/>
                <w:sz w:val="21"/>
                <w:szCs w:val="21"/>
              </w:rPr>
              <w:t>年</w:t>
            </w:r>
          </w:p>
        </w:tc>
        <w:tc>
          <w:tcPr>
            <w:tcW w:w="544" w:type="pct"/>
            <w:shd w:val="clear" w:color="auto" w:fill="auto"/>
            <w:noWrap/>
            <w:vAlign w:val="center"/>
          </w:tcPr>
          <w:p w14:paraId="64516275"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稳定期</w:t>
            </w:r>
          </w:p>
        </w:tc>
      </w:tr>
      <w:tr w:rsidR="000A0ACD" w14:paraId="388C3626" w14:textId="77777777">
        <w:trPr>
          <w:trHeight w:val="397"/>
        </w:trPr>
        <w:tc>
          <w:tcPr>
            <w:tcW w:w="1024" w:type="pct"/>
            <w:shd w:val="clear" w:color="auto" w:fill="auto"/>
            <w:vAlign w:val="center"/>
          </w:tcPr>
          <w:p w14:paraId="743690DB"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服务费</w:t>
            </w:r>
          </w:p>
        </w:tc>
        <w:tc>
          <w:tcPr>
            <w:tcW w:w="765" w:type="pct"/>
            <w:shd w:val="clear" w:color="auto" w:fill="auto"/>
            <w:noWrap/>
            <w:vAlign w:val="center"/>
          </w:tcPr>
          <w:p w14:paraId="6C600E94"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124.55</w:t>
            </w:r>
          </w:p>
        </w:tc>
        <w:tc>
          <w:tcPr>
            <w:tcW w:w="518" w:type="pct"/>
            <w:shd w:val="clear" w:color="auto" w:fill="auto"/>
            <w:noWrap/>
            <w:vAlign w:val="center"/>
          </w:tcPr>
          <w:p w14:paraId="3C1C28B2"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257.57</w:t>
            </w:r>
          </w:p>
        </w:tc>
        <w:tc>
          <w:tcPr>
            <w:tcW w:w="518" w:type="pct"/>
            <w:shd w:val="clear" w:color="auto" w:fill="auto"/>
            <w:noWrap/>
            <w:vAlign w:val="center"/>
          </w:tcPr>
          <w:p w14:paraId="1F5201EB"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284.98</w:t>
            </w:r>
          </w:p>
        </w:tc>
        <w:tc>
          <w:tcPr>
            <w:tcW w:w="544" w:type="pct"/>
            <w:shd w:val="clear" w:color="auto" w:fill="auto"/>
            <w:noWrap/>
            <w:vAlign w:val="center"/>
          </w:tcPr>
          <w:p w14:paraId="2820524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306.36</w:t>
            </w:r>
          </w:p>
        </w:tc>
        <w:tc>
          <w:tcPr>
            <w:tcW w:w="544" w:type="pct"/>
            <w:shd w:val="clear" w:color="auto" w:fill="auto"/>
            <w:noWrap/>
            <w:vAlign w:val="center"/>
          </w:tcPr>
          <w:p w14:paraId="7B00AF86"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323.18</w:t>
            </w:r>
          </w:p>
        </w:tc>
        <w:tc>
          <w:tcPr>
            <w:tcW w:w="544" w:type="pct"/>
            <w:shd w:val="clear" w:color="auto" w:fill="auto"/>
            <w:noWrap/>
            <w:vAlign w:val="center"/>
          </w:tcPr>
          <w:p w14:paraId="645AAA0E"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332.87</w:t>
            </w:r>
          </w:p>
        </w:tc>
        <w:tc>
          <w:tcPr>
            <w:tcW w:w="544" w:type="pct"/>
            <w:shd w:val="clear" w:color="auto" w:fill="auto"/>
            <w:noWrap/>
            <w:vAlign w:val="center"/>
          </w:tcPr>
          <w:p w14:paraId="053AB707"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332.87</w:t>
            </w:r>
          </w:p>
        </w:tc>
      </w:tr>
      <w:tr w:rsidR="000A0ACD" w14:paraId="5CCA3337" w14:textId="77777777">
        <w:trPr>
          <w:trHeight w:val="397"/>
        </w:trPr>
        <w:tc>
          <w:tcPr>
            <w:tcW w:w="1024" w:type="pct"/>
            <w:shd w:val="clear" w:color="auto" w:fill="auto"/>
            <w:vAlign w:val="center"/>
          </w:tcPr>
          <w:p w14:paraId="760628E4"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职工薪酬</w:t>
            </w:r>
          </w:p>
        </w:tc>
        <w:tc>
          <w:tcPr>
            <w:tcW w:w="765" w:type="pct"/>
            <w:shd w:val="clear" w:color="auto" w:fill="auto"/>
            <w:noWrap/>
            <w:vAlign w:val="center"/>
          </w:tcPr>
          <w:p w14:paraId="655BB1E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56.43</w:t>
            </w:r>
          </w:p>
        </w:tc>
        <w:tc>
          <w:tcPr>
            <w:tcW w:w="518" w:type="pct"/>
            <w:shd w:val="clear" w:color="auto" w:fill="auto"/>
            <w:noWrap/>
            <w:vAlign w:val="center"/>
          </w:tcPr>
          <w:p w14:paraId="09C4ED86"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141.66</w:t>
            </w:r>
          </w:p>
        </w:tc>
        <w:tc>
          <w:tcPr>
            <w:tcW w:w="518" w:type="pct"/>
            <w:shd w:val="clear" w:color="auto" w:fill="auto"/>
            <w:noWrap/>
            <w:vAlign w:val="center"/>
          </w:tcPr>
          <w:p w14:paraId="62D8D1CB"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153.00</w:t>
            </w:r>
          </w:p>
        </w:tc>
        <w:tc>
          <w:tcPr>
            <w:tcW w:w="544" w:type="pct"/>
            <w:shd w:val="clear" w:color="auto" w:fill="auto"/>
            <w:noWrap/>
            <w:vAlign w:val="center"/>
          </w:tcPr>
          <w:p w14:paraId="32F547B7"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171.35</w:t>
            </w:r>
          </w:p>
        </w:tc>
        <w:tc>
          <w:tcPr>
            <w:tcW w:w="544" w:type="pct"/>
            <w:shd w:val="clear" w:color="auto" w:fill="auto"/>
            <w:noWrap/>
            <w:vAlign w:val="center"/>
          </w:tcPr>
          <w:p w14:paraId="06CD11B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176.50</w:t>
            </w:r>
          </w:p>
        </w:tc>
        <w:tc>
          <w:tcPr>
            <w:tcW w:w="544" w:type="pct"/>
            <w:shd w:val="clear" w:color="auto" w:fill="auto"/>
            <w:noWrap/>
            <w:vAlign w:val="center"/>
          </w:tcPr>
          <w:p w14:paraId="042CA7D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180.03</w:t>
            </w:r>
          </w:p>
        </w:tc>
        <w:tc>
          <w:tcPr>
            <w:tcW w:w="544" w:type="pct"/>
            <w:shd w:val="clear" w:color="auto" w:fill="auto"/>
            <w:noWrap/>
            <w:vAlign w:val="center"/>
          </w:tcPr>
          <w:p w14:paraId="402EC1B6"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180.03</w:t>
            </w:r>
          </w:p>
        </w:tc>
      </w:tr>
      <w:tr w:rsidR="000A0ACD" w14:paraId="3EBE7A51" w14:textId="77777777">
        <w:trPr>
          <w:trHeight w:val="397"/>
        </w:trPr>
        <w:tc>
          <w:tcPr>
            <w:tcW w:w="1024" w:type="pct"/>
            <w:shd w:val="clear" w:color="auto" w:fill="auto"/>
            <w:vAlign w:val="center"/>
          </w:tcPr>
          <w:p w14:paraId="541BA57D"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售后维修费</w:t>
            </w:r>
          </w:p>
        </w:tc>
        <w:tc>
          <w:tcPr>
            <w:tcW w:w="765" w:type="pct"/>
            <w:shd w:val="clear" w:color="auto" w:fill="auto"/>
            <w:noWrap/>
            <w:vAlign w:val="center"/>
          </w:tcPr>
          <w:p w14:paraId="43A8847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127.37</w:t>
            </w:r>
          </w:p>
        </w:tc>
        <w:tc>
          <w:tcPr>
            <w:tcW w:w="518" w:type="pct"/>
            <w:shd w:val="clear" w:color="auto" w:fill="auto"/>
            <w:noWrap/>
            <w:vAlign w:val="center"/>
          </w:tcPr>
          <w:p w14:paraId="32EE1A07"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409.91</w:t>
            </w:r>
          </w:p>
        </w:tc>
        <w:tc>
          <w:tcPr>
            <w:tcW w:w="518" w:type="pct"/>
            <w:shd w:val="clear" w:color="auto" w:fill="auto"/>
            <w:noWrap/>
            <w:vAlign w:val="center"/>
          </w:tcPr>
          <w:p w14:paraId="736947B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453.53</w:t>
            </w:r>
          </w:p>
        </w:tc>
        <w:tc>
          <w:tcPr>
            <w:tcW w:w="544" w:type="pct"/>
            <w:shd w:val="clear" w:color="auto" w:fill="auto"/>
            <w:noWrap/>
            <w:vAlign w:val="center"/>
          </w:tcPr>
          <w:p w14:paraId="28F255FC"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487.56</w:t>
            </w:r>
          </w:p>
        </w:tc>
        <w:tc>
          <w:tcPr>
            <w:tcW w:w="544" w:type="pct"/>
            <w:shd w:val="clear" w:color="auto" w:fill="auto"/>
            <w:noWrap/>
            <w:vAlign w:val="center"/>
          </w:tcPr>
          <w:p w14:paraId="73D97817"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514.33</w:t>
            </w:r>
          </w:p>
        </w:tc>
        <w:tc>
          <w:tcPr>
            <w:tcW w:w="544" w:type="pct"/>
            <w:shd w:val="clear" w:color="auto" w:fill="auto"/>
            <w:noWrap/>
            <w:vAlign w:val="center"/>
          </w:tcPr>
          <w:p w14:paraId="78E0F87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529.74</w:t>
            </w:r>
          </w:p>
        </w:tc>
        <w:tc>
          <w:tcPr>
            <w:tcW w:w="544" w:type="pct"/>
            <w:shd w:val="clear" w:color="auto" w:fill="auto"/>
            <w:noWrap/>
            <w:vAlign w:val="center"/>
          </w:tcPr>
          <w:p w14:paraId="69AA20F0"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529.74</w:t>
            </w:r>
          </w:p>
        </w:tc>
      </w:tr>
      <w:tr w:rsidR="000A0ACD" w14:paraId="6A722960" w14:textId="77777777">
        <w:trPr>
          <w:trHeight w:val="397"/>
        </w:trPr>
        <w:tc>
          <w:tcPr>
            <w:tcW w:w="1024" w:type="pct"/>
            <w:shd w:val="clear" w:color="auto" w:fill="auto"/>
            <w:vAlign w:val="center"/>
          </w:tcPr>
          <w:p w14:paraId="2C675B2E"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运输费</w:t>
            </w:r>
          </w:p>
        </w:tc>
        <w:tc>
          <w:tcPr>
            <w:tcW w:w="765" w:type="pct"/>
            <w:shd w:val="clear" w:color="auto" w:fill="auto"/>
            <w:noWrap/>
            <w:vAlign w:val="center"/>
          </w:tcPr>
          <w:p w14:paraId="1421C0D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18" w:type="pct"/>
            <w:shd w:val="clear" w:color="auto" w:fill="auto"/>
            <w:noWrap/>
            <w:vAlign w:val="center"/>
          </w:tcPr>
          <w:p w14:paraId="6DEEC1E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18" w:type="pct"/>
            <w:shd w:val="clear" w:color="auto" w:fill="auto"/>
            <w:noWrap/>
            <w:vAlign w:val="center"/>
          </w:tcPr>
          <w:p w14:paraId="7B90B82A"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44" w:type="pct"/>
            <w:shd w:val="clear" w:color="auto" w:fill="auto"/>
            <w:noWrap/>
            <w:vAlign w:val="center"/>
          </w:tcPr>
          <w:p w14:paraId="79F624F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44" w:type="pct"/>
            <w:shd w:val="clear" w:color="auto" w:fill="auto"/>
            <w:noWrap/>
            <w:vAlign w:val="center"/>
          </w:tcPr>
          <w:p w14:paraId="72F4B506"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44" w:type="pct"/>
            <w:shd w:val="clear" w:color="auto" w:fill="auto"/>
            <w:noWrap/>
            <w:vAlign w:val="center"/>
          </w:tcPr>
          <w:p w14:paraId="30D1A84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44" w:type="pct"/>
            <w:shd w:val="clear" w:color="auto" w:fill="auto"/>
            <w:noWrap/>
            <w:vAlign w:val="center"/>
          </w:tcPr>
          <w:p w14:paraId="7631AACB"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r>
      <w:tr w:rsidR="000A0ACD" w14:paraId="72393932" w14:textId="77777777">
        <w:trPr>
          <w:trHeight w:val="397"/>
        </w:trPr>
        <w:tc>
          <w:tcPr>
            <w:tcW w:w="1024" w:type="pct"/>
            <w:shd w:val="clear" w:color="auto" w:fill="auto"/>
            <w:vAlign w:val="center"/>
          </w:tcPr>
          <w:p w14:paraId="38AA3CFD"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招待费</w:t>
            </w:r>
          </w:p>
        </w:tc>
        <w:tc>
          <w:tcPr>
            <w:tcW w:w="765" w:type="pct"/>
            <w:shd w:val="clear" w:color="auto" w:fill="auto"/>
            <w:noWrap/>
            <w:vAlign w:val="center"/>
          </w:tcPr>
          <w:p w14:paraId="75F28C1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31.21</w:t>
            </w:r>
          </w:p>
        </w:tc>
        <w:tc>
          <w:tcPr>
            <w:tcW w:w="518" w:type="pct"/>
            <w:shd w:val="clear" w:color="auto" w:fill="auto"/>
            <w:noWrap/>
            <w:vAlign w:val="center"/>
          </w:tcPr>
          <w:p w14:paraId="74F4B0C2"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59.10</w:t>
            </w:r>
          </w:p>
        </w:tc>
        <w:tc>
          <w:tcPr>
            <w:tcW w:w="518" w:type="pct"/>
            <w:shd w:val="clear" w:color="auto" w:fill="auto"/>
            <w:noWrap/>
            <w:vAlign w:val="center"/>
          </w:tcPr>
          <w:p w14:paraId="6A2DE60E"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65.39</w:t>
            </w:r>
          </w:p>
        </w:tc>
        <w:tc>
          <w:tcPr>
            <w:tcW w:w="544" w:type="pct"/>
            <w:shd w:val="clear" w:color="auto" w:fill="auto"/>
            <w:noWrap/>
            <w:vAlign w:val="center"/>
          </w:tcPr>
          <w:p w14:paraId="7DDF905B"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70.29</w:t>
            </w:r>
          </w:p>
        </w:tc>
        <w:tc>
          <w:tcPr>
            <w:tcW w:w="544" w:type="pct"/>
            <w:shd w:val="clear" w:color="auto" w:fill="auto"/>
            <w:noWrap/>
            <w:vAlign w:val="center"/>
          </w:tcPr>
          <w:p w14:paraId="04B1FB22"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74.15</w:t>
            </w:r>
          </w:p>
        </w:tc>
        <w:tc>
          <w:tcPr>
            <w:tcW w:w="544" w:type="pct"/>
            <w:shd w:val="clear" w:color="auto" w:fill="auto"/>
            <w:noWrap/>
            <w:vAlign w:val="center"/>
          </w:tcPr>
          <w:p w14:paraId="3AFBF56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76.37</w:t>
            </w:r>
          </w:p>
        </w:tc>
        <w:tc>
          <w:tcPr>
            <w:tcW w:w="544" w:type="pct"/>
            <w:shd w:val="clear" w:color="auto" w:fill="auto"/>
            <w:noWrap/>
            <w:vAlign w:val="center"/>
          </w:tcPr>
          <w:p w14:paraId="6F0371F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76.37</w:t>
            </w:r>
          </w:p>
        </w:tc>
      </w:tr>
      <w:tr w:rsidR="000A0ACD" w14:paraId="1E5A43DF" w14:textId="77777777">
        <w:trPr>
          <w:trHeight w:val="397"/>
        </w:trPr>
        <w:tc>
          <w:tcPr>
            <w:tcW w:w="1024" w:type="pct"/>
            <w:shd w:val="clear" w:color="auto" w:fill="auto"/>
            <w:vAlign w:val="center"/>
          </w:tcPr>
          <w:p w14:paraId="18543338"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折旧费</w:t>
            </w:r>
          </w:p>
        </w:tc>
        <w:tc>
          <w:tcPr>
            <w:tcW w:w="765" w:type="pct"/>
            <w:shd w:val="clear" w:color="auto" w:fill="auto"/>
            <w:noWrap/>
            <w:vAlign w:val="center"/>
          </w:tcPr>
          <w:p w14:paraId="713DAF27"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1.15</w:t>
            </w:r>
          </w:p>
        </w:tc>
        <w:tc>
          <w:tcPr>
            <w:tcW w:w="518" w:type="pct"/>
            <w:shd w:val="clear" w:color="auto" w:fill="auto"/>
            <w:noWrap/>
            <w:vAlign w:val="center"/>
          </w:tcPr>
          <w:p w14:paraId="667553C4"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c>
          <w:tcPr>
            <w:tcW w:w="518" w:type="pct"/>
            <w:shd w:val="clear" w:color="auto" w:fill="auto"/>
            <w:noWrap/>
            <w:vAlign w:val="center"/>
          </w:tcPr>
          <w:p w14:paraId="3E1B75EC"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c>
          <w:tcPr>
            <w:tcW w:w="544" w:type="pct"/>
            <w:shd w:val="clear" w:color="auto" w:fill="auto"/>
            <w:noWrap/>
            <w:vAlign w:val="center"/>
          </w:tcPr>
          <w:p w14:paraId="3E87B1E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c>
          <w:tcPr>
            <w:tcW w:w="544" w:type="pct"/>
            <w:shd w:val="clear" w:color="auto" w:fill="auto"/>
            <w:noWrap/>
            <w:vAlign w:val="center"/>
          </w:tcPr>
          <w:p w14:paraId="76C0DC9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c>
          <w:tcPr>
            <w:tcW w:w="544" w:type="pct"/>
            <w:shd w:val="clear" w:color="auto" w:fill="auto"/>
            <w:noWrap/>
            <w:vAlign w:val="center"/>
          </w:tcPr>
          <w:p w14:paraId="5FDB2F0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c>
          <w:tcPr>
            <w:tcW w:w="544" w:type="pct"/>
            <w:shd w:val="clear" w:color="auto" w:fill="auto"/>
            <w:noWrap/>
            <w:vAlign w:val="center"/>
          </w:tcPr>
          <w:p w14:paraId="76A7CC6C"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r>
      <w:tr w:rsidR="000A0ACD" w14:paraId="46617D98" w14:textId="77777777">
        <w:trPr>
          <w:trHeight w:val="397"/>
        </w:trPr>
        <w:tc>
          <w:tcPr>
            <w:tcW w:w="1024" w:type="pct"/>
            <w:shd w:val="clear" w:color="auto" w:fill="auto"/>
            <w:vAlign w:val="center"/>
          </w:tcPr>
          <w:p w14:paraId="07EA8693"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办公费</w:t>
            </w:r>
          </w:p>
        </w:tc>
        <w:tc>
          <w:tcPr>
            <w:tcW w:w="765" w:type="pct"/>
            <w:shd w:val="clear" w:color="auto" w:fill="auto"/>
            <w:noWrap/>
            <w:vAlign w:val="center"/>
          </w:tcPr>
          <w:p w14:paraId="4B39709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4.37</w:t>
            </w:r>
          </w:p>
        </w:tc>
        <w:tc>
          <w:tcPr>
            <w:tcW w:w="518" w:type="pct"/>
            <w:shd w:val="clear" w:color="auto" w:fill="auto"/>
            <w:noWrap/>
            <w:vAlign w:val="center"/>
          </w:tcPr>
          <w:p w14:paraId="75A16416"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8.14</w:t>
            </w:r>
          </w:p>
        </w:tc>
        <w:tc>
          <w:tcPr>
            <w:tcW w:w="518" w:type="pct"/>
            <w:shd w:val="clear" w:color="auto" w:fill="auto"/>
            <w:noWrap/>
            <w:vAlign w:val="center"/>
          </w:tcPr>
          <w:p w14:paraId="4B899D46"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9.01</w:t>
            </w:r>
          </w:p>
        </w:tc>
        <w:tc>
          <w:tcPr>
            <w:tcW w:w="544" w:type="pct"/>
            <w:shd w:val="clear" w:color="auto" w:fill="auto"/>
            <w:noWrap/>
            <w:vAlign w:val="center"/>
          </w:tcPr>
          <w:p w14:paraId="796354E0"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9.68</w:t>
            </w:r>
          </w:p>
        </w:tc>
        <w:tc>
          <w:tcPr>
            <w:tcW w:w="544" w:type="pct"/>
            <w:shd w:val="clear" w:color="auto" w:fill="auto"/>
            <w:noWrap/>
            <w:vAlign w:val="center"/>
          </w:tcPr>
          <w:p w14:paraId="72BC1C6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10.22</w:t>
            </w:r>
          </w:p>
        </w:tc>
        <w:tc>
          <w:tcPr>
            <w:tcW w:w="544" w:type="pct"/>
            <w:shd w:val="clear" w:color="auto" w:fill="auto"/>
            <w:noWrap/>
            <w:vAlign w:val="center"/>
          </w:tcPr>
          <w:p w14:paraId="359A34D2"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10.52</w:t>
            </w:r>
          </w:p>
        </w:tc>
        <w:tc>
          <w:tcPr>
            <w:tcW w:w="544" w:type="pct"/>
            <w:shd w:val="clear" w:color="auto" w:fill="auto"/>
            <w:noWrap/>
            <w:vAlign w:val="center"/>
          </w:tcPr>
          <w:p w14:paraId="77E925F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10.52</w:t>
            </w:r>
          </w:p>
        </w:tc>
      </w:tr>
      <w:tr w:rsidR="000A0ACD" w14:paraId="1E37576D" w14:textId="77777777">
        <w:trPr>
          <w:trHeight w:val="397"/>
        </w:trPr>
        <w:tc>
          <w:tcPr>
            <w:tcW w:w="1024" w:type="pct"/>
            <w:shd w:val="clear" w:color="auto" w:fill="auto"/>
            <w:vAlign w:val="center"/>
          </w:tcPr>
          <w:p w14:paraId="251C118D"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展览费和广告费</w:t>
            </w:r>
          </w:p>
        </w:tc>
        <w:tc>
          <w:tcPr>
            <w:tcW w:w="765" w:type="pct"/>
            <w:shd w:val="clear" w:color="auto" w:fill="auto"/>
            <w:noWrap/>
            <w:vAlign w:val="center"/>
          </w:tcPr>
          <w:p w14:paraId="40DA2630"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2.74</w:t>
            </w:r>
          </w:p>
        </w:tc>
        <w:tc>
          <w:tcPr>
            <w:tcW w:w="518" w:type="pct"/>
            <w:shd w:val="clear" w:color="auto" w:fill="auto"/>
            <w:noWrap/>
            <w:vAlign w:val="center"/>
          </w:tcPr>
          <w:p w14:paraId="0BF7E2B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5.10</w:t>
            </w:r>
          </w:p>
        </w:tc>
        <w:tc>
          <w:tcPr>
            <w:tcW w:w="518" w:type="pct"/>
            <w:shd w:val="clear" w:color="auto" w:fill="auto"/>
            <w:noWrap/>
            <w:vAlign w:val="center"/>
          </w:tcPr>
          <w:p w14:paraId="3FC17A2C"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5.64</w:t>
            </w:r>
          </w:p>
        </w:tc>
        <w:tc>
          <w:tcPr>
            <w:tcW w:w="544" w:type="pct"/>
            <w:shd w:val="clear" w:color="auto" w:fill="auto"/>
            <w:noWrap/>
            <w:vAlign w:val="center"/>
          </w:tcPr>
          <w:p w14:paraId="7C78AED7"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6.06</w:t>
            </w:r>
          </w:p>
        </w:tc>
        <w:tc>
          <w:tcPr>
            <w:tcW w:w="544" w:type="pct"/>
            <w:shd w:val="clear" w:color="auto" w:fill="auto"/>
            <w:noWrap/>
            <w:vAlign w:val="center"/>
          </w:tcPr>
          <w:p w14:paraId="3CD86B8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6.40</w:t>
            </w:r>
          </w:p>
        </w:tc>
        <w:tc>
          <w:tcPr>
            <w:tcW w:w="544" w:type="pct"/>
            <w:shd w:val="clear" w:color="auto" w:fill="auto"/>
            <w:noWrap/>
            <w:vAlign w:val="center"/>
          </w:tcPr>
          <w:p w14:paraId="55A2434E"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6.59</w:t>
            </w:r>
          </w:p>
        </w:tc>
        <w:tc>
          <w:tcPr>
            <w:tcW w:w="544" w:type="pct"/>
            <w:shd w:val="clear" w:color="auto" w:fill="auto"/>
            <w:noWrap/>
            <w:vAlign w:val="center"/>
          </w:tcPr>
          <w:p w14:paraId="4CFCEDB0"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6.59</w:t>
            </w:r>
          </w:p>
        </w:tc>
      </w:tr>
      <w:tr w:rsidR="000A0ACD" w14:paraId="5BBB7921" w14:textId="77777777">
        <w:trPr>
          <w:trHeight w:val="397"/>
        </w:trPr>
        <w:tc>
          <w:tcPr>
            <w:tcW w:w="1024" w:type="pct"/>
            <w:shd w:val="clear" w:color="auto" w:fill="auto"/>
            <w:vAlign w:val="center"/>
          </w:tcPr>
          <w:p w14:paraId="4C21A5F2"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差旅费</w:t>
            </w:r>
          </w:p>
        </w:tc>
        <w:tc>
          <w:tcPr>
            <w:tcW w:w="765" w:type="pct"/>
            <w:shd w:val="clear" w:color="auto" w:fill="auto"/>
            <w:noWrap/>
            <w:vAlign w:val="center"/>
          </w:tcPr>
          <w:p w14:paraId="41E81B57"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2.05</w:t>
            </w:r>
          </w:p>
        </w:tc>
        <w:tc>
          <w:tcPr>
            <w:tcW w:w="518" w:type="pct"/>
            <w:shd w:val="clear" w:color="auto" w:fill="auto"/>
            <w:noWrap/>
            <w:vAlign w:val="center"/>
          </w:tcPr>
          <w:p w14:paraId="006DBE10"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5.15</w:t>
            </w:r>
          </w:p>
        </w:tc>
        <w:tc>
          <w:tcPr>
            <w:tcW w:w="518" w:type="pct"/>
            <w:shd w:val="clear" w:color="auto" w:fill="auto"/>
            <w:noWrap/>
            <w:vAlign w:val="center"/>
          </w:tcPr>
          <w:p w14:paraId="0D211D0B"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5.69</w:t>
            </w:r>
          </w:p>
        </w:tc>
        <w:tc>
          <w:tcPr>
            <w:tcW w:w="544" w:type="pct"/>
            <w:shd w:val="clear" w:color="auto" w:fill="auto"/>
            <w:noWrap/>
            <w:vAlign w:val="center"/>
          </w:tcPr>
          <w:p w14:paraId="4A63EF6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6.12</w:t>
            </w:r>
          </w:p>
        </w:tc>
        <w:tc>
          <w:tcPr>
            <w:tcW w:w="544" w:type="pct"/>
            <w:shd w:val="clear" w:color="auto" w:fill="auto"/>
            <w:noWrap/>
            <w:vAlign w:val="center"/>
          </w:tcPr>
          <w:p w14:paraId="76E562C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6.46</w:t>
            </w:r>
          </w:p>
        </w:tc>
        <w:tc>
          <w:tcPr>
            <w:tcW w:w="544" w:type="pct"/>
            <w:shd w:val="clear" w:color="auto" w:fill="auto"/>
            <w:noWrap/>
            <w:vAlign w:val="center"/>
          </w:tcPr>
          <w:p w14:paraId="590A7E26"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6.65</w:t>
            </w:r>
          </w:p>
        </w:tc>
        <w:tc>
          <w:tcPr>
            <w:tcW w:w="544" w:type="pct"/>
            <w:shd w:val="clear" w:color="auto" w:fill="auto"/>
            <w:noWrap/>
            <w:vAlign w:val="center"/>
          </w:tcPr>
          <w:p w14:paraId="0296515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6.65</w:t>
            </w:r>
          </w:p>
        </w:tc>
      </w:tr>
      <w:tr w:rsidR="000A0ACD" w14:paraId="5E0AABA4" w14:textId="77777777">
        <w:trPr>
          <w:trHeight w:val="397"/>
        </w:trPr>
        <w:tc>
          <w:tcPr>
            <w:tcW w:w="1024" w:type="pct"/>
            <w:shd w:val="clear" w:color="auto" w:fill="auto"/>
            <w:vAlign w:val="center"/>
          </w:tcPr>
          <w:p w14:paraId="4222D0DD"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其他</w:t>
            </w:r>
          </w:p>
        </w:tc>
        <w:tc>
          <w:tcPr>
            <w:tcW w:w="765" w:type="pct"/>
            <w:shd w:val="clear" w:color="auto" w:fill="auto"/>
            <w:noWrap/>
            <w:vAlign w:val="center"/>
          </w:tcPr>
          <w:p w14:paraId="4CB39204"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2.16</w:t>
            </w:r>
          </w:p>
        </w:tc>
        <w:tc>
          <w:tcPr>
            <w:tcW w:w="518" w:type="pct"/>
            <w:shd w:val="clear" w:color="auto" w:fill="auto"/>
            <w:noWrap/>
            <w:vAlign w:val="center"/>
          </w:tcPr>
          <w:p w14:paraId="1FF5743A"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2.40</w:t>
            </w:r>
          </w:p>
        </w:tc>
        <w:tc>
          <w:tcPr>
            <w:tcW w:w="518" w:type="pct"/>
            <w:shd w:val="clear" w:color="auto" w:fill="auto"/>
            <w:noWrap/>
            <w:vAlign w:val="center"/>
          </w:tcPr>
          <w:p w14:paraId="2678A79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2.47</w:t>
            </w:r>
          </w:p>
        </w:tc>
        <w:tc>
          <w:tcPr>
            <w:tcW w:w="544" w:type="pct"/>
            <w:shd w:val="clear" w:color="auto" w:fill="auto"/>
            <w:noWrap/>
            <w:vAlign w:val="center"/>
          </w:tcPr>
          <w:p w14:paraId="7DC13EFD"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2.54</w:t>
            </w:r>
          </w:p>
        </w:tc>
        <w:tc>
          <w:tcPr>
            <w:tcW w:w="544" w:type="pct"/>
            <w:shd w:val="clear" w:color="auto" w:fill="auto"/>
            <w:noWrap/>
            <w:vAlign w:val="center"/>
          </w:tcPr>
          <w:p w14:paraId="799A5D87"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2.62</w:t>
            </w:r>
          </w:p>
        </w:tc>
        <w:tc>
          <w:tcPr>
            <w:tcW w:w="544" w:type="pct"/>
            <w:shd w:val="clear" w:color="auto" w:fill="auto"/>
            <w:noWrap/>
            <w:vAlign w:val="center"/>
          </w:tcPr>
          <w:p w14:paraId="3202FA5B"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2.70</w:t>
            </w:r>
          </w:p>
        </w:tc>
        <w:tc>
          <w:tcPr>
            <w:tcW w:w="544" w:type="pct"/>
            <w:shd w:val="clear" w:color="auto" w:fill="auto"/>
            <w:noWrap/>
            <w:vAlign w:val="center"/>
          </w:tcPr>
          <w:p w14:paraId="374B47B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2.70</w:t>
            </w:r>
          </w:p>
        </w:tc>
      </w:tr>
      <w:tr w:rsidR="000A0ACD" w14:paraId="22FB4753" w14:textId="77777777">
        <w:trPr>
          <w:trHeight w:val="397"/>
        </w:trPr>
        <w:tc>
          <w:tcPr>
            <w:tcW w:w="1024" w:type="pct"/>
            <w:shd w:val="clear" w:color="auto" w:fill="auto"/>
            <w:noWrap/>
            <w:vAlign w:val="center"/>
          </w:tcPr>
          <w:p w14:paraId="5A6797F4"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合计</w:t>
            </w:r>
          </w:p>
        </w:tc>
        <w:tc>
          <w:tcPr>
            <w:tcW w:w="765" w:type="pct"/>
            <w:shd w:val="clear" w:color="auto" w:fill="auto"/>
            <w:noWrap/>
            <w:vAlign w:val="center"/>
          </w:tcPr>
          <w:p w14:paraId="533D62A0"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352.04</w:t>
            </w:r>
          </w:p>
        </w:tc>
        <w:tc>
          <w:tcPr>
            <w:tcW w:w="518" w:type="pct"/>
            <w:shd w:val="clear" w:color="auto" w:fill="auto"/>
            <w:noWrap/>
            <w:vAlign w:val="center"/>
          </w:tcPr>
          <w:p w14:paraId="74FD7F0B"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891.33</w:t>
            </w:r>
          </w:p>
        </w:tc>
        <w:tc>
          <w:tcPr>
            <w:tcW w:w="518" w:type="pct"/>
            <w:shd w:val="clear" w:color="auto" w:fill="auto"/>
            <w:noWrap/>
            <w:vAlign w:val="center"/>
          </w:tcPr>
          <w:p w14:paraId="3BFFD0EB"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982.01</w:t>
            </w:r>
          </w:p>
        </w:tc>
        <w:tc>
          <w:tcPr>
            <w:tcW w:w="544" w:type="pct"/>
            <w:shd w:val="clear" w:color="auto" w:fill="auto"/>
            <w:noWrap/>
            <w:vAlign w:val="center"/>
          </w:tcPr>
          <w:p w14:paraId="5FFE8E07"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1,062.29</w:t>
            </w:r>
          </w:p>
        </w:tc>
        <w:tc>
          <w:tcPr>
            <w:tcW w:w="544" w:type="pct"/>
            <w:shd w:val="clear" w:color="auto" w:fill="auto"/>
            <w:noWrap/>
            <w:vAlign w:val="center"/>
          </w:tcPr>
          <w:p w14:paraId="439B8766"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1,116.15</w:t>
            </w:r>
          </w:p>
        </w:tc>
        <w:tc>
          <w:tcPr>
            <w:tcW w:w="544" w:type="pct"/>
            <w:shd w:val="clear" w:color="auto" w:fill="auto"/>
            <w:noWrap/>
            <w:vAlign w:val="center"/>
          </w:tcPr>
          <w:p w14:paraId="40A61A43"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1,147.77</w:t>
            </w:r>
          </w:p>
        </w:tc>
        <w:tc>
          <w:tcPr>
            <w:tcW w:w="544" w:type="pct"/>
            <w:shd w:val="clear" w:color="auto" w:fill="auto"/>
            <w:noWrap/>
            <w:vAlign w:val="center"/>
          </w:tcPr>
          <w:p w14:paraId="3F4A5DBF"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1,147.77</w:t>
            </w:r>
          </w:p>
        </w:tc>
      </w:tr>
    </w:tbl>
    <w:p w14:paraId="1CEBF3F3"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5</w:t>
      </w:r>
      <w:r>
        <w:rPr>
          <w:rFonts w:ascii="Times New Roman" w:hAnsi="Times New Roman" w:cs="Times New Roman" w:hint="eastAsia"/>
          <w:lang w:bidi="ar"/>
        </w:rPr>
        <w:t>）管理费用预测</w:t>
      </w:r>
      <w:bookmarkEnd w:id="118"/>
      <w:bookmarkEnd w:id="119"/>
    </w:p>
    <w:p w14:paraId="22FA7EFB" w14:textId="77777777" w:rsidR="000A0ACD" w:rsidRDefault="00362A99">
      <w:pPr>
        <w:pStyle w:val="affffd"/>
        <w:spacing w:before="156"/>
        <w:ind w:firstLine="480"/>
        <w:rPr>
          <w:bCs/>
        </w:rPr>
      </w:pPr>
      <w:r>
        <w:rPr>
          <w:rFonts w:hint="eastAsia"/>
          <w:bCs/>
        </w:rPr>
        <w:t>管理费用中的工资是管理部门人员的职工薪酬，根据历史的人员工资水平，结合标的公司的人事发展策略，通过预测未来年度的管理人员人数和人均月工资确定预测期的人员工资；社保费和公积金为根据人员工资计提的各类社保和公积金。评估人员在分析历史年度各项保险费用的计提比例和实际支付情况后，以预测的人员工资为基础，预测未来年度的保险费。</w:t>
      </w:r>
    </w:p>
    <w:p w14:paraId="7EE62484" w14:textId="77777777" w:rsidR="000A0ACD" w:rsidRDefault="00362A99">
      <w:pPr>
        <w:pStyle w:val="affffd"/>
        <w:spacing w:before="156"/>
        <w:ind w:firstLine="480"/>
        <w:rPr>
          <w:bCs/>
        </w:rPr>
      </w:pPr>
      <w:r>
        <w:rPr>
          <w:rFonts w:hint="eastAsia"/>
          <w:bCs/>
        </w:rPr>
        <w:t>对折旧费，遵循了企业执行的一贯会计政策，按照预测年度的实际固定资产规模，采用直线法计提。永续年度按年金确定资本性支出，同时确定当年的折旧费用。</w:t>
      </w:r>
    </w:p>
    <w:p w14:paraId="5E13EB24"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其他管理费用主要是公司运营过程中产生的租赁费、中介费、办公费、车辆费、差旅费、招待费等，根据其在历史年度中的支付水平，以企业发展规模和收入水平为基础，预测未来年度中的其他管理费用。管理费用预测见下表：</w:t>
      </w:r>
    </w:p>
    <w:p w14:paraId="3D30A26A"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4999"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31"/>
        <w:gridCol w:w="1033"/>
        <w:gridCol w:w="1038"/>
        <w:gridCol w:w="1033"/>
        <w:gridCol w:w="1038"/>
        <w:gridCol w:w="1034"/>
        <w:gridCol w:w="1033"/>
        <w:gridCol w:w="980"/>
      </w:tblGrid>
      <w:tr w:rsidR="000A0ACD" w14:paraId="7613B55A" w14:textId="77777777">
        <w:trPr>
          <w:trHeight w:val="397"/>
          <w:tblHeader/>
        </w:trPr>
        <w:tc>
          <w:tcPr>
            <w:tcW w:w="781" w:type="pct"/>
            <w:vMerge w:val="restart"/>
            <w:shd w:val="clear" w:color="auto" w:fill="auto"/>
            <w:vAlign w:val="center"/>
          </w:tcPr>
          <w:p w14:paraId="0DD38A49" w14:textId="77777777" w:rsidR="000A0ACD" w:rsidRDefault="00362A99">
            <w:pPr>
              <w:jc w:val="center"/>
              <w:rPr>
                <w:rFonts w:ascii="Times New Roman" w:hAnsi="Times New Roman" w:cs="Times New Roman"/>
                <w:b/>
                <w:bCs/>
                <w:spacing w:val="-6"/>
                <w:sz w:val="21"/>
                <w:szCs w:val="21"/>
              </w:rPr>
            </w:pPr>
            <w:bookmarkStart w:id="120" w:name="_Toc163542859"/>
            <w:bookmarkStart w:id="121" w:name="_Toc161394626"/>
            <w:r>
              <w:rPr>
                <w:rFonts w:ascii="Times New Roman" w:hAnsi="Times New Roman" w:cs="Times New Roman" w:hint="eastAsia"/>
                <w:b/>
                <w:bCs/>
                <w:spacing w:val="-6"/>
                <w:sz w:val="21"/>
                <w:szCs w:val="21"/>
              </w:rPr>
              <w:t>费用明细项</w:t>
            </w:r>
          </w:p>
        </w:tc>
        <w:tc>
          <w:tcPr>
            <w:tcW w:w="4218" w:type="pct"/>
            <w:gridSpan w:val="7"/>
            <w:shd w:val="clear" w:color="auto" w:fill="auto"/>
            <w:noWrap/>
            <w:vAlign w:val="center"/>
          </w:tcPr>
          <w:p w14:paraId="076CDAD4"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未来年度管理费用预测数据</w:t>
            </w:r>
          </w:p>
        </w:tc>
      </w:tr>
      <w:tr w:rsidR="000A0ACD" w14:paraId="4A135C4E" w14:textId="77777777">
        <w:trPr>
          <w:trHeight w:val="397"/>
          <w:tblHeader/>
        </w:trPr>
        <w:tc>
          <w:tcPr>
            <w:tcW w:w="781" w:type="pct"/>
            <w:vMerge/>
            <w:shd w:val="clear" w:color="auto" w:fill="auto"/>
            <w:vAlign w:val="center"/>
          </w:tcPr>
          <w:p w14:paraId="6D2142B1" w14:textId="77777777" w:rsidR="000A0ACD" w:rsidRDefault="000A0ACD">
            <w:pPr>
              <w:rPr>
                <w:rFonts w:ascii="Times New Roman" w:hAnsi="Times New Roman" w:cs="Times New Roman"/>
                <w:b/>
                <w:bCs/>
                <w:spacing w:val="-6"/>
                <w:sz w:val="21"/>
                <w:szCs w:val="21"/>
              </w:rPr>
            </w:pPr>
          </w:p>
        </w:tc>
        <w:tc>
          <w:tcPr>
            <w:tcW w:w="606" w:type="pct"/>
            <w:shd w:val="clear" w:color="auto" w:fill="auto"/>
            <w:noWrap/>
            <w:vAlign w:val="center"/>
          </w:tcPr>
          <w:p w14:paraId="30086A07"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2020</w:t>
            </w:r>
            <w:r>
              <w:rPr>
                <w:rFonts w:ascii="Times New Roman" w:hAnsi="Times New Roman" w:cs="Times New Roman" w:hint="eastAsia"/>
                <w:b/>
                <w:bCs/>
                <w:spacing w:val="-6"/>
                <w:sz w:val="21"/>
                <w:szCs w:val="21"/>
              </w:rPr>
              <w:t>年</w:t>
            </w:r>
            <w:r>
              <w:rPr>
                <w:rFonts w:ascii="Times New Roman" w:hAnsi="Times New Roman" w:cs="Times New Roman" w:hint="eastAsia"/>
                <w:b/>
                <w:bCs/>
                <w:spacing w:val="-6"/>
                <w:sz w:val="21"/>
                <w:szCs w:val="21"/>
              </w:rPr>
              <w:t>7-12</w:t>
            </w:r>
            <w:r>
              <w:rPr>
                <w:rFonts w:ascii="Times New Roman" w:hAnsi="Times New Roman" w:cs="Times New Roman" w:hint="eastAsia"/>
                <w:b/>
                <w:bCs/>
                <w:spacing w:val="-6"/>
                <w:sz w:val="21"/>
                <w:szCs w:val="21"/>
              </w:rPr>
              <w:t>月</w:t>
            </w:r>
          </w:p>
        </w:tc>
        <w:tc>
          <w:tcPr>
            <w:tcW w:w="609" w:type="pct"/>
            <w:shd w:val="clear" w:color="auto" w:fill="auto"/>
            <w:noWrap/>
            <w:vAlign w:val="center"/>
          </w:tcPr>
          <w:p w14:paraId="4DD84D68"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2021</w:t>
            </w:r>
            <w:r>
              <w:rPr>
                <w:rFonts w:ascii="Times New Roman" w:hAnsi="Times New Roman" w:cs="Times New Roman" w:hint="eastAsia"/>
                <w:b/>
                <w:bCs/>
                <w:spacing w:val="-6"/>
                <w:sz w:val="21"/>
                <w:szCs w:val="21"/>
              </w:rPr>
              <w:t>年</w:t>
            </w:r>
          </w:p>
        </w:tc>
        <w:tc>
          <w:tcPr>
            <w:tcW w:w="606" w:type="pct"/>
            <w:shd w:val="clear" w:color="auto" w:fill="auto"/>
            <w:noWrap/>
            <w:vAlign w:val="center"/>
          </w:tcPr>
          <w:p w14:paraId="7E1E77D4"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2022</w:t>
            </w:r>
            <w:r>
              <w:rPr>
                <w:rFonts w:ascii="Times New Roman" w:hAnsi="Times New Roman" w:cs="Times New Roman" w:hint="eastAsia"/>
                <w:b/>
                <w:bCs/>
                <w:spacing w:val="-6"/>
                <w:sz w:val="21"/>
                <w:szCs w:val="21"/>
              </w:rPr>
              <w:t>年</w:t>
            </w:r>
          </w:p>
        </w:tc>
        <w:tc>
          <w:tcPr>
            <w:tcW w:w="609" w:type="pct"/>
            <w:shd w:val="clear" w:color="auto" w:fill="auto"/>
            <w:noWrap/>
            <w:vAlign w:val="center"/>
          </w:tcPr>
          <w:p w14:paraId="71E7F32D"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2023</w:t>
            </w:r>
            <w:r>
              <w:rPr>
                <w:rFonts w:ascii="Times New Roman" w:hAnsi="Times New Roman" w:cs="Times New Roman" w:hint="eastAsia"/>
                <w:b/>
                <w:bCs/>
                <w:spacing w:val="-6"/>
                <w:sz w:val="21"/>
                <w:szCs w:val="21"/>
              </w:rPr>
              <w:t>年</w:t>
            </w:r>
          </w:p>
        </w:tc>
        <w:tc>
          <w:tcPr>
            <w:tcW w:w="607" w:type="pct"/>
            <w:shd w:val="clear" w:color="auto" w:fill="auto"/>
            <w:noWrap/>
            <w:vAlign w:val="center"/>
          </w:tcPr>
          <w:p w14:paraId="6A690C97"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2024</w:t>
            </w:r>
            <w:r>
              <w:rPr>
                <w:rFonts w:ascii="Times New Roman" w:hAnsi="Times New Roman" w:cs="Times New Roman" w:hint="eastAsia"/>
                <w:b/>
                <w:bCs/>
                <w:spacing w:val="-6"/>
                <w:sz w:val="21"/>
                <w:szCs w:val="21"/>
              </w:rPr>
              <w:t>年</w:t>
            </w:r>
          </w:p>
        </w:tc>
        <w:tc>
          <w:tcPr>
            <w:tcW w:w="606" w:type="pct"/>
            <w:shd w:val="clear" w:color="auto" w:fill="auto"/>
            <w:noWrap/>
            <w:vAlign w:val="center"/>
          </w:tcPr>
          <w:p w14:paraId="5B14F7D0"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2025</w:t>
            </w:r>
            <w:r>
              <w:rPr>
                <w:rFonts w:ascii="Times New Roman" w:hAnsi="Times New Roman" w:cs="Times New Roman" w:hint="eastAsia"/>
                <w:b/>
                <w:bCs/>
                <w:spacing w:val="-6"/>
                <w:sz w:val="21"/>
                <w:szCs w:val="21"/>
              </w:rPr>
              <w:t>年</w:t>
            </w:r>
          </w:p>
        </w:tc>
        <w:tc>
          <w:tcPr>
            <w:tcW w:w="557" w:type="pct"/>
            <w:shd w:val="clear" w:color="auto" w:fill="auto"/>
            <w:noWrap/>
            <w:vAlign w:val="center"/>
          </w:tcPr>
          <w:p w14:paraId="4E73C32C"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稳定期</w:t>
            </w:r>
          </w:p>
        </w:tc>
      </w:tr>
      <w:tr w:rsidR="000A0ACD" w14:paraId="7252D74F" w14:textId="77777777">
        <w:trPr>
          <w:trHeight w:val="397"/>
        </w:trPr>
        <w:tc>
          <w:tcPr>
            <w:tcW w:w="781" w:type="pct"/>
            <w:shd w:val="clear" w:color="auto" w:fill="auto"/>
            <w:noWrap/>
            <w:vAlign w:val="center"/>
          </w:tcPr>
          <w:p w14:paraId="63C8F6B3"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职工薪酬</w:t>
            </w:r>
          </w:p>
        </w:tc>
        <w:tc>
          <w:tcPr>
            <w:tcW w:w="606" w:type="pct"/>
            <w:shd w:val="clear" w:color="auto" w:fill="auto"/>
            <w:noWrap/>
            <w:vAlign w:val="center"/>
          </w:tcPr>
          <w:p w14:paraId="2FAD0D1E"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366.00</w:t>
            </w:r>
          </w:p>
        </w:tc>
        <w:tc>
          <w:tcPr>
            <w:tcW w:w="609" w:type="pct"/>
            <w:shd w:val="clear" w:color="auto" w:fill="auto"/>
            <w:noWrap/>
            <w:vAlign w:val="center"/>
          </w:tcPr>
          <w:p w14:paraId="1CDCF47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1,208.20</w:t>
            </w:r>
          </w:p>
        </w:tc>
        <w:tc>
          <w:tcPr>
            <w:tcW w:w="606" w:type="pct"/>
            <w:shd w:val="clear" w:color="auto" w:fill="auto"/>
            <w:noWrap/>
            <w:vAlign w:val="center"/>
          </w:tcPr>
          <w:p w14:paraId="639A63E6"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1,421.71</w:t>
            </w:r>
          </w:p>
        </w:tc>
        <w:tc>
          <w:tcPr>
            <w:tcW w:w="609" w:type="pct"/>
            <w:shd w:val="clear" w:color="auto" w:fill="auto"/>
            <w:noWrap/>
            <w:vAlign w:val="center"/>
          </w:tcPr>
          <w:p w14:paraId="34F7480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1,595.04</w:t>
            </w:r>
          </w:p>
        </w:tc>
        <w:tc>
          <w:tcPr>
            <w:tcW w:w="607" w:type="pct"/>
            <w:shd w:val="clear" w:color="auto" w:fill="auto"/>
            <w:noWrap/>
            <w:vAlign w:val="center"/>
          </w:tcPr>
          <w:p w14:paraId="0D92BD0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1,685.02</w:t>
            </w:r>
          </w:p>
        </w:tc>
        <w:tc>
          <w:tcPr>
            <w:tcW w:w="606" w:type="pct"/>
            <w:shd w:val="clear" w:color="auto" w:fill="auto"/>
            <w:noWrap/>
            <w:vAlign w:val="center"/>
          </w:tcPr>
          <w:p w14:paraId="5169E3B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1,761.69</w:t>
            </w:r>
          </w:p>
        </w:tc>
        <w:tc>
          <w:tcPr>
            <w:tcW w:w="557" w:type="pct"/>
            <w:shd w:val="clear" w:color="auto" w:fill="auto"/>
            <w:noWrap/>
            <w:vAlign w:val="center"/>
          </w:tcPr>
          <w:p w14:paraId="6651FC8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1,761.69</w:t>
            </w:r>
          </w:p>
        </w:tc>
      </w:tr>
      <w:tr w:rsidR="000A0ACD" w14:paraId="3F1C24C9" w14:textId="77777777">
        <w:trPr>
          <w:trHeight w:val="397"/>
        </w:trPr>
        <w:tc>
          <w:tcPr>
            <w:tcW w:w="781" w:type="pct"/>
            <w:shd w:val="clear" w:color="auto" w:fill="auto"/>
            <w:noWrap/>
            <w:vAlign w:val="center"/>
          </w:tcPr>
          <w:p w14:paraId="6F1AD7F9"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折旧费</w:t>
            </w:r>
          </w:p>
        </w:tc>
        <w:tc>
          <w:tcPr>
            <w:tcW w:w="606" w:type="pct"/>
            <w:shd w:val="clear" w:color="auto" w:fill="auto"/>
            <w:noWrap/>
            <w:vAlign w:val="center"/>
          </w:tcPr>
          <w:p w14:paraId="73DC696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18.68</w:t>
            </w:r>
          </w:p>
        </w:tc>
        <w:tc>
          <w:tcPr>
            <w:tcW w:w="609" w:type="pct"/>
            <w:shd w:val="clear" w:color="auto" w:fill="auto"/>
            <w:noWrap/>
            <w:vAlign w:val="center"/>
          </w:tcPr>
          <w:p w14:paraId="69C4C80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c>
          <w:tcPr>
            <w:tcW w:w="606" w:type="pct"/>
            <w:shd w:val="clear" w:color="auto" w:fill="auto"/>
            <w:noWrap/>
            <w:vAlign w:val="center"/>
          </w:tcPr>
          <w:p w14:paraId="3D3A50CB"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c>
          <w:tcPr>
            <w:tcW w:w="609" w:type="pct"/>
            <w:shd w:val="clear" w:color="auto" w:fill="auto"/>
            <w:noWrap/>
            <w:vAlign w:val="center"/>
          </w:tcPr>
          <w:p w14:paraId="013A419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c>
          <w:tcPr>
            <w:tcW w:w="607" w:type="pct"/>
            <w:shd w:val="clear" w:color="auto" w:fill="auto"/>
            <w:noWrap/>
            <w:vAlign w:val="center"/>
          </w:tcPr>
          <w:p w14:paraId="32F2AFB2"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c>
          <w:tcPr>
            <w:tcW w:w="606" w:type="pct"/>
            <w:shd w:val="clear" w:color="auto" w:fill="auto"/>
            <w:noWrap/>
            <w:vAlign w:val="center"/>
          </w:tcPr>
          <w:p w14:paraId="234B0CD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c>
          <w:tcPr>
            <w:tcW w:w="557" w:type="pct"/>
            <w:shd w:val="clear" w:color="auto" w:fill="auto"/>
            <w:noWrap/>
            <w:vAlign w:val="center"/>
          </w:tcPr>
          <w:p w14:paraId="11387CE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r>
      <w:tr w:rsidR="000A0ACD" w14:paraId="34E0CC48" w14:textId="77777777">
        <w:trPr>
          <w:trHeight w:val="397"/>
        </w:trPr>
        <w:tc>
          <w:tcPr>
            <w:tcW w:w="781" w:type="pct"/>
            <w:shd w:val="clear" w:color="auto" w:fill="auto"/>
            <w:noWrap/>
            <w:vAlign w:val="center"/>
          </w:tcPr>
          <w:p w14:paraId="35BC0F12"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无形资产摊销</w:t>
            </w:r>
          </w:p>
        </w:tc>
        <w:tc>
          <w:tcPr>
            <w:tcW w:w="606" w:type="pct"/>
            <w:shd w:val="clear" w:color="auto" w:fill="auto"/>
            <w:noWrap/>
            <w:vAlign w:val="center"/>
          </w:tcPr>
          <w:p w14:paraId="0A9AF1D2"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1.13</w:t>
            </w:r>
          </w:p>
        </w:tc>
        <w:tc>
          <w:tcPr>
            <w:tcW w:w="609" w:type="pct"/>
            <w:shd w:val="clear" w:color="auto" w:fill="auto"/>
            <w:noWrap/>
            <w:vAlign w:val="center"/>
          </w:tcPr>
          <w:p w14:paraId="753BB55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c>
          <w:tcPr>
            <w:tcW w:w="606" w:type="pct"/>
            <w:shd w:val="clear" w:color="auto" w:fill="auto"/>
            <w:noWrap/>
            <w:vAlign w:val="center"/>
          </w:tcPr>
          <w:p w14:paraId="0EA7CED4"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c>
          <w:tcPr>
            <w:tcW w:w="609" w:type="pct"/>
            <w:shd w:val="clear" w:color="auto" w:fill="auto"/>
            <w:noWrap/>
            <w:vAlign w:val="center"/>
          </w:tcPr>
          <w:p w14:paraId="56B64BCB"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c>
          <w:tcPr>
            <w:tcW w:w="607" w:type="pct"/>
            <w:shd w:val="clear" w:color="auto" w:fill="auto"/>
            <w:noWrap/>
            <w:vAlign w:val="center"/>
          </w:tcPr>
          <w:p w14:paraId="2A868E1A"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c>
          <w:tcPr>
            <w:tcW w:w="606" w:type="pct"/>
            <w:shd w:val="clear" w:color="auto" w:fill="auto"/>
            <w:noWrap/>
            <w:vAlign w:val="center"/>
          </w:tcPr>
          <w:p w14:paraId="07064FBE"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c>
          <w:tcPr>
            <w:tcW w:w="557" w:type="pct"/>
            <w:shd w:val="clear" w:color="auto" w:fill="auto"/>
            <w:noWrap/>
            <w:vAlign w:val="center"/>
          </w:tcPr>
          <w:p w14:paraId="182DECC4"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r>
      <w:tr w:rsidR="000A0ACD" w14:paraId="211B006D" w14:textId="77777777">
        <w:trPr>
          <w:trHeight w:val="397"/>
        </w:trPr>
        <w:tc>
          <w:tcPr>
            <w:tcW w:w="781" w:type="pct"/>
            <w:shd w:val="clear" w:color="auto" w:fill="auto"/>
            <w:noWrap/>
            <w:vAlign w:val="center"/>
          </w:tcPr>
          <w:p w14:paraId="2F09BF06"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租赁费</w:t>
            </w:r>
          </w:p>
        </w:tc>
        <w:tc>
          <w:tcPr>
            <w:tcW w:w="606" w:type="pct"/>
            <w:shd w:val="clear" w:color="auto" w:fill="auto"/>
            <w:noWrap/>
            <w:vAlign w:val="center"/>
          </w:tcPr>
          <w:p w14:paraId="23F20CFE"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11.25</w:t>
            </w:r>
          </w:p>
        </w:tc>
        <w:tc>
          <w:tcPr>
            <w:tcW w:w="609" w:type="pct"/>
            <w:shd w:val="clear" w:color="auto" w:fill="auto"/>
            <w:noWrap/>
            <w:vAlign w:val="center"/>
          </w:tcPr>
          <w:p w14:paraId="17E92E8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22.59</w:t>
            </w:r>
          </w:p>
        </w:tc>
        <w:tc>
          <w:tcPr>
            <w:tcW w:w="606" w:type="pct"/>
            <w:shd w:val="clear" w:color="auto" w:fill="auto"/>
            <w:noWrap/>
            <w:vAlign w:val="center"/>
          </w:tcPr>
          <w:p w14:paraId="67AA20F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22.71</w:t>
            </w:r>
          </w:p>
        </w:tc>
        <w:tc>
          <w:tcPr>
            <w:tcW w:w="609" w:type="pct"/>
            <w:shd w:val="clear" w:color="auto" w:fill="auto"/>
            <w:noWrap/>
            <w:vAlign w:val="center"/>
          </w:tcPr>
          <w:p w14:paraId="04BEB717"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23.49</w:t>
            </w:r>
          </w:p>
        </w:tc>
        <w:tc>
          <w:tcPr>
            <w:tcW w:w="607" w:type="pct"/>
            <w:shd w:val="clear" w:color="auto" w:fill="auto"/>
            <w:noWrap/>
            <w:vAlign w:val="center"/>
          </w:tcPr>
          <w:p w14:paraId="2382924C"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23.91</w:t>
            </w:r>
          </w:p>
        </w:tc>
        <w:tc>
          <w:tcPr>
            <w:tcW w:w="606" w:type="pct"/>
            <w:shd w:val="clear" w:color="auto" w:fill="auto"/>
            <w:noWrap/>
            <w:vAlign w:val="center"/>
          </w:tcPr>
          <w:p w14:paraId="6333362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23.98</w:t>
            </w:r>
          </w:p>
        </w:tc>
        <w:tc>
          <w:tcPr>
            <w:tcW w:w="557" w:type="pct"/>
            <w:shd w:val="clear" w:color="auto" w:fill="auto"/>
            <w:noWrap/>
            <w:vAlign w:val="center"/>
          </w:tcPr>
          <w:p w14:paraId="3EB0D65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23.98</w:t>
            </w:r>
          </w:p>
        </w:tc>
      </w:tr>
      <w:tr w:rsidR="000A0ACD" w14:paraId="23C25FD6" w14:textId="77777777">
        <w:trPr>
          <w:trHeight w:val="397"/>
        </w:trPr>
        <w:tc>
          <w:tcPr>
            <w:tcW w:w="781" w:type="pct"/>
            <w:shd w:val="clear" w:color="auto" w:fill="auto"/>
            <w:noWrap/>
            <w:vAlign w:val="center"/>
          </w:tcPr>
          <w:p w14:paraId="23EC1A02"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中介费</w:t>
            </w:r>
          </w:p>
        </w:tc>
        <w:tc>
          <w:tcPr>
            <w:tcW w:w="606" w:type="pct"/>
            <w:shd w:val="clear" w:color="auto" w:fill="auto"/>
            <w:noWrap/>
            <w:vAlign w:val="center"/>
          </w:tcPr>
          <w:p w14:paraId="33AE925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33.19</w:t>
            </w:r>
          </w:p>
        </w:tc>
        <w:tc>
          <w:tcPr>
            <w:tcW w:w="609" w:type="pct"/>
            <w:shd w:val="clear" w:color="auto" w:fill="auto"/>
            <w:noWrap/>
            <w:vAlign w:val="center"/>
          </w:tcPr>
          <w:p w14:paraId="4B312F1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42.60</w:t>
            </w:r>
          </w:p>
        </w:tc>
        <w:tc>
          <w:tcPr>
            <w:tcW w:w="606" w:type="pct"/>
            <w:shd w:val="clear" w:color="auto" w:fill="auto"/>
            <w:noWrap/>
            <w:vAlign w:val="center"/>
          </w:tcPr>
          <w:p w14:paraId="38E80ECC"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43.88</w:t>
            </w:r>
          </w:p>
        </w:tc>
        <w:tc>
          <w:tcPr>
            <w:tcW w:w="609" w:type="pct"/>
            <w:shd w:val="clear" w:color="auto" w:fill="auto"/>
            <w:noWrap/>
            <w:vAlign w:val="center"/>
          </w:tcPr>
          <w:p w14:paraId="398C7D9A"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45.20</w:t>
            </w:r>
          </w:p>
        </w:tc>
        <w:tc>
          <w:tcPr>
            <w:tcW w:w="607" w:type="pct"/>
            <w:shd w:val="clear" w:color="auto" w:fill="auto"/>
            <w:noWrap/>
            <w:vAlign w:val="center"/>
          </w:tcPr>
          <w:p w14:paraId="5DBB607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46.55</w:t>
            </w:r>
          </w:p>
        </w:tc>
        <w:tc>
          <w:tcPr>
            <w:tcW w:w="606" w:type="pct"/>
            <w:shd w:val="clear" w:color="auto" w:fill="auto"/>
            <w:noWrap/>
            <w:vAlign w:val="center"/>
          </w:tcPr>
          <w:p w14:paraId="786FFE0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47.95</w:t>
            </w:r>
          </w:p>
        </w:tc>
        <w:tc>
          <w:tcPr>
            <w:tcW w:w="557" w:type="pct"/>
            <w:shd w:val="clear" w:color="auto" w:fill="auto"/>
            <w:noWrap/>
            <w:vAlign w:val="center"/>
          </w:tcPr>
          <w:p w14:paraId="7B70719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47.95</w:t>
            </w:r>
          </w:p>
        </w:tc>
      </w:tr>
      <w:tr w:rsidR="000A0ACD" w14:paraId="6A93BFC7" w14:textId="77777777">
        <w:trPr>
          <w:trHeight w:val="397"/>
        </w:trPr>
        <w:tc>
          <w:tcPr>
            <w:tcW w:w="781" w:type="pct"/>
            <w:shd w:val="clear" w:color="auto" w:fill="auto"/>
            <w:noWrap/>
            <w:vAlign w:val="center"/>
          </w:tcPr>
          <w:p w14:paraId="72E34E36"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办公费</w:t>
            </w:r>
          </w:p>
        </w:tc>
        <w:tc>
          <w:tcPr>
            <w:tcW w:w="606" w:type="pct"/>
            <w:shd w:val="clear" w:color="auto" w:fill="auto"/>
            <w:noWrap/>
            <w:vAlign w:val="center"/>
          </w:tcPr>
          <w:p w14:paraId="153C53AC"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19.45</w:t>
            </w:r>
          </w:p>
        </w:tc>
        <w:tc>
          <w:tcPr>
            <w:tcW w:w="609" w:type="pct"/>
            <w:shd w:val="clear" w:color="auto" w:fill="auto"/>
            <w:noWrap/>
            <w:vAlign w:val="center"/>
          </w:tcPr>
          <w:p w14:paraId="4662B03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46.01</w:t>
            </w:r>
          </w:p>
        </w:tc>
        <w:tc>
          <w:tcPr>
            <w:tcW w:w="606" w:type="pct"/>
            <w:shd w:val="clear" w:color="auto" w:fill="auto"/>
            <w:noWrap/>
            <w:vAlign w:val="center"/>
          </w:tcPr>
          <w:p w14:paraId="531034A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50.13</w:t>
            </w:r>
          </w:p>
        </w:tc>
        <w:tc>
          <w:tcPr>
            <w:tcW w:w="609" w:type="pct"/>
            <w:shd w:val="clear" w:color="auto" w:fill="auto"/>
            <w:noWrap/>
            <w:vAlign w:val="center"/>
          </w:tcPr>
          <w:p w14:paraId="2FC0EDB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53.57</w:t>
            </w:r>
          </w:p>
        </w:tc>
        <w:tc>
          <w:tcPr>
            <w:tcW w:w="607" w:type="pct"/>
            <w:shd w:val="clear" w:color="auto" w:fill="auto"/>
            <w:noWrap/>
            <w:vAlign w:val="center"/>
          </w:tcPr>
          <w:p w14:paraId="176C79C6"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54.94</w:t>
            </w:r>
          </w:p>
        </w:tc>
        <w:tc>
          <w:tcPr>
            <w:tcW w:w="606" w:type="pct"/>
            <w:shd w:val="clear" w:color="auto" w:fill="auto"/>
            <w:noWrap/>
            <w:vAlign w:val="center"/>
          </w:tcPr>
          <w:p w14:paraId="378850C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56.31</w:t>
            </w:r>
          </w:p>
        </w:tc>
        <w:tc>
          <w:tcPr>
            <w:tcW w:w="557" w:type="pct"/>
            <w:shd w:val="clear" w:color="auto" w:fill="auto"/>
            <w:noWrap/>
            <w:vAlign w:val="center"/>
          </w:tcPr>
          <w:p w14:paraId="0390F1AA"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56.31</w:t>
            </w:r>
          </w:p>
        </w:tc>
      </w:tr>
      <w:tr w:rsidR="000A0ACD" w14:paraId="1461FB97" w14:textId="77777777">
        <w:trPr>
          <w:trHeight w:val="397"/>
        </w:trPr>
        <w:tc>
          <w:tcPr>
            <w:tcW w:w="781" w:type="pct"/>
            <w:shd w:val="clear" w:color="auto" w:fill="auto"/>
            <w:noWrap/>
            <w:vAlign w:val="center"/>
          </w:tcPr>
          <w:p w14:paraId="413117E6"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车辆费</w:t>
            </w:r>
          </w:p>
        </w:tc>
        <w:tc>
          <w:tcPr>
            <w:tcW w:w="606" w:type="pct"/>
            <w:shd w:val="clear" w:color="auto" w:fill="auto"/>
            <w:noWrap/>
            <w:vAlign w:val="center"/>
          </w:tcPr>
          <w:p w14:paraId="136EADE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49.42</w:t>
            </w:r>
          </w:p>
        </w:tc>
        <w:tc>
          <w:tcPr>
            <w:tcW w:w="609" w:type="pct"/>
            <w:shd w:val="clear" w:color="auto" w:fill="auto"/>
            <w:noWrap/>
            <w:vAlign w:val="center"/>
          </w:tcPr>
          <w:p w14:paraId="1811EDC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112.59</w:t>
            </w:r>
          </w:p>
        </w:tc>
        <w:tc>
          <w:tcPr>
            <w:tcW w:w="606" w:type="pct"/>
            <w:shd w:val="clear" w:color="auto" w:fill="auto"/>
            <w:noWrap/>
            <w:vAlign w:val="center"/>
          </w:tcPr>
          <w:p w14:paraId="02DBBEFE"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124.58</w:t>
            </w:r>
          </w:p>
        </w:tc>
        <w:tc>
          <w:tcPr>
            <w:tcW w:w="609" w:type="pct"/>
            <w:shd w:val="clear" w:color="auto" w:fill="auto"/>
            <w:noWrap/>
            <w:vAlign w:val="center"/>
          </w:tcPr>
          <w:p w14:paraId="433AC5A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133.92</w:t>
            </w:r>
          </w:p>
        </w:tc>
        <w:tc>
          <w:tcPr>
            <w:tcW w:w="607" w:type="pct"/>
            <w:shd w:val="clear" w:color="auto" w:fill="auto"/>
            <w:noWrap/>
            <w:vAlign w:val="center"/>
          </w:tcPr>
          <w:p w14:paraId="40BC838A"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141.27</w:t>
            </w:r>
          </w:p>
        </w:tc>
        <w:tc>
          <w:tcPr>
            <w:tcW w:w="606" w:type="pct"/>
            <w:shd w:val="clear" w:color="auto" w:fill="auto"/>
            <w:noWrap/>
            <w:vAlign w:val="center"/>
          </w:tcPr>
          <w:p w14:paraId="1B0F0BA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145.51</w:t>
            </w:r>
          </w:p>
        </w:tc>
        <w:tc>
          <w:tcPr>
            <w:tcW w:w="557" w:type="pct"/>
            <w:shd w:val="clear" w:color="auto" w:fill="auto"/>
            <w:noWrap/>
            <w:vAlign w:val="center"/>
          </w:tcPr>
          <w:p w14:paraId="2B3E697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145.51</w:t>
            </w:r>
          </w:p>
        </w:tc>
      </w:tr>
      <w:tr w:rsidR="000A0ACD" w14:paraId="2C232E60" w14:textId="77777777">
        <w:trPr>
          <w:trHeight w:val="397"/>
        </w:trPr>
        <w:tc>
          <w:tcPr>
            <w:tcW w:w="781" w:type="pct"/>
            <w:shd w:val="clear" w:color="auto" w:fill="auto"/>
            <w:noWrap/>
            <w:vAlign w:val="center"/>
          </w:tcPr>
          <w:p w14:paraId="0DFD8A27"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差旅费</w:t>
            </w:r>
          </w:p>
        </w:tc>
        <w:tc>
          <w:tcPr>
            <w:tcW w:w="606" w:type="pct"/>
            <w:shd w:val="clear" w:color="auto" w:fill="auto"/>
            <w:noWrap/>
            <w:vAlign w:val="center"/>
          </w:tcPr>
          <w:p w14:paraId="52A9B9C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37.15</w:t>
            </w:r>
          </w:p>
        </w:tc>
        <w:tc>
          <w:tcPr>
            <w:tcW w:w="609" w:type="pct"/>
            <w:shd w:val="clear" w:color="auto" w:fill="auto"/>
            <w:noWrap/>
            <w:vAlign w:val="center"/>
          </w:tcPr>
          <w:p w14:paraId="54490FA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154.36</w:t>
            </w:r>
          </w:p>
        </w:tc>
        <w:tc>
          <w:tcPr>
            <w:tcW w:w="606" w:type="pct"/>
            <w:shd w:val="clear" w:color="auto" w:fill="auto"/>
            <w:noWrap/>
            <w:vAlign w:val="center"/>
          </w:tcPr>
          <w:p w14:paraId="11EAB6B7"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170.78</w:t>
            </w:r>
          </w:p>
        </w:tc>
        <w:tc>
          <w:tcPr>
            <w:tcW w:w="609" w:type="pct"/>
            <w:shd w:val="clear" w:color="auto" w:fill="auto"/>
            <w:noWrap/>
            <w:vAlign w:val="center"/>
          </w:tcPr>
          <w:p w14:paraId="747048AB"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183.60</w:t>
            </w:r>
          </w:p>
        </w:tc>
        <w:tc>
          <w:tcPr>
            <w:tcW w:w="607" w:type="pct"/>
            <w:shd w:val="clear" w:color="auto" w:fill="auto"/>
            <w:noWrap/>
            <w:vAlign w:val="center"/>
          </w:tcPr>
          <w:p w14:paraId="12A0BF2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193.68</w:t>
            </w:r>
          </w:p>
        </w:tc>
        <w:tc>
          <w:tcPr>
            <w:tcW w:w="606" w:type="pct"/>
            <w:shd w:val="clear" w:color="auto" w:fill="auto"/>
            <w:noWrap/>
            <w:vAlign w:val="center"/>
          </w:tcPr>
          <w:p w14:paraId="3BD339AD"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199.48</w:t>
            </w:r>
          </w:p>
        </w:tc>
        <w:tc>
          <w:tcPr>
            <w:tcW w:w="557" w:type="pct"/>
            <w:shd w:val="clear" w:color="auto" w:fill="auto"/>
            <w:noWrap/>
            <w:vAlign w:val="center"/>
          </w:tcPr>
          <w:p w14:paraId="3158864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199.48</w:t>
            </w:r>
          </w:p>
        </w:tc>
      </w:tr>
      <w:tr w:rsidR="000A0ACD" w14:paraId="75BEF342" w14:textId="77777777">
        <w:trPr>
          <w:trHeight w:val="397"/>
        </w:trPr>
        <w:tc>
          <w:tcPr>
            <w:tcW w:w="781" w:type="pct"/>
            <w:shd w:val="clear" w:color="auto" w:fill="auto"/>
            <w:noWrap/>
            <w:vAlign w:val="center"/>
          </w:tcPr>
          <w:p w14:paraId="5CB6ECA5"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修理费</w:t>
            </w:r>
          </w:p>
        </w:tc>
        <w:tc>
          <w:tcPr>
            <w:tcW w:w="606" w:type="pct"/>
            <w:shd w:val="clear" w:color="auto" w:fill="auto"/>
            <w:noWrap/>
            <w:vAlign w:val="center"/>
          </w:tcPr>
          <w:p w14:paraId="70A152A0"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4.47</w:t>
            </w:r>
          </w:p>
        </w:tc>
        <w:tc>
          <w:tcPr>
            <w:tcW w:w="609" w:type="pct"/>
            <w:shd w:val="clear" w:color="auto" w:fill="auto"/>
            <w:noWrap/>
            <w:vAlign w:val="center"/>
          </w:tcPr>
          <w:p w14:paraId="77EBB86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11.22</w:t>
            </w:r>
          </w:p>
        </w:tc>
        <w:tc>
          <w:tcPr>
            <w:tcW w:w="606" w:type="pct"/>
            <w:shd w:val="clear" w:color="auto" w:fill="auto"/>
            <w:noWrap/>
            <w:vAlign w:val="center"/>
          </w:tcPr>
          <w:p w14:paraId="290E90C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12.41</w:t>
            </w:r>
          </w:p>
        </w:tc>
        <w:tc>
          <w:tcPr>
            <w:tcW w:w="609" w:type="pct"/>
            <w:shd w:val="clear" w:color="auto" w:fill="auto"/>
            <w:noWrap/>
            <w:vAlign w:val="center"/>
          </w:tcPr>
          <w:p w14:paraId="2ED3F24A"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13.35</w:t>
            </w:r>
          </w:p>
        </w:tc>
        <w:tc>
          <w:tcPr>
            <w:tcW w:w="607" w:type="pct"/>
            <w:shd w:val="clear" w:color="auto" w:fill="auto"/>
            <w:noWrap/>
            <w:vAlign w:val="center"/>
          </w:tcPr>
          <w:p w14:paraId="1402C0E0"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14.08</w:t>
            </w:r>
          </w:p>
        </w:tc>
        <w:tc>
          <w:tcPr>
            <w:tcW w:w="606" w:type="pct"/>
            <w:shd w:val="clear" w:color="auto" w:fill="auto"/>
            <w:noWrap/>
            <w:vAlign w:val="center"/>
          </w:tcPr>
          <w:p w14:paraId="48AE097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14.50</w:t>
            </w:r>
          </w:p>
        </w:tc>
        <w:tc>
          <w:tcPr>
            <w:tcW w:w="557" w:type="pct"/>
            <w:shd w:val="clear" w:color="auto" w:fill="auto"/>
            <w:noWrap/>
            <w:vAlign w:val="center"/>
          </w:tcPr>
          <w:p w14:paraId="57AF28D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14.50</w:t>
            </w:r>
          </w:p>
        </w:tc>
      </w:tr>
      <w:tr w:rsidR="000A0ACD" w14:paraId="5A0CABE0" w14:textId="77777777">
        <w:trPr>
          <w:trHeight w:val="397"/>
        </w:trPr>
        <w:tc>
          <w:tcPr>
            <w:tcW w:w="781" w:type="pct"/>
            <w:shd w:val="clear" w:color="auto" w:fill="auto"/>
            <w:noWrap/>
            <w:vAlign w:val="center"/>
          </w:tcPr>
          <w:p w14:paraId="3987106E"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招待费</w:t>
            </w:r>
          </w:p>
        </w:tc>
        <w:tc>
          <w:tcPr>
            <w:tcW w:w="606" w:type="pct"/>
            <w:shd w:val="clear" w:color="auto" w:fill="auto"/>
            <w:noWrap/>
            <w:vAlign w:val="center"/>
          </w:tcPr>
          <w:p w14:paraId="0D8E23B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90.70</w:t>
            </w:r>
          </w:p>
        </w:tc>
        <w:tc>
          <w:tcPr>
            <w:tcW w:w="609" w:type="pct"/>
            <w:shd w:val="clear" w:color="auto" w:fill="auto"/>
            <w:noWrap/>
            <w:vAlign w:val="center"/>
          </w:tcPr>
          <w:p w14:paraId="20FC7EC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282.33</w:t>
            </w:r>
          </w:p>
        </w:tc>
        <w:tc>
          <w:tcPr>
            <w:tcW w:w="606" w:type="pct"/>
            <w:shd w:val="clear" w:color="auto" w:fill="auto"/>
            <w:noWrap/>
            <w:vAlign w:val="center"/>
          </w:tcPr>
          <w:p w14:paraId="1197FEE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290.80</w:t>
            </w:r>
          </w:p>
        </w:tc>
        <w:tc>
          <w:tcPr>
            <w:tcW w:w="609" w:type="pct"/>
            <w:shd w:val="clear" w:color="auto" w:fill="auto"/>
            <w:noWrap/>
            <w:vAlign w:val="center"/>
          </w:tcPr>
          <w:p w14:paraId="0F1A5AEE"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299.52</w:t>
            </w:r>
          </w:p>
        </w:tc>
        <w:tc>
          <w:tcPr>
            <w:tcW w:w="607" w:type="pct"/>
            <w:shd w:val="clear" w:color="auto" w:fill="auto"/>
            <w:noWrap/>
            <w:vAlign w:val="center"/>
          </w:tcPr>
          <w:p w14:paraId="011F17BC"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308.51</w:t>
            </w:r>
          </w:p>
        </w:tc>
        <w:tc>
          <w:tcPr>
            <w:tcW w:w="606" w:type="pct"/>
            <w:shd w:val="clear" w:color="auto" w:fill="auto"/>
            <w:noWrap/>
            <w:vAlign w:val="center"/>
          </w:tcPr>
          <w:p w14:paraId="20DE2E6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317.76</w:t>
            </w:r>
          </w:p>
        </w:tc>
        <w:tc>
          <w:tcPr>
            <w:tcW w:w="557" w:type="pct"/>
            <w:shd w:val="clear" w:color="auto" w:fill="auto"/>
            <w:noWrap/>
            <w:vAlign w:val="center"/>
          </w:tcPr>
          <w:p w14:paraId="06A744F2"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317.76</w:t>
            </w:r>
          </w:p>
        </w:tc>
      </w:tr>
      <w:tr w:rsidR="000A0ACD" w14:paraId="6A6C645A" w14:textId="77777777">
        <w:trPr>
          <w:trHeight w:val="397"/>
        </w:trPr>
        <w:tc>
          <w:tcPr>
            <w:tcW w:w="781" w:type="pct"/>
            <w:shd w:val="clear" w:color="auto" w:fill="auto"/>
            <w:noWrap/>
            <w:vAlign w:val="center"/>
          </w:tcPr>
          <w:p w14:paraId="332A9C29"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诉讼费</w:t>
            </w:r>
          </w:p>
        </w:tc>
        <w:tc>
          <w:tcPr>
            <w:tcW w:w="606" w:type="pct"/>
            <w:shd w:val="clear" w:color="auto" w:fill="auto"/>
            <w:noWrap/>
            <w:vAlign w:val="center"/>
          </w:tcPr>
          <w:p w14:paraId="04B5A2B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5.00</w:t>
            </w:r>
          </w:p>
        </w:tc>
        <w:tc>
          <w:tcPr>
            <w:tcW w:w="609" w:type="pct"/>
            <w:shd w:val="clear" w:color="auto" w:fill="auto"/>
            <w:noWrap/>
            <w:vAlign w:val="center"/>
          </w:tcPr>
          <w:p w14:paraId="47302DCE"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5.55</w:t>
            </w:r>
          </w:p>
        </w:tc>
        <w:tc>
          <w:tcPr>
            <w:tcW w:w="606" w:type="pct"/>
            <w:shd w:val="clear" w:color="auto" w:fill="auto"/>
            <w:noWrap/>
            <w:vAlign w:val="center"/>
          </w:tcPr>
          <w:p w14:paraId="1E5A242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5.72</w:t>
            </w:r>
          </w:p>
        </w:tc>
        <w:tc>
          <w:tcPr>
            <w:tcW w:w="609" w:type="pct"/>
            <w:shd w:val="clear" w:color="auto" w:fill="auto"/>
            <w:noWrap/>
            <w:vAlign w:val="center"/>
          </w:tcPr>
          <w:p w14:paraId="032AEB94"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5.89</w:t>
            </w:r>
          </w:p>
        </w:tc>
        <w:tc>
          <w:tcPr>
            <w:tcW w:w="607" w:type="pct"/>
            <w:shd w:val="clear" w:color="auto" w:fill="auto"/>
            <w:noWrap/>
            <w:vAlign w:val="center"/>
          </w:tcPr>
          <w:p w14:paraId="209C51B4"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6.07</w:t>
            </w:r>
          </w:p>
        </w:tc>
        <w:tc>
          <w:tcPr>
            <w:tcW w:w="606" w:type="pct"/>
            <w:shd w:val="clear" w:color="auto" w:fill="auto"/>
            <w:noWrap/>
            <w:vAlign w:val="center"/>
          </w:tcPr>
          <w:p w14:paraId="27F71E1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6.25</w:t>
            </w:r>
          </w:p>
        </w:tc>
        <w:tc>
          <w:tcPr>
            <w:tcW w:w="557" w:type="pct"/>
            <w:shd w:val="clear" w:color="auto" w:fill="auto"/>
            <w:noWrap/>
            <w:vAlign w:val="center"/>
          </w:tcPr>
          <w:p w14:paraId="4E493B15"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6.25</w:t>
            </w:r>
          </w:p>
        </w:tc>
      </w:tr>
      <w:tr w:rsidR="000A0ACD" w14:paraId="7233014A" w14:textId="77777777">
        <w:trPr>
          <w:trHeight w:val="397"/>
        </w:trPr>
        <w:tc>
          <w:tcPr>
            <w:tcW w:w="781" w:type="pct"/>
            <w:shd w:val="clear" w:color="auto" w:fill="auto"/>
            <w:noWrap/>
            <w:vAlign w:val="center"/>
          </w:tcPr>
          <w:p w14:paraId="5B52B4B9"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保险费</w:t>
            </w:r>
          </w:p>
        </w:tc>
        <w:tc>
          <w:tcPr>
            <w:tcW w:w="606" w:type="pct"/>
            <w:shd w:val="clear" w:color="auto" w:fill="auto"/>
            <w:noWrap/>
            <w:vAlign w:val="center"/>
          </w:tcPr>
          <w:p w14:paraId="0EEC09DB"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3.00</w:t>
            </w:r>
          </w:p>
        </w:tc>
        <w:tc>
          <w:tcPr>
            <w:tcW w:w="609" w:type="pct"/>
            <w:shd w:val="clear" w:color="auto" w:fill="auto"/>
            <w:noWrap/>
            <w:vAlign w:val="center"/>
          </w:tcPr>
          <w:p w14:paraId="1042D89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14.42</w:t>
            </w:r>
          </w:p>
        </w:tc>
        <w:tc>
          <w:tcPr>
            <w:tcW w:w="606" w:type="pct"/>
            <w:shd w:val="clear" w:color="auto" w:fill="auto"/>
            <w:noWrap/>
            <w:vAlign w:val="center"/>
          </w:tcPr>
          <w:p w14:paraId="6F7B33D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15.95</w:t>
            </w:r>
          </w:p>
        </w:tc>
        <w:tc>
          <w:tcPr>
            <w:tcW w:w="609" w:type="pct"/>
            <w:shd w:val="clear" w:color="auto" w:fill="auto"/>
            <w:noWrap/>
            <w:vAlign w:val="center"/>
          </w:tcPr>
          <w:p w14:paraId="648111BA"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17.15</w:t>
            </w:r>
          </w:p>
        </w:tc>
        <w:tc>
          <w:tcPr>
            <w:tcW w:w="607" w:type="pct"/>
            <w:shd w:val="clear" w:color="auto" w:fill="auto"/>
            <w:noWrap/>
            <w:vAlign w:val="center"/>
          </w:tcPr>
          <w:p w14:paraId="4691FD30"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18.09</w:t>
            </w:r>
          </w:p>
        </w:tc>
        <w:tc>
          <w:tcPr>
            <w:tcW w:w="606" w:type="pct"/>
            <w:shd w:val="clear" w:color="auto" w:fill="auto"/>
            <w:noWrap/>
            <w:vAlign w:val="center"/>
          </w:tcPr>
          <w:p w14:paraId="69AAF480"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18.63</w:t>
            </w:r>
          </w:p>
        </w:tc>
        <w:tc>
          <w:tcPr>
            <w:tcW w:w="557" w:type="pct"/>
            <w:shd w:val="clear" w:color="auto" w:fill="auto"/>
            <w:noWrap/>
            <w:vAlign w:val="center"/>
          </w:tcPr>
          <w:p w14:paraId="5E72B91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18.63</w:t>
            </w:r>
          </w:p>
        </w:tc>
      </w:tr>
      <w:tr w:rsidR="000A0ACD" w14:paraId="4B19174E" w14:textId="77777777">
        <w:trPr>
          <w:trHeight w:val="397"/>
        </w:trPr>
        <w:tc>
          <w:tcPr>
            <w:tcW w:w="781" w:type="pct"/>
            <w:shd w:val="clear" w:color="auto" w:fill="auto"/>
            <w:noWrap/>
            <w:vAlign w:val="center"/>
          </w:tcPr>
          <w:p w14:paraId="29C56999"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会务费</w:t>
            </w:r>
          </w:p>
        </w:tc>
        <w:tc>
          <w:tcPr>
            <w:tcW w:w="606" w:type="pct"/>
            <w:shd w:val="clear" w:color="auto" w:fill="auto"/>
            <w:noWrap/>
            <w:vAlign w:val="center"/>
          </w:tcPr>
          <w:p w14:paraId="1570D3D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2.00</w:t>
            </w:r>
          </w:p>
        </w:tc>
        <w:tc>
          <w:tcPr>
            <w:tcW w:w="609" w:type="pct"/>
            <w:shd w:val="clear" w:color="auto" w:fill="auto"/>
            <w:noWrap/>
            <w:vAlign w:val="center"/>
          </w:tcPr>
          <w:p w14:paraId="247BE754"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5.00</w:t>
            </w:r>
          </w:p>
        </w:tc>
        <w:tc>
          <w:tcPr>
            <w:tcW w:w="606" w:type="pct"/>
            <w:shd w:val="clear" w:color="auto" w:fill="auto"/>
            <w:noWrap/>
            <w:vAlign w:val="center"/>
          </w:tcPr>
          <w:p w14:paraId="40663D89"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5.15</w:t>
            </w:r>
          </w:p>
        </w:tc>
        <w:tc>
          <w:tcPr>
            <w:tcW w:w="609" w:type="pct"/>
            <w:shd w:val="clear" w:color="auto" w:fill="auto"/>
            <w:noWrap/>
            <w:vAlign w:val="center"/>
          </w:tcPr>
          <w:p w14:paraId="2D537734"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5.30</w:t>
            </w:r>
          </w:p>
        </w:tc>
        <w:tc>
          <w:tcPr>
            <w:tcW w:w="607" w:type="pct"/>
            <w:shd w:val="clear" w:color="auto" w:fill="auto"/>
            <w:noWrap/>
            <w:vAlign w:val="center"/>
          </w:tcPr>
          <w:p w14:paraId="7610D5D6"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5.46</w:t>
            </w:r>
          </w:p>
        </w:tc>
        <w:tc>
          <w:tcPr>
            <w:tcW w:w="606" w:type="pct"/>
            <w:shd w:val="clear" w:color="auto" w:fill="auto"/>
            <w:noWrap/>
            <w:vAlign w:val="center"/>
          </w:tcPr>
          <w:p w14:paraId="7EE86BAC"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5.63</w:t>
            </w:r>
          </w:p>
        </w:tc>
        <w:tc>
          <w:tcPr>
            <w:tcW w:w="557" w:type="pct"/>
            <w:shd w:val="clear" w:color="auto" w:fill="auto"/>
            <w:noWrap/>
            <w:vAlign w:val="center"/>
          </w:tcPr>
          <w:p w14:paraId="3577AC48"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5.63</w:t>
            </w:r>
          </w:p>
        </w:tc>
      </w:tr>
      <w:tr w:rsidR="000A0ACD" w14:paraId="319D1530" w14:textId="77777777">
        <w:trPr>
          <w:trHeight w:val="397"/>
        </w:trPr>
        <w:tc>
          <w:tcPr>
            <w:tcW w:w="781" w:type="pct"/>
            <w:shd w:val="clear" w:color="auto" w:fill="auto"/>
            <w:noWrap/>
            <w:vAlign w:val="center"/>
          </w:tcPr>
          <w:p w14:paraId="1C9FDA50" w14:textId="77777777" w:rsidR="000A0ACD" w:rsidRDefault="00362A99">
            <w:pPr>
              <w:rPr>
                <w:rFonts w:ascii="Times New Roman" w:hAnsi="Times New Roman" w:cs="Times New Roman"/>
                <w:spacing w:val="-6"/>
                <w:sz w:val="21"/>
                <w:szCs w:val="21"/>
              </w:rPr>
            </w:pPr>
            <w:r>
              <w:rPr>
                <w:rFonts w:ascii="Times New Roman" w:hAnsi="Times New Roman" w:cs="Times New Roman" w:hint="eastAsia"/>
                <w:spacing w:val="-6"/>
                <w:sz w:val="21"/>
                <w:szCs w:val="21"/>
              </w:rPr>
              <w:t>其他</w:t>
            </w:r>
          </w:p>
        </w:tc>
        <w:tc>
          <w:tcPr>
            <w:tcW w:w="606" w:type="pct"/>
            <w:shd w:val="clear" w:color="auto" w:fill="auto"/>
            <w:noWrap/>
            <w:vAlign w:val="center"/>
          </w:tcPr>
          <w:p w14:paraId="3B86F3C6"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53.54</w:t>
            </w:r>
          </w:p>
        </w:tc>
        <w:tc>
          <w:tcPr>
            <w:tcW w:w="609" w:type="pct"/>
            <w:shd w:val="clear" w:color="auto" w:fill="auto"/>
            <w:noWrap/>
            <w:vAlign w:val="center"/>
          </w:tcPr>
          <w:p w14:paraId="4342BC0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109.12</w:t>
            </w:r>
          </w:p>
        </w:tc>
        <w:tc>
          <w:tcPr>
            <w:tcW w:w="606" w:type="pct"/>
            <w:shd w:val="clear" w:color="auto" w:fill="auto"/>
            <w:noWrap/>
            <w:vAlign w:val="center"/>
          </w:tcPr>
          <w:p w14:paraId="72357013"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120.74</w:t>
            </w:r>
          </w:p>
        </w:tc>
        <w:tc>
          <w:tcPr>
            <w:tcW w:w="609" w:type="pct"/>
            <w:shd w:val="clear" w:color="auto" w:fill="auto"/>
            <w:noWrap/>
            <w:vAlign w:val="center"/>
          </w:tcPr>
          <w:p w14:paraId="071986EF"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129.80</w:t>
            </w:r>
          </w:p>
        </w:tc>
        <w:tc>
          <w:tcPr>
            <w:tcW w:w="607" w:type="pct"/>
            <w:shd w:val="clear" w:color="auto" w:fill="auto"/>
            <w:noWrap/>
            <w:vAlign w:val="center"/>
          </w:tcPr>
          <w:p w14:paraId="795A4661"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136.92</w:t>
            </w:r>
          </w:p>
        </w:tc>
        <w:tc>
          <w:tcPr>
            <w:tcW w:w="606" w:type="pct"/>
            <w:shd w:val="clear" w:color="auto" w:fill="auto"/>
            <w:noWrap/>
            <w:vAlign w:val="center"/>
          </w:tcPr>
          <w:p w14:paraId="174AE2FD"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141.03</w:t>
            </w:r>
          </w:p>
        </w:tc>
        <w:tc>
          <w:tcPr>
            <w:tcW w:w="557" w:type="pct"/>
            <w:shd w:val="clear" w:color="auto" w:fill="auto"/>
            <w:noWrap/>
            <w:vAlign w:val="center"/>
          </w:tcPr>
          <w:p w14:paraId="2EF2BF2E" w14:textId="77777777" w:rsidR="000A0ACD" w:rsidRDefault="00362A99">
            <w:pPr>
              <w:jc w:val="right"/>
              <w:rPr>
                <w:rFonts w:ascii="Times New Roman" w:hAnsi="Times New Roman" w:cs="Times New Roman"/>
                <w:spacing w:val="-6"/>
                <w:sz w:val="21"/>
                <w:szCs w:val="21"/>
              </w:rPr>
            </w:pPr>
            <w:r>
              <w:rPr>
                <w:rFonts w:ascii="Times New Roman" w:hAnsi="Times New Roman" w:cs="Times New Roman"/>
                <w:spacing w:val="-6"/>
                <w:sz w:val="21"/>
                <w:szCs w:val="21"/>
              </w:rPr>
              <w:t>141.03</w:t>
            </w:r>
          </w:p>
        </w:tc>
      </w:tr>
      <w:tr w:rsidR="000A0ACD" w14:paraId="09C9EA5E" w14:textId="77777777">
        <w:trPr>
          <w:trHeight w:val="397"/>
        </w:trPr>
        <w:tc>
          <w:tcPr>
            <w:tcW w:w="781" w:type="pct"/>
            <w:shd w:val="clear" w:color="auto" w:fill="auto"/>
            <w:noWrap/>
            <w:vAlign w:val="center"/>
          </w:tcPr>
          <w:p w14:paraId="7242A53B" w14:textId="77777777" w:rsidR="000A0ACD" w:rsidRDefault="00362A99">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合计</w:t>
            </w:r>
          </w:p>
        </w:tc>
        <w:tc>
          <w:tcPr>
            <w:tcW w:w="606" w:type="pct"/>
            <w:shd w:val="clear" w:color="auto" w:fill="auto"/>
            <w:noWrap/>
            <w:vAlign w:val="center"/>
          </w:tcPr>
          <w:p w14:paraId="01C9BDA0"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694.96</w:t>
            </w:r>
          </w:p>
        </w:tc>
        <w:tc>
          <w:tcPr>
            <w:tcW w:w="609" w:type="pct"/>
            <w:shd w:val="clear" w:color="auto" w:fill="auto"/>
            <w:noWrap/>
            <w:vAlign w:val="center"/>
          </w:tcPr>
          <w:p w14:paraId="337C59E6"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2,053.60</w:t>
            </w:r>
          </w:p>
        </w:tc>
        <w:tc>
          <w:tcPr>
            <w:tcW w:w="606" w:type="pct"/>
            <w:shd w:val="clear" w:color="auto" w:fill="auto"/>
            <w:noWrap/>
            <w:vAlign w:val="center"/>
          </w:tcPr>
          <w:p w14:paraId="44919DEE"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2,324.17</w:t>
            </w:r>
          </w:p>
        </w:tc>
        <w:tc>
          <w:tcPr>
            <w:tcW w:w="609" w:type="pct"/>
            <w:shd w:val="clear" w:color="auto" w:fill="auto"/>
            <w:noWrap/>
            <w:vAlign w:val="center"/>
          </w:tcPr>
          <w:p w14:paraId="216487FB"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2,545.42</w:t>
            </w:r>
          </w:p>
        </w:tc>
        <w:tc>
          <w:tcPr>
            <w:tcW w:w="607" w:type="pct"/>
            <w:shd w:val="clear" w:color="auto" w:fill="auto"/>
            <w:noWrap/>
            <w:vAlign w:val="center"/>
          </w:tcPr>
          <w:p w14:paraId="28C17DD4"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2,674.11</w:t>
            </w:r>
          </w:p>
        </w:tc>
        <w:tc>
          <w:tcPr>
            <w:tcW w:w="606" w:type="pct"/>
            <w:shd w:val="clear" w:color="auto" w:fill="auto"/>
            <w:noWrap/>
            <w:vAlign w:val="center"/>
          </w:tcPr>
          <w:p w14:paraId="2204F919"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2,778.33</w:t>
            </w:r>
          </w:p>
        </w:tc>
        <w:tc>
          <w:tcPr>
            <w:tcW w:w="557" w:type="pct"/>
            <w:shd w:val="clear" w:color="auto" w:fill="auto"/>
            <w:noWrap/>
            <w:vAlign w:val="center"/>
          </w:tcPr>
          <w:p w14:paraId="33D4E7B5" w14:textId="77777777" w:rsidR="000A0ACD" w:rsidRDefault="00362A99">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2,778.33</w:t>
            </w:r>
          </w:p>
        </w:tc>
      </w:tr>
    </w:tbl>
    <w:p w14:paraId="2230C2EF"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6</w:t>
      </w:r>
      <w:r>
        <w:rPr>
          <w:rFonts w:ascii="Times New Roman" w:hAnsi="Times New Roman" w:cs="Times New Roman" w:hint="eastAsia"/>
          <w:lang w:bidi="ar"/>
        </w:rPr>
        <w:t>）研发费用预测</w:t>
      </w:r>
      <w:bookmarkEnd w:id="120"/>
      <w:bookmarkEnd w:id="121"/>
    </w:p>
    <w:p w14:paraId="43B319CC" w14:textId="77777777" w:rsidR="000A0ACD" w:rsidRDefault="00362A99">
      <w:pPr>
        <w:pStyle w:val="affffd"/>
        <w:spacing w:before="156"/>
        <w:ind w:firstLine="480"/>
        <w:rPr>
          <w:bCs/>
        </w:rPr>
      </w:pPr>
      <w:r>
        <w:rPr>
          <w:rFonts w:hint="eastAsia"/>
          <w:bCs/>
        </w:rPr>
        <w:t>研发费用主要包括工资及福利费、材料费、水电费、差旅费、专利申请费、劳务费、固定资产折旧、设备费及其他费。研发费中的工资是研发部门人员的职工薪酬，根据历史的人员工资水平，结合标的公司的人事发展策略，通过预测未来年度的研发人员人数和人均月工资确定预测期的人员工资；社保费和公积金为根据人员工资计提的各类社保和公积金。评估人员在分析历史年度各项保险费用的计提比例和实际支付情况后，以预测的人员工资为基础，预测未来年度的保险费。</w:t>
      </w:r>
    </w:p>
    <w:p w14:paraId="48F1922F" w14:textId="77777777" w:rsidR="000A0ACD" w:rsidRDefault="00362A99">
      <w:pPr>
        <w:pStyle w:val="affffd"/>
        <w:spacing w:before="156"/>
        <w:ind w:firstLine="480"/>
        <w:rPr>
          <w:bCs/>
        </w:rPr>
      </w:pPr>
      <w:r>
        <w:rPr>
          <w:rFonts w:hint="eastAsia"/>
          <w:bCs/>
        </w:rPr>
        <w:t>对折旧费，遵循了企业执行的一贯会计政策，按照预测年度的实际固定资产规模，采用直线法计提。永续年度按年金确定资本性支出，同时确定当年的折旧费用。</w:t>
      </w:r>
    </w:p>
    <w:p w14:paraId="7681DE34" w14:textId="77777777" w:rsidR="000A0ACD" w:rsidRDefault="00362A99">
      <w:pPr>
        <w:pStyle w:val="affffd"/>
        <w:adjustRightInd w:val="0"/>
        <w:snapToGrid w:val="0"/>
        <w:spacing w:before="156"/>
        <w:ind w:firstLine="480"/>
        <w:rPr>
          <w:bCs/>
          <w:lang w:bidi="ar"/>
        </w:rPr>
      </w:pPr>
      <w:r>
        <w:rPr>
          <w:rFonts w:hint="eastAsia"/>
          <w:bCs/>
          <w:szCs w:val="22"/>
          <w:lang w:val="en-GB"/>
        </w:rPr>
        <w:t>其他研发费用根据其在历史年度中的支付水平，以企业发展规模和收入水平为基础进行预测。</w:t>
      </w:r>
      <w:r>
        <w:rPr>
          <w:rFonts w:hint="eastAsia"/>
          <w:bCs/>
          <w:lang w:bidi="ar"/>
        </w:rPr>
        <w:t>研发费用预测见下表：</w:t>
      </w:r>
    </w:p>
    <w:p w14:paraId="6F365584"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24"/>
        <w:gridCol w:w="999"/>
        <w:gridCol w:w="999"/>
        <w:gridCol w:w="999"/>
        <w:gridCol w:w="999"/>
        <w:gridCol w:w="999"/>
        <w:gridCol w:w="999"/>
        <w:gridCol w:w="1004"/>
      </w:tblGrid>
      <w:tr w:rsidR="000A0ACD" w14:paraId="11F63037" w14:textId="77777777">
        <w:trPr>
          <w:trHeight w:val="397"/>
          <w:tblHeader/>
        </w:trPr>
        <w:tc>
          <w:tcPr>
            <w:tcW w:w="894" w:type="pct"/>
            <w:vMerge w:val="restart"/>
            <w:shd w:val="clear" w:color="auto" w:fill="auto"/>
            <w:vAlign w:val="center"/>
          </w:tcPr>
          <w:p w14:paraId="127BA710"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费用明细项</w:t>
            </w:r>
          </w:p>
        </w:tc>
        <w:tc>
          <w:tcPr>
            <w:tcW w:w="4105" w:type="pct"/>
            <w:gridSpan w:val="7"/>
            <w:shd w:val="clear" w:color="auto" w:fill="auto"/>
            <w:noWrap/>
            <w:vAlign w:val="center"/>
          </w:tcPr>
          <w:p w14:paraId="2CC4B8E7"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未来年度研发费用预测数据</w:t>
            </w:r>
          </w:p>
        </w:tc>
      </w:tr>
      <w:tr w:rsidR="000A0ACD" w14:paraId="2B1D3242" w14:textId="77777777">
        <w:trPr>
          <w:trHeight w:val="397"/>
          <w:tblHeader/>
        </w:trPr>
        <w:tc>
          <w:tcPr>
            <w:tcW w:w="894" w:type="pct"/>
            <w:vMerge/>
            <w:shd w:val="clear" w:color="auto" w:fill="auto"/>
            <w:vAlign w:val="center"/>
          </w:tcPr>
          <w:p w14:paraId="2CA46D99" w14:textId="77777777" w:rsidR="000A0ACD" w:rsidRDefault="000A0ACD">
            <w:pPr>
              <w:rPr>
                <w:rFonts w:ascii="Times New Roman" w:hAnsi="Times New Roman" w:cs="Times New Roman"/>
                <w:b/>
                <w:bCs/>
                <w:sz w:val="21"/>
                <w:szCs w:val="21"/>
              </w:rPr>
            </w:pPr>
          </w:p>
        </w:tc>
        <w:tc>
          <w:tcPr>
            <w:tcW w:w="586" w:type="pct"/>
            <w:shd w:val="clear" w:color="auto" w:fill="auto"/>
            <w:noWrap/>
            <w:vAlign w:val="center"/>
          </w:tcPr>
          <w:p w14:paraId="3B0D423A"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86" w:type="pct"/>
            <w:shd w:val="clear" w:color="auto" w:fill="auto"/>
            <w:noWrap/>
            <w:vAlign w:val="center"/>
          </w:tcPr>
          <w:p w14:paraId="06B27507"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c>
          <w:tcPr>
            <w:tcW w:w="586" w:type="pct"/>
            <w:shd w:val="clear" w:color="auto" w:fill="auto"/>
            <w:noWrap/>
            <w:vAlign w:val="center"/>
          </w:tcPr>
          <w:p w14:paraId="07404BBD"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2022</w:t>
            </w:r>
            <w:r>
              <w:rPr>
                <w:rFonts w:ascii="Times New Roman" w:hAnsi="Times New Roman" w:cs="Times New Roman" w:hint="eastAsia"/>
                <w:b/>
                <w:bCs/>
                <w:sz w:val="21"/>
                <w:szCs w:val="21"/>
              </w:rPr>
              <w:t>年</w:t>
            </w:r>
          </w:p>
        </w:tc>
        <w:tc>
          <w:tcPr>
            <w:tcW w:w="586" w:type="pct"/>
            <w:shd w:val="clear" w:color="auto" w:fill="auto"/>
            <w:noWrap/>
            <w:vAlign w:val="center"/>
          </w:tcPr>
          <w:p w14:paraId="48A63BFF"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2023</w:t>
            </w:r>
            <w:r>
              <w:rPr>
                <w:rFonts w:ascii="Times New Roman" w:hAnsi="Times New Roman" w:cs="Times New Roman" w:hint="eastAsia"/>
                <w:b/>
                <w:bCs/>
                <w:sz w:val="21"/>
                <w:szCs w:val="21"/>
              </w:rPr>
              <w:t>年</w:t>
            </w:r>
          </w:p>
        </w:tc>
        <w:tc>
          <w:tcPr>
            <w:tcW w:w="586" w:type="pct"/>
            <w:shd w:val="clear" w:color="auto" w:fill="auto"/>
            <w:noWrap/>
            <w:vAlign w:val="center"/>
          </w:tcPr>
          <w:p w14:paraId="2C58712A"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2024</w:t>
            </w:r>
            <w:r>
              <w:rPr>
                <w:rFonts w:ascii="Times New Roman" w:hAnsi="Times New Roman" w:cs="Times New Roman" w:hint="eastAsia"/>
                <w:b/>
                <w:bCs/>
                <w:sz w:val="21"/>
                <w:szCs w:val="21"/>
              </w:rPr>
              <w:t>年</w:t>
            </w:r>
          </w:p>
        </w:tc>
        <w:tc>
          <w:tcPr>
            <w:tcW w:w="586" w:type="pct"/>
            <w:shd w:val="clear" w:color="auto" w:fill="auto"/>
            <w:noWrap/>
            <w:vAlign w:val="center"/>
          </w:tcPr>
          <w:p w14:paraId="57FA35B1"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2025</w:t>
            </w:r>
            <w:r>
              <w:rPr>
                <w:rFonts w:ascii="Times New Roman" w:hAnsi="Times New Roman" w:cs="Times New Roman" w:hint="eastAsia"/>
                <w:b/>
                <w:bCs/>
                <w:sz w:val="21"/>
                <w:szCs w:val="21"/>
              </w:rPr>
              <w:t>年</w:t>
            </w:r>
          </w:p>
        </w:tc>
        <w:tc>
          <w:tcPr>
            <w:tcW w:w="589" w:type="pct"/>
            <w:shd w:val="clear" w:color="auto" w:fill="auto"/>
            <w:noWrap/>
            <w:vAlign w:val="center"/>
          </w:tcPr>
          <w:p w14:paraId="34EAB48C"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0A0ACD" w14:paraId="5A279B31" w14:textId="77777777">
        <w:trPr>
          <w:trHeight w:val="397"/>
        </w:trPr>
        <w:tc>
          <w:tcPr>
            <w:tcW w:w="894" w:type="pct"/>
            <w:shd w:val="clear" w:color="auto" w:fill="auto"/>
            <w:noWrap/>
            <w:vAlign w:val="center"/>
          </w:tcPr>
          <w:p w14:paraId="1A1DC7D3"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工资及福利费</w:t>
            </w:r>
          </w:p>
        </w:tc>
        <w:tc>
          <w:tcPr>
            <w:tcW w:w="586" w:type="pct"/>
            <w:shd w:val="clear" w:color="auto" w:fill="auto"/>
            <w:noWrap/>
            <w:vAlign w:val="center"/>
          </w:tcPr>
          <w:p w14:paraId="0387A5D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481.21</w:t>
            </w:r>
          </w:p>
        </w:tc>
        <w:tc>
          <w:tcPr>
            <w:tcW w:w="586" w:type="pct"/>
            <w:shd w:val="clear" w:color="auto" w:fill="auto"/>
            <w:noWrap/>
            <w:vAlign w:val="center"/>
          </w:tcPr>
          <w:p w14:paraId="05F13DA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1,492.77</w:t>
            </w:r>
          </w:p>
        </w:tc>
        <w:tc>
          <w:tcPr>
            <w:tcW w:w="586" w:type="pct"/>
            <w:shd w:val="clear" w:color="auto" w:fill="auto"/>
            <w:noWrap/>
            <w:vAlign w:val="center"/>
          </w:tcPr>
          <w:p w14:paraId="12D7441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1,746.54</w:t>
            </w:r>
          </w:p>
        </w:tc>
        <w:tc>
          <w:tcPr>
            <w:tcW w:w="586" w:type="pct"/>
            <w:shd w:val="clear" w:color="auto" w:fill="auto"/>
            <w:noWrap/>
            <w:vAlign w:val="center"/>
          </w:tcPr>
          <w:p w14:paraId="675C6CC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1,939.67</w:t>
            </w:r>
          </w:p>
        </w:tc>
        <w:tc>
          <w:tcPr>
            <w:tcW w:w="586" w:type="pct"/>
            <w:shd w:val="clear" w:color="auto" w:fill="auto"/>
            <w:noWrap/>
            <w:vAlign w:val="center"/>
          </w:tcPr>
          <w:p w14:paraId="5FC5747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2,034.19</w:t>
            </w:r>
          </w:p>
        </w:tc>
        <w:tc>
          <w:tcPr>
            <w:tcW w:w="586" w:type="pct"/>
            <w:shd w:val="clear" w:color="auto" w:fill="auto"/>
            <w:noWrap/>
            <w:vAlign w:val="center"/>
          </w:tcPr>
          <w:p w14:paraId="3510F9B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2,074.87</w:t>
            </w:r>
          </w:p>
        </w:tc>
        <w:tc>
          <w:tcPr>
            <w:tcW w:w="589" w:type="pct"/>
            <w:shd w:val="clear" w:color="auto" w:fill="auto"/>
            <w:noWrap/>
            <w:vAlign w:val="center"/>
          </w:tcPr>
          <w:p w14:paraId="6748426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2,074.87</w:t>
            </w:r>
          </w:p>
        </w:tc>
      </w:tr>
      <w:tr w:rsidR="000A0ACD" w14:paraId="743BCD8E" w14:textId="77777777">
        <w:trPr>
          <w:trHeight w:val="397"/>
        </w:trPr>
        <w:tc>
          <w:tcPr>
            <w:tcW w:w="894" w:type="pct"/>
            <w:shd w:val="clear" w:color="auto" w:fill="auto"/>
            <w:noWrap/>
            <w:vAlign w:val="center"/>
          </w:tcPr>
          <w:p w14:paraId="3C798EBA"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材料费</w:t>
            </w:r>
          </w:p>
        </w:tc>
        <w:tc>
          <w:tcPr>
            <w:tcW w:w="586" w:type="pct"/>
            <w:shd w:val="clear" w:color="auto" w:fill="auto"/>
            <w:noWrap/>
            <w:vAlign w:val="center"/>
          </w:tcPr>
          <w:p w14:paraId="1E654CF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187.49</w:t>
            </w:r>
          </w:p>
        </w:tc>
        <w:tc>
          <w:tcPr>
            <w:tcW w:w="586" w:type="pct"/>
            <w:shd w:val="clear" w:color="auto" w:fill="auto"/>
            <w:noWrap/>
            <w:vAlign w:val="center"/>
          </w:tcPr>
          <w:p w14:paraId="2F45651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745.27</w:t>
            </w:r>
          </w:p>
        </w:tc>
        <w:tc>
          <w:tcPr>
            <w:tcW w:w="586" w:type="pct"/>
            <w:shd w:val="clear" w:color="auto" w:fill="auto"/>
            <w:noWrap/>
            <w:vAlign w:val="center"/>
          </w:tcPr>
          <w:p w14:paraId="1443C4E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824.59</w:t>
            </w:r>
          </w:p>
        </w:tc>
        <w:tc>
          <w:tcPr>
            <w:tcW w:w="586" w:type="pct"/>
            <w:shd w:val="clear" w:color="auto" w:fill="auto"/>
            <w:noWrap/>
            <w:vAlign w:val="center"/>
          </w:tcPr>
          <w:p w14:paraId="06E679F7"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886.45</w:t>
            </w:r>
          </w:p>
        </w:tc>
        <w:tc>
          <w:tcPr>
            <w:tcW w:w="586" w:type="pct"/>
            <w:shd w:val="clear" w:color="auto" w:fill="auto"/>
            <w:noWrap/>
            <w:vAlign w:val="center"/>
          </w:tcPr>
          <w:p w14:paraId="52E19F3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935.12</w:t>
            </w:r>
          </w:p>
        </w:tc>
        <w:tc>
          <w:tcPr>
            <w:tcW w:w="586" w:type="pct"/>
            <w:shd w:val="clear" w:color="auto" w:fill="auto"/>
            <w:noWrap/>
            <w:vAlign w:val="center"/>
          </w:tcPr>
          <w:p w14:paraId="34A6F54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963.15</w:t>
            </w:r>
          </w:p>
        </w:tc>
        <w:tc>
          <w:tcPr>
            <w:tcW w:w="589" w:type="pct"/>
            <w:shd w:val="clear" w:color="auto" w:fill="auto"/>
            <w:noWrap/>
            <w:vAlign w:val="center"/>
          </w:tcPr>
          <w:p w14:paraId="041D546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963.15</w:t>
            </w:r>
          </w:p>
        </w:tc>
      </w:tr>
      <w:tr w:rsidR="000A0ACD" w14:paraId="0C1549A7" w14:textId="77777777">
        <w:trPr>
          <w:trHeight w:val="397"/>
        </w:trPr>
        <w:tc>
          <w:tcPr>
            <w:tcW w:w="894" w:type="pct"/>
            <w:shd w:val="clear" w:color="auto" w:fill="auto"/>
            <w:noWrap/>
            <w:vAlign w:val="center"/>
          </w:tcPr>
          <w:p w14:paraId="3549AE22"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水电费</w:t>
            </w:r>
          </w:p>
        </w:tc>
        <w:tc>
          <w:tcPr>
            <w:tcW w:w="586" w:type="pct"/>
            <w:shd w:val="clear" w:color="auto" w:fill="auto"/>
            <w:noWrap/>
            <w:vAlign w:val="center"/>
          </w:tcPr>
          <w:p w14:paraId="66AA176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2.61</w:t>
            </w:r>
          </w:p>
        </w:tc>
        <w:tc>
          <w:tcPr>
            <w:tcW w:w="586" w:type="pct"/>
            <w:shd w:val="clear" w:color="auto" w:fill="auto"/>
            <w:noWrap/>
            <w:vAlign w:val="center"/>
          </w:tcPr>
          <w:p w14:paraId="2650CE7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6.55</w:t>
            </w:r>
          </w:p>
        </w:tc>
        <w:tc>
          <w:tcPr>
            <w:tcW w:w="586" w:type="pct"/>
            <w:shd w:val="clear" w:color="auto" w:fill="auto"/>
            <w:noWrap/>
            <w:vAlign w:val="center"/>
          </w:tcPr>
          <w:p w14:paraId="050CA0D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7.25</w:t>
            </w:r>
          </w:p>
        </w:tc>
        <w:tc>
          <w:tcPr>
            <w:tcW w:w="586" w:type="pct"/>
            <w:shd w:val="clear" w:color="auto" w:fill="auto"/>
            <w:noWrap/>
            <w:vAlign w:val="center"/>
          </w:tcPr>
          <w:p w14:paraId="50831F2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7.79</w:t>
            </w:r>
          </w:p>
        </w:tc>
        <w:tc>
          <w:tcPr>
            <w:tcW w:w="586" w:type="pct"/>
            <w:shd w:val="clear" w:color="auto" w:fill="auto"/>
            <w:noWrap/>
            <w:vAlign w:val="center"/>
          </w:tcPr>
          <w:p w14:paraId="514E630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8.22</w:t>
            </w:r>
          </w:p>
        </w:tc>
        <w:tc>
          <w:tcPr>
            <w:tcW w:w="586" w:type="pct"/>
            <w:shd w:val="clear" w:color="auto" w:fill="auto"/>
            <w:noWrap/>
            <w:vAlign w:val="center"/>
          </w:tcPr>
          <w:p w14:paraId="473A9B5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8.47</w:t>
            </w:r>
          </w:p>
        </w:tc>
        <w:tc>
          <w:tcPr>
            <w:tcW w:w="589" w:type="pct"/>
            <w:shd w:val="clear" w:color="auto" w:fill="auto"/>
            <w:noWrap/>
            <w:vAlign w:val="center"/>
          </w:tcPr>
          <w:p w14:paraId="2E65A26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8.47</w:t>
            </w:r>
          </w:p>
        </w:tc>
      </w:tr>
      <w:tr w:rsidR="000A0ACD" w14:paraId="089DF3CB" w14:textId="77777777">
        <w:trPr>
          <w:trHeight w:val="397"/>
        </w:trPr>
        <w:tc>
          <w:tcPr>
            <w:tcW w:w="894" w:type="pct"/>
            <w:shd w:val="clear" w:color="auto" w:fill="auto"/>
            <w:noWrap/>
            <w:vAlign w:val="center"/>
          </w:tcPr>
          <w:p w14:paraId="27B75087"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差旅费</w:t>
            </w:r>
          </w:p>
        </w:tc>
        <w:tc>
          <w:tcPr>
            <w:tcW w:w="586" w:type="pct"/>
            <w:shd w:val="clear" w:color="auto" w:fill="auto"/>
            <w:noWrap/>
            <w:vAlign w:val="center"/>
          </w:tcPr>
          <w:p w14:paraId="3E99221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21.99</w:t>
            </w:r>
          </w:p>
        </w:tc>
        <w:tc>
          <w:tcPr>
            <w:tcW w:w="586" w:type="pct"/>
            <w:shd w:val="clear" w:color="auto" w:fill="auto"/>
            <w:noWrap/>
            <w:vAlign w:val="center"/>
          </w:tcPr>
          <w:p w14:paraId="13BE689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55.14</w:t>
            </w:r>
          </w:p>
        </w:tc>
        <w:tc>
          <w:tcPr>
            <w:tcW w:w="586" w:type="pct"/>
            <w:shd w:val="clear" w:color="auto" w:fill="auto"/>
            <w:noWrap/>
            <w:vAlign w:val="center"/>
          </w:tcPr>
          <w:p w14:paraId="0ABE0E5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61.01</w:t>
            </w:r>
          </w:p>
        </w:tc>
        <w:tc>
          <w:tcPr>
            <w:tcW w:w="586" w:type="pct"/>
            <w:shd w:val="clear" w:color="auto" w:fill="auto"/>
            <w:noWrap/>
            <w:vAlign w:val="center"/>
          </w:tcPr>
          <w:p w14:paraId="3839EC8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65.58</w:t>
            </w:r>
          </w:p>
        </w:tc>
        <w:tc>
          <w:tcPr>
            <w:tcW w:w="586" w:type="pct"/>
            <w:shd w:val="clear" w:color="auto" w:fill="auto"/>
            <w:noWrap/>
            <w:vAlign w:val="center"/>
          </w:tcPr>
          <w:p w14:paraId="2133388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69.19</w:t>
            </w:r>
          </w:p>
        </w:tc>
        <w:tc>
          <w:tcPr>
            <w:tcW w:w="586" w:type="pct"/>
            <w:shd w:val="clear" w:color="auto" w:fill="auto"/>
            <w:noWrap/>
            <w:vAlign w:val="center"/>
          </w:tcPr>
          <w:p w14:paraId="450D66B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71.26</w:t>
            </w:r>
          </w:p>
        </w:tc>
        <w:tc>
          <w:tcPr>
            <w:tcW w:w="589" w:type="pct"/>
            <w:shd w:val="clear" w:color="auto" w:fill="auto"/>
            <w:noWrap/>
            <w:vAlign w:val="center"/>
          </w:tcPr>
          <w:p w14:paraId="2E297C9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71.26</w:t>
            </w:r>
          </w:p>
        </w:tc>
      </w:tr>
      <w:tr w:rsidR="000A0ACD" w14:paraId="4E43BDDD" w14:textId="77777777">
        <w:trPr>
          <w:trHeight w:val="397"/>
        </w:trPr>
        <w:tc>
          <w:tcPr>
            <w:tcW w:w="894" w:type="pct"/>
            <w:shd w:val="clear" w:color="auto" w:fill="auto"/>
            <w:noWrap/>
            <w:vAlign w:val="center"/>
          </w:tcPr>
          <w:p w14:paraId="2E9E700A"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专利申请费</w:t>
            </w:r>
          </w:p>
        </w:tc>
        <w:tc>
          <w:tcPr>
            <w:tcW w:w="586" w:type="pct"/>
            <w:shd w:val="clear" w:color="auto" w:fill="auto"/>
            <w:noWrap/>
            <w:vAlign w:val="center"/>
          </w:tcPr>
          <w:p w14:paraId="0F3CF97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1.04</w:t>
            </w:r>
          </w:p>
        </w:tc>
        <w:tc>
          <w:tcPr>
            <w:tcW w:w="586" w:type="pct"/>
            <w:shd w:val="clear" w:color="auto" w:fill="auto"/>
            <w:noWrap/>
            <w:vAlign w:val="center"/>
          </w:tcPr>
          <w:p w14:paraId="313A144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2.60</w:t>
            </w:r>
          </w:p>
        </w:tc>
        <w:tc>
          <w:tcPr>
            <w:tcW w:w="586" w:type="pct"/>
            <w:shd w:val="clear" w:color="auto" w:fill="auto"/>
            <w:noWrap/>
            <w:vAlign w:val="center"/>
          </w:tcPr>
          <w:p w14:paraId="1C29CD47"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2.88</w:t>
            </w:r>
          </w:p>
        </w:tc>
        <w:tc>
          <w:tcPr>
            <w:tcW w:w="586" w:type="pct"/>
            <w:shd w:val="clear" w:color="auto" w:fill="auto"/>
            <w:noWrap/>
            <w:vAlign w:val="center"/>
          </w:tcPr>
          <w:p w14:paraId="0AB4E79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3.09</w:t>
            </w:r>
          </w:p>
        </w:tc>
        <w:tc>
          <w:tcPr>
            <w:tcW w:w="586" w:type="pct"/>
            <w:shd w:val="clear" w:color="auto" w:fill="auto"/>
            <w:noWrap/>
            <w:vAlign w:val="center"/>
          </w:tcPr>
          <w:p w14:paraId="5924B08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3.26</w:t>
            </w:r>
          </w:p>
        </w:tc>
        <w:tc>
          <w:tcPr>
            <w:tcW w:w="586" w:type="pct"/>
            <w:shd w:val="clear" w:color="auto" w:fill="auto"/>
            <w:noWrap/>
            <w:vAlign w:val="center"/>
          </w:tcPr>
          <w:p w14:paraId="6F94A80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3.36</w:t>
            </w:r>
          </w:p>
        </w:tc>
        <w:tc>
          <w:tcPr>
            <w:tcW w:w="589" w:type="pct"/>
            <w:shd w:val="clear" w:color="auto" w:fill="auto"/>
            <w:noWrap/>
            <w:vAlign w:val="center"/>
          </w:tcPr>
          <w:p w14:paraId="34FFA40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3.36</w:t>
            </w:r>
          </w:p>
        </w:tc>
      </w:tr>
      <w:tr w:rsidR="000A0ACD" w14:paraId="7FB8AA64" w14:textId="77777777">
        <w:trPr>
          <w:trHeight w:val="397"/>
        </w:trPr>
        <w:tc>
          <w:tcPr>
            <w:tcW w:w="894" w:type="pct"/>
            <w:shd w:val="clear" w:color="auto" w:fill="auto"/>
            <w:noWrap/>
            <w:vAlign w:val="center"/>
          </w:tcPr>
          <w:p w14:paraId="17D798A9"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劳务费</w:t>
            </w:r>
          </w:p>
        </w:tc>
        <w:tc>
          <w:tcPr>
            <w:tcW w:w="586" w:type="pct"/>
            <w:shd w:val="clear" w:color="auto" w:fill="auto"/>
            <w:noWrap/>
            <w:vAlign w:val="center"/>
          </w:tcPr>
          <w:p w14:paraId="450848E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4.92</w:t>
            </w:r>
          </w:p>
        </w:tc>
        <w:tc>
          <w:tcPr>
            <w:tcW w:w="586" w:type="pct"/>
            <w:shd w:val="clear" w:color="auto" w:fill="auto"/>
            <w:noWrap/>
            <w:vAlign w:val="center"/>
          </w:tcPr>
          <w:p w14:paraId="69E1F15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12.33</w:t>
            </w:r>
          </w:p>
        </w:tc>
        <w:tc>
          <w:tcPr>
            <w:tcW w:w="586" w:type="pct"/>
            <w:shd w:val="clear" w:color="auto" w:fill="auto"/>
            <w:noWrap/>
            <w:vAlign w:val="center"/>
          </w:tcPr>
          <w:p w14:paraId="1BF4FA5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13.64</w:t>
            </w:r>
          </w:p>
        </w:tc>
        <w:tc>
          <w:tcPr>
            <w:tcW w:w="586" w:type="pct"/>
            <w:shd w:val="clear" w:color="auto" w:fill="auto"/>
            <w:noWrap/>
            <w:vAlign w:val="center"/>
          </w:tcPr>
          <w:p w14:paraId="2033A92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14.66</w:t>
            </w:r>
          </w:p>
        </w:tc>
        <w:tc>
          <w:tcPr>
            <w:tcW w:w="586" w:type="pct"/>
            <w:shd w:val="clear" w:color="auto" w:fill="auto"/>
            <w:noWrap/>
            <w:vAlign w:val="center"/>
          </w:tcPr>
          <w:p w14:paraId="78EC173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15.47</w:t>
            </w:r>
          </w:p>
        </w:tc>
        <w:tc>
          <w:tcPr>
            <w:tcW w:w="586" w:type="pct"/>
            <w:shd w:val="clear" w:color="auto" w:fill="auto"/>
            <w:noWrap/>
            <w:vAlign w:val="center"/>
          </w:tcPr>
          <w:p w14:paraId="1442F2E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15.93</w:t>
            </w:r>
          </w:p>
        </w:tc>
        <w:tc>
          <w:tcPr>
            <w:tcW w:w="589" w:type="pct"/>
            <w:shd w:val="clear" w:color="auto" w:fill="auto"/>
            <w:noWrap/>
            <w:vAlign w:val="center"/>
          </w:tcPr>
          <w:p w14:paraId="676DF0B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15.93</w:t>
            </w:r>
          </w:p>
        </w:tc>
      </w:tr>
      <w:tr w:rsidR="000A0ACD" w14:paraId="4B3EA18D" w14:textId="77777777">
        <w:trPr>
          <w:trHeight w:val="397"/>
        </w:trPr>
        <w:tc>
          <w:tcPr>
            <w:tcW w:w="894" w:type="pct"/>
            <w:shd w:val="clear" w:color="auto" w:fill="auto"/>
            <w:noWrap/>
            <w:vAlign w:val="center"/>
          </w:tcPr>
          <w:p w14:paraId="6A6DBF94"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固定资产折旧</w:t>
            </w:r>
          </w:p>
        </w:tc>
        <w:tc>
          <w:tcPr>
            <w:tcW w:w="586" w:type="pct"/>
            <w:shd w:val="clear" w:color="auto" w:fill="auto"/>
            <w:noWrap/>
            <w:vAlign w:val="center"/>
          </w:tcPr>
          <w:p w14:paraId="0F5B775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5.42</w:t>
            </w:r>
          </w:p>
        </w:tc>
        <w:tc>
          <w:tcPr>
            <w:tcW w:w="586" w:type="pct"/>
            <w:shd w:val="clear" w:color="auto" w:fill="auto"/>
            <w:noWrap/>
            <w:vAlign w:val="center"/>
          </w:tcPr>
          <w:p w14:paraId="42FE37F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10.84</w:t>
            </w:r>
          </w:p>
        </w:tc>
        <w:tc>
          <w:tcPr>
            <w:tcW w:w="586" w:type="pct"/>
            <w:shd w:val="clear" w:color="auto" w:fill="auto"/>
            <w:noWrap/>
            <w:vAlign w:val="center"/>
          </w:tcPr>
          <w:p w14:paraId="2DB700F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10.84</w:t>
            </w:r>
          </w:p>
        </w:tc>
        <w:tc>
          <w:tcPr>
            <w:tcW w:w="586" w:type="pct"/>
            <w:shd w:val="clear" w:color="auto" w:fill="auto"/>
            <w:noWrap/>
            <w:vAlign w:val="center"/>
          </w:tcPr>
          <w:p w14:paraId="60ADAB1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10.84</w:t>
            </w:r>
          </w:p>
        </w:tc>
        <w:tc>
          <w:tcPr>
            <w:tcW w:w="586" w:type="pct"/>
            <w:shd w:val="clear" w:color="auto" w:fill="auto"/>
            <w:noWrap/>
            <w:vAlign w:val="center"/>
          </w:tcPr>
          <w:p w14:paraId="0189B8F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10.84</w:t>
            </w:r>
          </w:p>
        </w:tc>
        <w:tc>
          <w:tcPr>
            <w:tcW w:w="586" w:type="pct"/>
            <w:shd w:val="clear" w:color="auto" w:fill="auto"/>
            <w:noWrap/>
            <w:vAlign w:val="center"/>
          </w:tcPr>
          <w:p w14:paraId="1B89E89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10.84</w:t>
            </w:r>
          </w:p>
        </w:tc>
        <w:tc>
          <w:tcPr>
            <w:tcW w:w="589" w:type="pct"/>
            <w:shd w:val="clear" w:color="auto" w:fill="auto"/>
            <w:noWrap/>
            <w:vAlign w:val="center"/>
          </w:tcPr>
          <w:p w14:paraId="14ACFBA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10.84</w:t>
            </w:r>
          </w:p>
        </w:tc>
      </w:tr>
      <w:tr w:rsidR="000A0ACD" w14:paraId="7AA78CDA" w14:textId="77777777">
        <w:trPr>
          <w:trHeight w:val="397"/>
        </w:trPr>
        <w:tc>
          <w:tcPr>
            <w:tcW w:w="894" w:type="pct"/>
            <w:shd w:val="clear" w:color="auto" w:fill="auto"/>
            <w:noWrap/>
            <w:vAlign w:val="center"/>
          </w:tcPr>
          <w:p w14:paraId="3CC86DAF"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设备费</w:t>
            </w:r>
          </w:p>
        </w:tc>
        <w:tc>
          <w:tcPr>
            <w:tcW w:w="586" w:type="pct"/>
            <w:shd w:val="clear" w:color="auto" w:fill="auto"/>
            <w:noWrap/>
            <w:vAlign w:val="center"/>
          </w:tcPr>
          <w:p w14:paraId="7024B16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14.81</w:t>
            </w:r>
          </w:p>
        </w:tc>
        <w:tc>
          <w:tcPr>
            <w:tcW w:w="586" w:type="pct"/>
            <w:shd w:val="clear" w:color="auto" w:fill="auto"/>
            <w:noWrap/>
            <w:vAlign w:val="center"/>
          </w:tcPr>
          <w:p w14:paraId="4AB7C78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37.12</w:t>
            </w:r>
          </w:p>
        </w:tc>
        <w:tc>
          <w:tcPr>
            <w:tcW w:w="586" w:type="pct"/>
            <w:shd w:val="clear" w:color="auto" w:fill="auto"/>
            <w:noWrap/>
            <w:vAlign w:val="center"/>
          </w:tcPr>
          <w:p w14:paraId="076DE4D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41.07</w:t>
            </w:r>
          </w:p>
        </w:tc>
        <w:tc>
          <w:tcPr>
            <w:tcW w:w="586" w:type="pct"/>
            <w:shd w:val="clear" w:color="auto" w:fill="auto"/>
            <w:noWrap/>
            <w:vAlign w:val="center"/>
          </w:tcPr>
          <w:p w14:paraId="1DF1472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44.16</w:t>
            </w:r>
          </w:p>
        </w:tc>
        <w:tc>
          <w:tcPr>
            <w:tcW w:w="586" w:type="pct"/>
            <w:shd w:val="clear" w:color="auto" w:fill="auto"/>
            <w:noWrap/>
            <w:vAlign w:val="center"/>
          </w:tcPr>
          <w:p w14:paraId="4C427ED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46.58</w:t>
            </w:r>
          </w:p>
        </w:tc>
        <w:tc>
          <w:tcPr>
            <w:tcW w:w="586" w:type="pct"/>
            <w:shd w:val="clear" w:color="auto" w:fill="auto"/>
            <w:noWrap/>
            <w:vAlign w:val="center"/>
          </w:tcPr>
          <w:p w14:paraId="2E093E1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47.98</w:t>
            </w:r>
          </w:p>
        </w:tc>
        <w:tc>
          <w:tcPr>
            <w:tcW w:w="589" w:type="pct"/>
            <w:shd w:val="clear" w:color="auto" w:fill="auto"/>
            <w:noWrap/>
            <w:vAlign w:val="center"/>
          </w:tcPr>
          <w:p w14:paraId="339F205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47.98</w:t>
            </w:r>
          </w:p>
        </w:tc>
      </w:tr>
      <w:tr w:rsidR="000A0ACD" w14:paraId="0E4FFF6F" w14:textId="77777777">
        <w:trPr>
          <w:trHeight w:val="397"/>
        </w:trPr>
        <w:tc>
          <w:tcPr>
            <w:tcW w:w="894" w:type="pct"/>
            <w:shd w:val="clear" w:color="auto" w:fill="auto"/>
            <w:noWrap/>
            <w:vAlign w:val="center"/>
          </w:tcPr>
          <w:p w14:paraId="08D387B3"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其他费用</w:t>
            </w:r>
          </w:p>
        </w:tc>
        <w:tc>
          <w:tcPr>
            <w:tcW w:w="586" w:type="pct"/>
            <w:shd w:val="clear" w:color="auto" w:fill="auto"/>
            <w:noWrap/>
            <w:vAlign w:val="center"/>
          </w:tcPr>
          <w:p w14:paraId="3609A54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1.89</w:t>
            </w:r>
          </w:p>
        </w:tc>
        <w:tc>
          <w:tcPr>
            <w:tcW w:w="586" w:type="pct"/>
            <w:shd w:val="clear" w:color="auto" w:fill="auto"/>
            <w:noWrap/>
            <w:vAlign w:val="center"/>
          </w:tcPr>
          <w:p w14:paraId="2B16B16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4.73</w:t>
            </w:r>
          </w:p>
        </w:tc>
        <w:tc>
          <w:tcPr>
            <w:tcW w:w="586" w:type="pct"/>
            <w:shd w:val="clear" w:color="auto" w:fill="auto"/>
            <w:noWrap/>
            <w:vAlign w:val="center"/>
          </w:tcPr>
          <w:p w14:paraId="20A03B4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5.24</w:t>
            </w:r>
          </w:p>
        </w:tc>
        <w:tc>
          <w:tcPr>
            <w:tcW w:w="586" w:type="pct"/>
            <w:shd w:val="clear" w:color="auto" w:fill="auto"/>
            <w:noWrap/>
            <w:vAlign w:val="center"/>
          </w:tcPr>
          <w:p w14:paraId="3E0F90A7"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5.63</w:t>
            </w:r>
          </w:p>
        </w:tc>
        <w:tc>
          <w:tcPr>
            <w:tcW w:w="586" w:type="pct"/>
            <w:shd w:val="clear" w:color="auto" w:fill="auto"/>
            <w:noWrap/>
            <w:vAlign w:val="center"/>
          </w:tcPr>
          <w:p w14:paraId="762D196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5.94</w:t>
            </w:r>
          </w:p>
        </w:tc>
        <w:tc>
          <w:tcPr>
            <w:tcW w:w="586" w:type="pct"/>
            <w:shd w:val="clear" w:color="auto" w:fill="auto"/>
            <w:noWrap/>
            <w:vAlign w:val="center"/>
          </w:tcPr>
          <w:p w14:paraId="3B3564B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6.12</w:t>
            </w:r>
          </w:p>
        </w:tc>
        <w:tc>
          <w:tcPr>
            <w:tcW w:w="589" w:type="pct"/>
            <w:shd w:val="clear" w:color="auto" w:fill="auto"/>
            <w:noWrap/>
            <w:vAlign w:val="center"/>
          </w:tcPr>
          <w:p w14:paraId="0A6636C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6.12</w:t>
            </w:r>
          </w:p>
        </w:tc>
      </w:tr>
      <w:tr w:rsidR="000A0ACD" w14:paraId="0B496172" w14:textId="77777777">
        <w:trPr>
          <w:trHeight w:val="397"/>
        </w:trPr>
        <w:tc>
          <w:tcPr>
            <w:tcW w:w="894" w:type="pct"/>
            <w:shd w:val="clear" w:color="auto" w:fill="auto"/>
            <w:noWrap/>
            <w:vAlign w:val="center"/>
          </w:tcPr>
          <w:p w14:paraId="2E06ECF6" w14:textId="77777777" w:rsidR="000A0ACD" w:rsidRDefault="00362A99">
            <w:pPr>
              <w:ind w:leftChars="-4" w:left="-10" w:firstLineChars="4" w:firstLine="8"/>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586" w:type="pct"/>
            <w:shd w:val="clear" w:color="auto" w:fill="auto"/>
            <w:noWrap/>
            <w:vAlign w:val="center"/>
          </w:tcPr>
          <w:p w14:paraId="5ABD7694" w14:textId="77777777" w:rsidR="000A0ACD" w:rsidRDefault="00362A99">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721.37</w:t>
            </w:r>
          </w:p>
        </w:tc>
        <w:tc>
          <w:tcPr>
            <w:tcW w:w="586" w:type="pct"/>
            <w:shd w:val="clear" w:color="auto" w:fill="auto"/>
            <w:noWrap/>
            <w:vAlign w:val="center"/>
          </w:tcPr>
          <w:p w14:paraId="317AE41B" w14:textId="77777777" w:rsidR="000A0ACD" w:rsidRDefault="00362A99">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2,367.36</w:t>
            </w:r>
          </w:p>
        </w:tc>
        <w:tc>
          <w:tcPr>
            <w:tcW w:w="586" w:type="pct"/>
            <w:shd w:val="clear" w:color="auto" w:fill="auto"/>
            <w:noWrap/>
            <w:vAlign w:val="center"/>
          </w:tcPr>
          <w:p w14:paraId="528DBF91" w14:textId="77777777" w:rsidR="000A0ACD" w:rsidRDefault="00362A99">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2,713.05</w:t>
            </w:r>
          </w:p>
        </w:tc>
        <w:tc>
          <w:tcPr>
            <w:tcW w:w="586" w:type="pct"/>
            <w:shd w:val="clear" w:color="auto" w:fill="auto"/>
            <w:noWrap/>
            <w:vAlign w:val="center"/>
          </w:tcPr>
          <w:p w14:paraId="22FAFCC3" w14:textId="77777777" w:rsidR="000A0ACD" w:rsidRDefault="00362A99">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2,977.88</w:t>
            </w:r>
          </w:p>
        </w:tc>
        <w:tc>
          <w:tcPr>
            <w:tcW w:w="586" w:type="pct"/>
            <w:shd w:val="clear" w:color="auto" w:fill="auto"/>
            <w:noWrap/>
            <w:vAlign w:val="center"/>
          </w:tcPr>
          <w:p w14:paraId="11BF8B93" w14:textId="77777777" w:rsidR="000A0ACD" w:rsidRDefault="00362A99">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3,128.79</w:t>
            </w:r>
          </w:p>
        </w:tc>
        <w:tc>
          <w:tcPr>
            <w:tcW w:w="586" w:type="pct"/>
            <w:shd w:val="clear" w:color="auto" w:fill="auto"/>
            <w:vAlign w:val="center"/>
          </w:tcPr>
          <w:p w14:paraId="7C5A4BDC" w14:textId="77777777" w:rsidR="000A0ACD" w:rsidRDefault="00362A99">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3,201.96</w:t>
            </w:r>
          </w:p>
        </w:tc>
        <w:tc>
          <w:tcPr>
            <w:tcW w:w="589" w:type="pct"/>
            <w:shd w:val="clear" w:color="auto" w:fill="auto"/>
            <w:noWrap/>
            <w:vAlign w:val="center"/>
          </w:tcPr>
          <w:p w14:paraId="2F1D1F60" w14:textId="77777777" w:rsidR="000A0ACD" w:rsidRDefault="00362A99">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3,201.96</w:t>
            </w:r>
          </w:p>
        </w:tc>
      </w:tr>
    </w:tbl>
    <w:p w14:paraId="192C1567"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7</w:t>
      </w:r>
      <w:r>
        <w:rPr>
          <w:rFonts w:ascii="Times New Roman" w:hAnsi="Times New Roman" w:cs="Times New Roman" w:hint="eastAsia"/>
          <w:lang w:bidi="ar"/>
        </w:rPr>
        <w:t>）财务费用预测</w:t>
      </w:r>
    </w:p>
    <w:p w14:paraId="4B3DD2BB" w14:textId="77777777" w:rsidR="000A0ACD" w:rsidRDefault="00362A99">
      <w:pPr>
        <w:pStyle w:val="affffd"/>
        <w:adjustRightInd w:val="0"/>
        <w:snapToGrid w:val="0"/>
        <w:spacing w:before="156"/>
        <w:ind w:firstLine="480"/>
        <w:rPr>
          <w:bCs/>
          <w:lang w:bidi="ar"/>
        </w:rPr>
      </w:pPr>
      <w:r>
        <w:rPr>
          <w:rFonts w:hint="eastAsia"/>
          <w:bCs/>
          <w:lang w:bidi="ar"/>
        </w:rPr>
        <w:t>财务费用中主要是银行存款所带来的利息收入、手续费和利息支出等。由于经营现金的货币时间价值已在评估值中体现，所以不再对利息收入进行预测；手续费与营业收入紧密相关，故评估时以预测年度的营业收入为基础，参考历史年度的手续费支付水平预测未来年度的手续费；未来年度财务费用预测见下：</w:t>
      </w:r>
    </w:p>
    <w:p w14:paraId="1DCA2042" w14:textId="77777777" w:rsidR="000A0ACD" w:rsidRDefault="00362A99">
      <w:pPr>
        <w:keepNext/>
        <w:jc w:val="right"/>
        <w:rPr>
          <w:bCs/>
          <w:sz w:val="21"/>
          <w:szCs w:val="18"/>
          <w:lang w:val="en-GB"/>
        </w:rPr>
      </w:pPr>
      <w:r>
        <w:rPr>
          <w:rFonts w:ascii="Times New Roman" w:hAnsi="Times New Roman" w:cs="Times New Roman" w:hint="eastAsia"/>
          <w:bCs/>
          <w:color w:val="000000"/>
          <w:sz w:val="21"/>
          <w:szCs w:val="18"/>
          <w:lang w:val="en-GB"/>
        </w:rPr>
        <w:t>单位：万元</w:t>
      </w:r>
    </w:p>
    <w:tbl>
      <w:tblPr>
        <w:tblStyle w:val="affff"/>
        <w:tblW w:w="5000" w:type="pct"/>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52"/>
        <w:gridCol w:w="1563"/>
        <w:gridCol w:w="900"/>
        <w:gridCol w:w="900"/>
        <w:gridCol w:w="900"/>
        <w:gridCol w:w="900"/>
        <w:gridCol w:w="900"/>
        <w:gridCol w:w="907"/>
      </w:tblGrid>
      <w:tr w:rsidR="000A0ACD" w14:paraId="6F18F2DD" w14:textId="77777777">
        <w:trPr>
          <w:trHeight w:val="397"/>
          <w:tblHeader/>
        </w:trPr>
        <w:tc>
          <w:tcPr>
            <w:tcW w:w="910" w:type="pct"/>
            <w:vMerge w:val="restart"/>
            <w:vAlign w:val="center"/>
          </w:tcPr>
          <w:p w14:paraId="6E445306" w14:textId="77777777" w:rsidR="000A0ACD" w:rsidRDefault="00362A99">
            <w:pPr>
              <w:pStyle w:val="affffd"/>
              <w:adjustRightInd w:val="0"/>
              <w:snapToGrid w:val="0"/>
              <w:spacing w:beforeLines="0" w:line="240" w:lineRule="auto"/>
              <w:ind w:firstLineChars="0" w:firstLine="0"/>
              <w:jc w:val="center"/>
              <w:rPr>
                <w:bCs/>
                <w:sz w:val="21"/>
                <w:lang w:bidi="ar"/>
              </w:rPr>
            </w:pPr>
            <w:r>
              <w:rPr>
                <w:rFonts w:hint="eastAsia"/>
                <w:b/>
                <w:bCs/>
                <w:sz w:val="21"/>
              </w:rPr>
              <w:t>费用明细项</w:t>
            </w:r>
          </w:p>
        </w:tc>
        <w:tc>
          <w:tcPr>
            <w:tcW w:w="4089" w:type="pct"/>
            <w:gridSpan w:val="7"/>
            <w:vAlign w:val="center"/>
          </w:tcPr>
          <w:p w14:paraId="4E31FF38" w14:textId="77777777" w:rsidR="000A0ACD" w:rsidRDefault="00362A99">
            <w:pPr>
              <w:pStyle w:val="affffd"/>
              <w:adjustRightInd w:val="0"/>
              <w:snapToGrid w:val="0"/>
              <w:spacing w:beforeLines="0" w:line="240" w:lineRule="auto"/>
              <w:ind w:firstLineChars="0" w:firstLine="0"/>
              <w:jc w:val="center"/>
              <w:rPr>
                <w:bCs/>
                <w:sz w:val="21"/>
                <w:lang w:bidi="ar"/>
              </w:rPr>
            </w:pPr>
            <w:r>
              <w:rPr>
                <w:rFonts w:hint="eastAsia"/>
                <w:b/>
                <w:bCs/>
                <w:sz w:val="21"/>
              </w:rPr>
              <w:t>未来年度财务费用预测数据</w:t>
            </w:r>
          </w:p>
        </w:tc>
      </w:tr>
      <w:tr w:rsidR="000A0ACD" w14:paraId="5EFD0AAB" w14:textId="77777777">
        <w:trPr>
          <w:trHeight w:val="397"/>
          <w:tblHeader/>
        </w:trPr>
        <w:tc>
          <w:tcPr>
            <w:tcW w:w="910" w:type="pct"/>
            <w:vMerge/>
            <w:vAlign w:val="center"/>
          </w:tcPr>
          <w:p w14:paraId="2B29FB3A" w14:textId="77777777" w:rsidR="000A0ACD" w:rsidRDefault="000A0ACD">
            <w:pPr>
              <w:pStyle w:val="affffd"/>
              <w:adjustRightInd w:val="0"/>
              <w:snapToGrid w:val="0"/>
              <w:spacing w:beforeLines="0" w:line="240" w:lineRule="auto"/>
              <w:ind w:firstLineChars="0" w:firstLine="0"/>
              <w:jc w:val="center"/>
              <w:rPr>
                <w:bCs/>
                <w:sz w:val="21"/>
                <w:lang w:bidi="ar"/>
              </w:rPr>
            </w:pPr>
          </w:p>
        </w:tc>
        <w:tc>
          <w:tcPr>
            <w:tcW w:w="917" w:type="pct"/>
            <w:vAlign w:val="center"/>
          </w:tcPr>
          <w:p w14:paraId="0497AC20" w14:textId="77777777" w:rsidR="000A0ACD" w:rsidRDefault="00362A99">
            <w:pPr>
              <w:pStyle w:val="affffd"/>
              <w:adjustRightInd w:val="0"/>
              <w:snapToGrid w:val="0"/>
              <w:spacing w:beforeLines="0" w:line="240" w:lineRule="auto"/>
              <w:ind w:firstLineChars="0" w:firstLine="0"/>
              <w:jc w:val="center"/>
              <w:rPr>
                <w:bCs/>
                <w:sz w:val="21"/>
                <w:lang w:bidi="ar"/>
              </w:rPr>
            </w:pPr>
            <w:r>
              <w:rPr>
                <w:rFonts w:hint="eastAsia"/>
                <w:b/>
                <w:bCs/>
                <w:sz w:val="21"/>
              </w:rPr>
              <w:t>2020</w:t>
            </w:r>
            <w:r>
              <w:rPr>
                <w:rFonts w:hint="eastAsia"/>
                <w:b/>
                <w:bCs/>
                <w:sz w:val="21"/>
              </w:rPr>
              <w:t>年</w:t>
            </w:r>
            <w:r>
              <w:rPr>
                <w:rFonts w:hint="eastAsia"/>
                <w:b/>
                <w:bCs/>
                <w:sz w:val="21"/>
              </w:rPr>
              <w:t>7-12</w:t>
            </w:r>
            <w:r>
              <w:rPr>
                <w:rFonts w:hint="eastAsia"/>
                <w:b/>
                <w:bCs/>
                <w:sz w:val="21"/>
              </w:rPr>
              <w:t>月</w:t>
            </w:r>
          </w:p>
        </w:tc>
        <w:tc>
          <w:tcPr>
            <w:tcW w:w="528" w:type="pct"/>
            <w:vAlign w:val="center"/>
          </w:tcPr>
          <w:p w14:paraId="49B3091D" w14:textId="77777777" w:rsidR="000A0ACD" w:rsidRDefault="00362A99">
            <w:pPr>
              <w:pStyle w:val="affffd"/>
              <w:adjustRightInd w:val="0"/>
              <w:snapToGrid w:val="0"/>
              <w:spacing w:beforeLines="0" w:line="240" w:lineRule="auto"/>
              <w:ind w:firstLineChars="0" w:firstLine="0"/>
              <w:jc w:val="center"/>
              <w:rPr>
                <w:bCs/>
                <w:sz w:val="21"/>
                <w:lang w:bidi="ar"/>
              </w:rPr>
            </w:pPr>
            <w:r>
              <w:rPr>
                <w:rFonts w:hint="eastAsia"/>
                <w:b/>
                <w:bCs/>
                <w:sz w:val="21"/>
              </w:rPr>
              <w:t>2021</w:t>
            </w:r>
            <w:r>
              <w:rPr>
                <w:rFonts w:hint="eastAsia"/>
                <w:b/>
                <w:bCs/>
                <w:sz w:val="21"/>
              </w:rPr>
              <w:t>年</w:t>
            </w:r>
          </w:p>
        </w:tc>
        <w:tc>
          <w:tcPr>
            <w:tcW w:w="528" w:type="pct"/>
            <w:vAlign w:val="center"/>
          </w:tcPr>
          <w:p w14:paraId="74716DEE" w14:textId="77777777" w:rsidR="000A0ACD" w:rsidRDefault="00362A99">
            <w:pPr>
              <w:pStyle w:val="affffd"/>
              <w:adjustRightInd w:val="0"/>
              <w:snapToGrid w:val="0"/>
              <w:spacing w:beforeLines="0" w:line="240" w:lineRule="auto"/>
              <w:ind w:firstLineChars="0" w:firstLine="0"/>
              <w:jc w:val="center"/>
              <w:rPr>
                <w:bCs/>
                <w:sz w:val="21"/>
                <w:lang w:bidi="ar"/>
              </w:rPr>
            </w:pPr>
            <w:r>
              <w:rPr>
                <w:rFonts w:hint="eastAsia"/>
                <w:b/>
                <w:bCs/>
                <w:sz w:val="21"/>
              </w:rPr>
              <w:t>2022</w:t>
            </w:r>
            <w:r>
              <w:rPr>
                <w:rFonts w:hint="eastAsia"/>
                <w:b/>
                <w:bCs/>
                <w:sz w:val="21"/>
              </w:rPr>
              <w:t>年</w:t>
            </w:r>
          </w:p>
        </w:tc>
        <w:tc>
          <w:tcPr>
            <w:tcW w:w="528" w:type="pct"/>
            <w:vAlign w:val="center"/>
          </w:tcPr>
          <w:p w14:paraId="3E933FD8" w14:textId="77777777" w:rsidR="000A0ACD" w:rsidRDefault="00362A99">
            <w:pPr>
              <w:pStyle w:val="affffd"/>
              <w:adjustRightInd w:val="0"/>
              <w:snapToGrid w:val="0"/>
              <w:spacing w:beforeLines="0" w:line="240" w:lineRule="auto"/>
              <w:ind w:firstLineChars="0" w:firstLine="0"/>
              <w:jc w:val="center"/>
              <w:rPr>
                <w:bCs/>
                <w:sz w:val="21"/>
                <w:lang w:bidi="ar"/>
              </w:rPr>
            </w:pPr>
            <w:r>
              <w:rPr>
                <w:rFonts w:hint="eastAsia"/>
                <w:b/>
                <w:bCs/>
                <w:sz w:val="21"/>
              </w:rPr>
              <w:t>2023</w:t>
            </w:r>
            <w:r>
              <w:rPr>
                <w:rFonts w:hint="eastAsia"/>
                <w:b/>
                <w:bCs/>
                <w:sz w:val="21"/>
              </w:rPr>
              <w:t>年</w:t>
            </w:r>
          </w:p>
        </w:tc>
        <w:tc>
          <w:tcPr>
            <w:tcW w:w="528" w:type="pct"/>
            <w:vAlign w:val="center"/>
          </w:tcPr>
          <w:p w14:paraId="32050907" w14:textId="77777777" w:rsidR="000A0ACD" w:rsidRDefault="00362A99">
            <w:pPr>
              <w:pStyle w:val="affffd"/>
              <w:adjustRightInd w:val="0"/>
              <w:snapToGrid w:val="0"/>
              <w:spacing w:beforeLines="0" w:line="240" w:lineRule="auto"/>
              <w:ind w:firstLineChars="0" w:firstLine="0"/>
              <w:jc w:val="center"/>
              <w:rPr>
                <w:bCs/>
                <w:sz w:val="21"/>
                <w:lang w:bidi="ar"/>
              </w:rPr>
            </w:pPr>
            <w:r>
              <w:rPr>
                <w:rFonts w:hint="eastAsia"/>
                <w:b/>
                <w:bCs/>
                <w:sz w:val="21"/>
              </w:rPr>
              <w:t>2024</w:t>
            </w:r>
            <w:r>
              <w:rPr>
                <w:rFonts w:hint="eastAsia"/>
                <w:b/>
                <w:bCs/>
                <w:sz w:val="21"/>
              </w:rPr>
              <w:t>年</w:t>
            </w:r>
          </w:p>
        </w:tc>
        <w:tc>
          <w:tcPr>
            <w:tcW w:w="528" w:type="pct"/>
            <w:vAlign w:val="center"/>
          </w:tcPr>
          <w:p w14:paraId="063816EE" w14:textId="77777777" w:rsidR="000A0ACD" w:rsidRDefault="00362A99">
            <w:pPr>
              <w:pStyle w:val="affffd"/>
              <w:adjustRightInd w:val="0"/>
              <w:snapToGrid w:val="0"/>
              <w:spacing w:beforeLines="0" w:line="240" w:lineRule="auto"/>
              <w:ind w:firstLineChars="0" w:firstLine="0"/>
              <w:jc w:val="center"/>
              <w:rPr>
                <w:bCs/>
                <w:sz w:val="21"/>
                <w:lang w:bidi="ar"/>
              </w:rPr>
            </w:pPr>
            <w:r>
              <w:rPr>
                <w:rFonts w:hint="eastAsia"/>
                <w:b/>
                <w:bCs/>
                <w:sz w:val="21"/>
              </w:rPr>
              <w:t>2025</w:t>
            </w:r>
            <w:r>
              <w:rPr>
                <w:rFonts w:hint="eastAsia"/>
                <w:b/>
                <w:bCs/>
                <w:sz w:val="21"/>
              </w:rPr>
              <w:t>年</w:t>
            </w:r>
          </w:p>
        </w:tc>
        <w:tc>
          <w:tcPr>
            <w:tcW w:w="529" w:type="pct"/>
            <w:vAlign w:val="center"/>
          </w:tcPr>
          <w:p w14:paraId="30D46395" w14:textId="77777777" w:rsidR="000A0ACD" w:rsidRDefault="00362A99">
            <w:pPr>
              <w:pStyle w:val="affffd"/>
              <w:adjustRightInd w:val="0"/>
              <w:snapToGrid w:val="0"/>
              <w:spacing w:beforeLines="0" w:line="240" w:lineRule="auto"/>
              <w:ind w:firstLineChars="0" w:firstLine="0"/>
              <w:jc w:val="center"/>
              <w:rPr>
                <w:bCs/>
                <w:sz w:val="21"/>
                <w:lang w:bidi="ar"/>
              </w:rPr>
            </w:pPr>
            <w:r>
              <w:rPr>
                <w:rFonts w:hint="eastAsia"/>
                <w:b/>
                <w:bCs/>
                <w:sz w:val="21"/>
              </w:rPr>
              <w:t>稳定期</w:t>
            </w:r>
          </w:p>
        </w:tc>
      </w:tr>
      <w:tr w:rsidR="000A0ACD" w14:paraId="3BF746E7" w14:textId="77777777">
        <w:trPr>
          <w:trHeight w:val="397"/>
        </w:trPr>
        <w:tc>
          <w:tcPr>
            <w:tcW w:w="910" w:type="pct"/>
            <w:vAlign w:val="center"/>
          </w:tcPr>
          <w:p w14:paraId="2C8F1D29" w14:textId="77777777" w:rsidR="000A0ACD" w:rsidRDefault="00362A99">
            <w:pPr>
              <w:pStyle w:val="affffd"/>
              <w:adjustRightInd w:val="0"/>
              <w:snapToGrid w:val="0"/>
              <w:spacing w:beforeLines="0" w:line="240" w:lineRule="auto"/>
              <w:ind w:firstLineChars="0" w:firstLine="0"/>
              <w:rPr>
                <w:bCs/>
                <w:sz w:val="21"/>
                <w:lang w:bidi="ar"/>
              </w:rPr>
            </w:pPr>
            <w:r>
              <w:rPr>
                <w:rFonts w:hint="eastAsia"/>
                <w:sz w:val="21"/>
              </w:rPr>
              <w:t>利息支出</w:t>
            </w:r>
          </w:p>
        </w:tc>
        <w:tc>
          <w:tcPr>
            <w:tcW w:w="917" w:type="pct"/>
            <w:vAlign w:val="center"/>
          </w:tcPr>
          <w:p w14:paraId="095E7BF9"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w:t>
            </w:r>
          </w:p>
        </w:tc>
        <w:tc>
          <w:tcPr>
            <w:tcW w:w="528" w:type="pct"/>
            <w:vAlign w:val="center"/>
          </w:tcPr>
          <w:p w14:paraId="08C6BD47"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w:t>
            </w:r>
          </w:p>
        </w:tc>
        <w:tc>
          <w:tcPr>
            <w:tcW w:w="528" w:type="pct"/>
            <w:vAlign w:val="center"/>
          </w:tcPr>
          <w:p w14:paraId="4B57FAA6"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w:t>
            </w:r>
          </w:p>
        </w:tc>
        <w:tc>
          <w:tcPr>
            <w:tcW w:w="528" w:type="pct"/>
            <w:vAlign w:val="center"/>
          </w:tcPr>
          <w:p w14:paraId="09379271"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w:t>
            </w:r>
          </w:p>
        </w:tc>
        <w:tc>
          <w:tcPr>
            <w:tcW w:w="528" w:type="pct"/>
            <w:vAlign w:val="center"/>
          </w:tcPr>
          <w:p w14:paraId="33F9AE40"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w:t>
            </w:r>
          </w:p>
        </w:tc>
        <w:tc>
          <w:tcPr>
            <w:tcW w:w="528" w:type="pct"/>
            <w:vAlign w:val="center"/>
          </w:tcPr>
          <w:p w14:paraId="0C9EA5BE" w14:textId="77777777" w:rsidR="000A0ACD" w:rsidRDefault="000A0ACD">
            <w:pPr>
              <w:pStyle w:val="affffd"/>
              <w:adjustRightInd w:val="0"/>
              <w:snapToGrid w:val="0"/>
              <w:spacing w:beforeLines="0" w:line="240" w:lineRule="auto"/>
              <w:ind w:firstLineChars="0" w:firstLine="0"/>
              <w:jc w:val="right"/>
              <w:rPr>
                <w:bCs/>
                <w:sz w:val="21"/>
                <w:lang w:bidi="ar"/>
              </w:rPr>
            </w:pPr>
          </w:p>
        </w:tc>
        <w:tc>
          <w:tcPr>
            <w:tcW w:w="529" w:type="pct"/>
            <w:vAlign w:val="center"/>
          </w:tcPr>
          <w:p w14:paraId="3D49315B"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w:t>
            </w:r>
          </w:p>
        </w:tc>
      </w:tr>
      <w:tr w:rsidR="000A0ACD" w14:paraId="7EC806F6" w14:textId="77777777">
        <w:trPr>
          <w:trHeight w:val="397"/>
        </w:trPr>
        <w:tc>
          <w:tcPr>
            <w:tcW w:w="910" w:type="pct"/>
            <w:vAlign w:val="center"/>
          </w:tcPr>
          <w:p w14:paraId="1867D367" w14:textId="77777777" w:rsidR="000A0ACD" w:rsidRDefault="00362A99">
            <w:pPr>
              <w:pStyle w:val="affffd"/>
              <w:adjustRightInd w:val="0"/>
              <w:snapToGrid w:val="0"/>
              <w:spacing w:beforeLines="0" w:line="240" w:lineRule="auto"/>
              <w:ind w:firstLineChars="0" w:firstLine="0"/>
              <w:rPr>
                <w:bCs/>
                <w:sz w:val="21"/>
                <w:lang w:bidi="ar"/>
              </w:rPr>
            </w:pPr>
            <w:r>
              <w:rPr>
                <w:rFonts w:hint="eastAsia"/>
                <w:b/>
                <w:bCs/>
                <w:sz w:val="21"/>
              </w:rPr>
              <w:t>利息支出小计</w:t>
            </w:r>
          </w:p>
        </w:tc>
        <w:tc>
          <w:tcPr>
            <w:tcW w:w="917" w:type="pct"/>
            <w:vAlign w:val="center"/>
          </w:tcPr>
          <w:p w14:paraId="6225D4D5"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vAlign w:val="center"/>
          </w:tcPr>
          <w:p w14:paraId="6062D4FB"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vAlign w:val="center"/>
          </w:tcPr>
          <w:p w14:paraId="4A9186B6"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vAlign w:val="center"/>
          </w:tcPr>
          <w:p w14:paraId="4BE9D2AD"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vAlign w:val="center"/>
          </w:tcPr>
          <w:p w14:paraId="64441987"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vAlign w:val="center"/>
          </w:tcPr>
          <w:p w14:paraId="2394325A"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9" w:type="pct"/>
            <w:vAlign w:val="center"/>
          </w:tcPr>
          <w:p w14:paraId="075C662A"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r>
      <w:tr w:rsidR="000A0ACD" w14:paraId="5B043028" w14:textId="77777777">
        <w:trPr>
          <w:trHeight w:val="397"/>
        </w:trPr>
        <w:tc>
          <w:tcPr>
            <w:tcW w:w="910" w:type="pct"/>
            <w:vAlign w:val="center"/>
          </w:tcPr>
          <w:p w14:paraId="5AC003ED" w14:textId="77777777" w:rsidR="000A0ACD" w:rsidRDefault="00362A99">
            <w:pPr>
              <w:pStyle w:val="affffd"/>
              <w:adjustRightInd w:val="0"/>
              <w:snapToGrid w:val="0"/>
              <w:spacing w:beforeLines="0" w:line="240" w:lineRule="auto"/>
              <w:ind w:firstLineChars="0" w:firstLine="0"/>
              <w:rPr>
                <w:bCs/>
                <w:sz w:val="21"/>
                <w:lang w:bidi="ar"/>
              </w:rPr>
            </w:pPr>
            <w:r>
              <w:rPr>
                <w:rFonts w:hint="eastAsia"/>
                <w:sz w:val="21"/>
              </w:rPr>
              <w:t>利息收入</w:t>
            </w:r>
          </w:p>
        </w:tc>
        <w:tc>
          <w:tcPr>
            <w:tcW w:w="917" w:type="pct"/>
            <w:vAlign w:val="center"/>
          </w:tcPr>
          <w:p w14:paraId="13637EFB"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vAlign w:val="center"/>
          </w:tcPr>
          <w:p w14:paraId="6B0B1B87"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vAlign w:val="center"/>
          </w:tcPr>
          <w:p w14:paraId="242BFAAA"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vAlign w:val="center"/>
          </w:tcPr>
          <w:p w14:paraId="463BFF89"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vAlign w:val="center"/>
          </w:tcPr>
          <w:p w14:paraId="06C6F1F5"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vAlign w:val="center"/>
          </w:tcPr>
          <w:p w14:paraId="193CE68C"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9" w:type="pct"/>
            <w:vAlign w:val="center"/>
          </w:tcPr>
          <w:p w14:paraId="50655895"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r>
      <w:tr w:rsidR="000A0ACD" w14:paraId="761CBF6C" w14:textId="77777777">
        <w:trPr>
          <w:trHeight w:val="397"/>
        </w:trPr>
        <w:tc>
          <w:tcPr>
            <w:tcW w:w="910" w:type="pct"/>
            <w:vAlign w:val="center"/>
          </w:tcPr>
          <w:p w14:paraId="4AB85B2D" w14:textId="77777777" w:rsidR="000A0ACD" w:rsidRDefault="00362A99">
            <w:pPr>
              <w:pStyle w:val="affffd"/>
              <w:adjustRightInd w:val="0"/>
              <w:snapToGrid w:val="0"/>
              <w:spacing w:beforeLines="0" w:line="240" w:lineRule="auto"/>
              <w:ind w:firstLineChars="0" w:firstLine="0"/>
              <w:rPr>
                <w:bCs/>
                <w:sz w:val="21"/>
                <w:lang w:bidi="ar"/>
              </w:rPr>
            </w:pPr>
            <w:r>
              <w:rPr>
                <w:rFonts w:hint="eastAsia"/>
                <w:sz w:val="21"/>
              </w:rPr>
              <w:t>手续费</w:t>
            </w:r>
          </w:p>
        </w:tc>
        <w:tc>
          <w:tcPr>
            <w:tcW w:w="917" w:type="pct"/>
            <w:vAlign w:val="center"/>
          </w:tcPr>
          <w:p w14:paraId="1D8EB5BA"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2.99</w:t>
            </w:r>
          </w:p>
        </w:tc>
        <w:tc>
          <w:tcPr>
            <w:tcW w:w="528" w:type="pct"/>
            <w:vAlign w:val="center"/>
          </w:tcPr>
          <w:p w14:paraId="06DE5506"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7.49</w:t>
            </w:r>
          </w:p>
        </w:tc>
        <w:tc>
          <w:tcPr>
            <w:tcW w:w="528" w:type="pct"/>
            <w:vAlign w:val="center"/>
          </w:tcPr>
          <w:p w14:paraId="1A70805A"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8.29</w:t>
            </w:r>
          </w:p>
        </w:tc>
        <w:tc>
          <w:tcPr>
            <w:tcW w:w="528" w:type="pct"/>
            <w:vAlign w:val="center"/>
          </w:tcPr>
          <w:p w14:paraId="68F8C6DF"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8.91</w:t>
            </w:r>
          </w:p>
        </w:tc>
        <w:tc>
          <w:tcPr>
            <w:tcW w:w="528" w:type="pct"/>
            <w:vAlign w:val="center"/>
          </w:tcPr>
          <w:p w14:paraId="2AF25279"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9.40</w:t>
            </w:r>
          </w:p>
        </w:tc>
        <w:tc>
          <w:tcPr>
            <w:tcW w:w="528" w:type="pct"/>
            <w:vAlign w:val="center"/>
          </w:tcPr>
          <w:p w14:paraId="2D52B04B"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9.69</w:t>
            </w:r>
          </w:p>
        </w:tc>
        <w:tc>
          <w:tcPr>
            <w:tcW w:w="529" w:type="pct"/>
            <w:vAlign w:val="center"/>
          </w:tcPr>
          <w:p w14:paraId="5841F9E6"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9.69</w:t>
            </w:r>
          </w:p>
        </w:tc>
      </w:tr>
      <w:tr w:rsidR="000A0ACD" w14:paraId="034490B5" w14:textId="77777777">
        <w:trPr>
          <w:trHeight w:val="397"/>
        </w:trPr>
        <w:tc>
          <w:tcPr>
            <w:tcW w:w="910" w:type="pct"/>
            <w:vAlign w:val="center"/>
          </w:tcPr>
          <w:p w14:paraId="47E88E64" w14:textId="77777777" w:rsidR="000A0ACD" w:rsidRDefault="00362A99">
            <w:pPr>
              <w:pStyle w:val="affffd"/>
              <w:adjustRightInd w:val="0"/>
              <w:snapToGrid w:val="0"/>
              <w:spacing w:beforeLines="0" w:line="240" w:lineRule="auto"/>
              <w:ind w:firstLineChars="0" w:firstLine="0"/>
              <w:rPr>
                <w:bCs/>
                <w:sz w:val="21"/>
                <w:lang w:bidi="ar"/>
              </w:rPr>
            </w:pPr>
            <w:r>
              <w:rPr>
                <w:rFonts w:hint="eastAsia"/>
                <w:sz w:val="21"/>
              </w:rPr>
              <w:t>汇总损益</w:t>
            </w:r>
          </w:p>
        </w:tc>
        <w:tc>
          <w:tcPr>
            <w:tcW w:w="917" w:type="pct"/>
          </w:tcPr>
          <w:p w14:paraId="3FAB6B6B"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tcPr>
          <w:p w14:paraId="2E44C096"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tcPr>
          <w:p w14:paraId="1E9D16BB"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tcPr>
          <w:p w14:paraId="0B7DCE6A"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tcPr>
          <w:p w14:paraId="7464811C"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tcPr>
          <w:p w14:paraId="4EBA0FC0"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9" w:type="pct"/>
          </w:tcPr>
          <w:p w14:paraId="52FB06E6"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r>
      <w:tr w:rsidR="000A0ACD" w14:paraId="21DD7F97" w14:textId="77777777">
        <w:trPr>
          <w:trHeight w:val="397"/>
        </w:trPr>
        <w:tc>
          <w:tcPr>
            <w:tcW w:w="910" w:type="pct"/>
            <w:vAlign w:val="center"/>
          </w:tcPr>
          <w:p w14:paraId="7870197C" w14:textId="77777777" w:rsidR="000A0ACD" w:rsidRDefault="00362A99">
            <w:pPr>
              <w:pStyle w:val="affffd"/>
              <w:adjustRightInd w:val="0"/>
              <w:snapToGrid w:val="0"/>
              <w:spacing w:beforeLines="0" w:line="240" w:lineRule="auto"/>
              <w:ind w:firstLineChars="0" w:firstLine="0"/>
              <w:rPr>
                <w:bCs/>
                <w:sz w:val="21"/>
                <w:lang w:bidi="ar"/>
              </w:rPr>
            </w:pPr>
            <w:r>
              <w:rPr>
                <w:rFonts w:hint="eastAsia"/>
                <w:sz w:val="21"/>
              </w:rPr>
              <w:t>其他</w:t>
            </w:r>
          </w:p>
        </w:tc>
        <w:tc>
          <w:tcPr>
            <w:tcW w:w="917" w:type="pct"/>
          </w:tcPr>
          <w:p w14:paraId="7F8EB0EB"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tcPr>
          <w:p w14:paraId="2026167E"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tcPr>
          <w:p w14:paraId="7039A1A2"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tcPr>
          <w:p w14:paraId="6DFAB717"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tcPr>
          <w:p w14:paraId="464ED548"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8" w:type="pct"/>
          </w:tcPr>
          <w:p w14:paraId="59590299"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c>
          <w:tcPr>
            <w:tcW w:w="529" w:type="pct"/>
          </w:tcPr>
          <w:p w14:paraId="46C58072" w14:textId="77777777" w:rsidR="000A0ACD" w:rsidRDefault="00362A99">
            <w:pPr>
              <w:pStyle w:val="affffd"/>
              <w:adjustRightInd w:val="0"/>
              <w:snapToGrid w:val="0"/>
              <w:spacing w:beforeLines="0" w:line="240" w:lineRule="auto"/>
              <w:ind w:firstLineChars="0" w:firstLine="0"/>
              <w:jc w:val="right"/>
              <w:rPr>
                <w:bCs/>
                <w:sz w:val="21"/>
                <w:lang w:bidi="ar"/>
              </w:rPr>
            </w:pPr>
            <w:r>
              <w:rPr>
                <w:b/>
                <w:bCs/>
                <w:sz w:val="21"/>
              </w:rPr>
              <w:t>-</w:t>
            </w:r>
          </w:p>
        </w:tc>
      </w:tr>
      <w:tr w:rsidR="000A0ACD" w14:paraId="6C035F20" w14:textId="77777777">
        <w:trPr>
          <w:trHeight w:val="397"/>
        </w:trPr>
        <w:tc>
          <w:tcPr>
            <w:tcW w:w="910" w:type="pct"/>
            <w:vAlign w:val="center"/>
          </w:tcPr>
          <w:p w14:paraId="49748618" w14:textId="77777777" w:rsidR="000A0ACD" w:rsidRDefault="00362A99">
            <w:pPr>
              <w:pStyle w:val="affffd"/>
              <w:adjustRightInd w:val="0"/>
              <w:snapToGrid w:val="0"/>
              <w:spacing w:beforeLines="0" w:line="240" w:lineRule="auto"/>
              <w:ind w:firstLineChars="0" w:firstLine="0"/>
              <w:jc w:val="center"/>
              <w:rPr>
                <w:bCs/>
                <w:sz w:val="21"/>
                <w:lang w:bidi="ar"/>
              </w:rPr>
            </w:pPr>
            <w:r>
              <w:rPr>
                <w:rFonts w:hint="eastAsia"/>
                <w:b/>
                <w:bCs/>
                <w:sz w:val="21"/>
              </w:rPr>
              <w:t>合计</w:t>
            </w:r>
          </w:p>
        </w:tc>
        <w:tc>
          <w:tcPr>
            <w:tcW w:w="917" w:type="pct"/>
            <w:vAlign w:val="center"/>
          </w:tcPr>
          <w:p w14:paraId="16491014"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2.99</w:t>
            </w:r>
          </w:p>
        </w:tc>
        <w:tc>
          <w:tcPr>
            <w:tcW w:w="528" w:type="pct"/>
            <w:vAlign w:val="center"/>
          </w:tcPr>
          <w:p w14:paraId="0BFA7C14"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7.49</w:t>
            </w:r>
          </w:p>
        </w:tc>
        <w:tc>
          <w:tcPr>
            <w:tcW w:w="528" w:type="pct"/>
            <w:vAlign w:val="center"/>
          </w:tcPr>
          <w:p w14:paraId="2376B035"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8.29</w:t>
            </w:r>
          </w:p>
        </w:tc>
        <w:tc>
          <w:tcPr>
            <w:tcW w:w="528" w:type="pct"/>
            <w:vAlign w:val="center"/>
          </w:tcPr>
          <w:p w14:paraId="1B52A9C9"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8.91</w:t>
            </w:r>
          </w:p>
        </w:tc>
        <w:tc>
          <w:tcPr>
            <w:tcW w:w="528" w:type="pct"/>
            <w:vAlign w:val="center"/>
          </w:tcPr>
          <w:p w14:paraId="4D485744"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9.40</w:t>
            </w:r>
          </w:p>
        </w:tc>
        <w:tc>
          <w:tcPr>
            <w:tcW w:w="528" w:type="pct"/>
            <w:vAlign w:val="center"/>
          </w:tcPr>
          <w:p w14:paraId="6B489DF9"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9.69</w:t>
            </w:r>
          </w:p>
        </w:tc>
        <w:tc>
          <w:tcPr>
            <w:tcW w:w="529" w:type="pct"/>
            <w:vAlign w:val="center"/>
          </w:tcPr>
          <w:p w14:paraId="5BE1443A" w14:textId="77777777" w:rsidR="000A0ACD" w:rsidRDefault="00362A99">
            <w:pPr>
              <w:pStyle w:val="affffd"/>
              <w:adjustRightInd w:val="0"/>
              <w:snapToGrid w:val="0"/>
              <w:spacing w:beforeLines="0" w:line="240" w:lineRule="auto"/>
              <w:ind w:firstLineChars="0" w:firstLine="0"/>
              <w:jc w:val="right"/>
              <w:rPr>
                <w:bCs/>
                <w:sz w:val="21"/>
                <w:lang w:bidi="ar"/>
              </w:rPr>
            </w:pPr>
            <w:r>
              <w:rPr>
                <w:sz w:val="21"/>
              </w:rPr>
              <w:t>9.69</w:t>
            </w:r>
          </w:p>
        </w:tc>
      </w:tr>
    </w:tbl>
    <w:p w14:paraId="58654AB5"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bookmarkStart w:id="122" w:name="_Toc163542860"/>
      <w:bookmarkStart w:id="123" w:name="_Toc161394627"/>
      <w:r>
        <w:rPr>
          <w:rFonts w:ascii="Times New Roman" w:hAnsi="Times New Roman" w:cs="Times New Roman"/>
          <w:lang w:bidi="ar"/>
        </w:rPr>
        <w:t>8</w:t>
      </w:r>
      <w:r>
        <w:rPr>
          <w:rFonts w:ascii="Times New Roman" w:hAnsi="Times New Roman" w:cs="Times New Roman" w:hint="eastAsia"/>
          <w:lang w:bidi="ar"/>
        </w:rPr>
        <w:t>）营业外收支的预测</w:t>
      </w:r>
    </w:p>
    <w:p w14:paraId="40EFD3CD" w14:textId="77777777" w:rsidR="000A0ACD" w:rsidRDefault="00362A99">
      <w:pPr>
        <w:pStyle w:val="affffd"/>
        <w:adjustRightInd w:val="0"/>
        <w:snapToGrid w:val="0"/>
        <w:spacing w:before="156"/>
        <w:ind w:firstLine="480"/>
        <w:rPr>
          <w:bCs/>
          <w:lang w:bidi="ar"/>
        </w:rPr>
      </w:pPr>
      <w:r>
        <w:rPr>
          <w:rFonts w:hint="eastAsia"/>
          <w:bCs/>
          <w:lang w:bidi="ar"/>
        </w:rPr>
        <w:t>营业外收入主要是与日常经营无关的收入；营业外支出主要是固定资产处置成本等。由于营业外收支对被估值单位收益影响较小，且具有很大不确定性，所以本次估值不予预测。</w:t>
      </w:r>
    </w:p>
    <w:p w14:paraId="4B9D3557"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bookmarkStart w:id="124" w:name="_Toc163542862"/>
      <w:bookmarkStart w:id="125" w:name="_Toc161394629"/>
      <w:bookmarkEnd w:id="122"/>
      <w:bookmarkEnd w:id="123"/>
      <w:r>
        <w:rPr>
          <w:rFonts w:ascii="Times New Roman" w:hAnsi="Times New Roman" w:cs="Times New Roman"/>
          <w:lang w:bidi="ar"/>
        </w:rPr>
        <w:t>9</w:t>
      </w:r>
      <w:r>
        <w:rPr>
          <w:rFonts w:ascii="Times New Roman" w:hAnsi="Times New Roman" w:cs="Times New Roman" w:hint="eastAsia"/>
          <w:lang w:bidi="ar"/>
        </w:rPr>
        <w:t>）所得税及税后净利润的预测</w:t>
      </w:r>
    </w:p>
    <w:p w14:paraId="69142A96" w14:textId="77777777" w:rsidR="000A0ACD" w:rsidRDefault="00362A99">
      <w:pPr>
        <w:pStyle w:val="affffd"/>
        <w:spacing w:before="156"/>
        <w:ind w:firstLine="480"/>
        <w:rPr>
          <w:bCs/>
          <w:lang w:bidi="ar"/>
        </w:rPr>
      </w:pPr>
      <w:r>
        <w:rPr>
          <w:rFonts w:hint="eastAsia"/>
          <w:bCs/>
          <w:lang w:bidi="ar"/>
        </w:rPr>
        <w:t>根据上述一系列的预测，可以得出标的公司未来各年度的利润总额，在此基础上，按照标的公司执行的所得税率，对未来各年的所得税和净利润予以估算。北洋天青具有高新技术企业资质，本次评估假设企业享受目前的税收优惠后继续申请高新技术企业资质续期，享受高新技术企业</w:t>
      </w:r>
      <w:r>
        <w:rPr>
          <w:bCs/>
          <w:lang w:bidi="ar"/>
        </w:rPr>
        <w:t>15%</w:t>
      </w:r>
      <w:r>
        <w:rPr>
          <w:rFonts w:hint="eastAsia"/>
          <w:bCs/>
          <w:lang w:bidi="ar"/>
        </w:rPr>
        <w:t>所得税政策。</w:t>
      </w:r>
    </w:p>
    <w:p w14:paraId="45B2B07B" w14:textId="77777777" w:rsidR="000A0ACD" w:rsidRDefault="00362A99">
      <w:pPr>
        <w:pStyle w:val="affffd"/>
        <w:snapToGrid w:val="0"/>
        <w:spacing w:before="156"/>
        <w:ind w:firstLine="480"/>
        <w:rPr>
          <w:bCs/>
          <w:lang w:bidi="ar"/>
        </w:rPr>
      </w:pPr>
      <w:r>
        <w:rPr>
          <w:rFonts w:hint="eastAsia"/>
          <w:bCs/>
          <w:lang w:bidi="ar"/>
        </w:rPr>
        <w:t>净利润</w:t>
      </w:r>
      <w:r>
        <w:rPr>
          <w:bCs/>
          <w:lang w:bidi="ar"/>
        </w:rPr>
        <w:t>=</w:t>
      </w:r>
      <w:r>
        <w:rPr>
          <w:rFonts w:hint="eastAsia"/>
          <w:bCs/>
          <w:lang w:bidi="ar"/>
        </w:rPr>
        <w:t>营业收入</w:t>
      </w:r>
      <w:r>
        <w:rPr>
          <w:bCs/>
          <w:lang w:bidi="ar"/>
        </w:rPr>
        <w:t>-</w:t>
      </w:r>
      <w:r>
        <w:rPr>
          <w:rFonts w:hint="eastAsia"/>
          <w:bCs/>
          <w:lang w:bidi="ar"/>
        </w:rPr>
        <w:t>营业成本</w:t>
      </w:r>
      <w:r>
        <w:rPr>
          <w:bCs/>
          <w:lang w:bidi="ar"/>
        </w:rPr>
        <w:t>-</w:t>
      </w:r>
      <w:r>
        <w:rPr>
          <w:rFonts w:hint="eastAsia"/>
          <w:bCs/>
          <w:lang w:bidi="ar"/>
        </w:rPr>
        <w:t>营业税金及附加</w:t>
      </w:r>
      <w:r>
        <w:rPr>
          <w:bCs/>
          <w:lang w:bidi="ar"/>
        </w:rPr>
        <w:t>-</w:t>
      </w:r>
      <w:r>
        <w:rPr>
          <w:rFonts w:hint="eastAsia"/>
          <w:bCs/>
          <w:lang w:bidi="ar"/>
        </w:rPr>
        <w:t>销售费用</w:t>
      </w:r>
      <w:r>
        <w:rPr>
          <w:bCs/>
          <w:lang w:bidi="ar"/>
        </w:rPr>
        <w:t>-</w:t>
      </w:r>
      <w:r>
        <w:rPr>
          <w:rFonts w:hint="eastAsia"/>
          <w:bCs/>
          <w:lang w:bidi="ar"/>
        </w:rPr>
        <w:t>管理费用</w:t>
      </w:r>
      <w:r>
        <w:rPr>
          <w:bCs/>
          <w:lang w:bidi="ar"/>
        </w:rPr>
        <w:t>-</w:t>
      </w:r>
      <w:r>
        <w:rPr>
          <w:rFonts w:hint="eastAsia"/>
          <w:bCs/>
          <w:lang w:bidi="ar"/>
        </w:rPr>
        <w:t>财务费用</w:t>
      </w:r>
      <w:r>
        <w:rPr>
          <w:bCs/>
          <w:lang w:bidi="ar"/>
        </w:rPr>
        <w:t>-</w:t>
      </w:r>
      <w:r>
        <w:rPr>
          <w:rFonts w:hint="eastAsia"/>
          <w:bCs/>
          <w:lang w:bidi="ar"/>
        </w:rPr>
        <w:t>所得税。</w:t>
      </w:r>
    </w:p>
    <w:p w14:paraId="73293F6A" w14:textId="77777777" w:rsidR="000A0ACD" w:rsidRDefault="00362A99">
      <w:pPr>
        <w:pStyle w:val="affffd"/>
        <w:adjustRightInd w:val="0"/>
        <w:snapToGrid w:val="0"/>
        <w:spacing w:before="156"/>
        <w:ind w:firstLine="480"/>
        <w:rPr>
          <w:bCs/>
          <w:lang w:bidi="ar"/>
        </w:rPr>
      </w:pPr>
      <w:r>
        <w:rPr>
          <w:rFonts w:hint="eastAsia"/>
          <w:bCs/>
          <w:lang w:bidi="ar"/>
        </w:rPr>
        <w:t>标的公司未来各年的预测损益表如下：</w:t>
      </w:r>
    </w:p>
    <w:p w14:paraId="1072B275"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44"/>
        <w:gridCol w:w="1035"/>
        <w:gridCol w:w="989"/>
        <w:gridCol w:w="975"/>
        <w:gridCol w:w="944"/>
        <w:gridCol w:w="1050"/>
        <w:gridCol w:w="989"/>
        <w:gridCol w:w="1096"/>
      </w:tblGrid>
      <w:tr w:rsidR="000A0ACD" w14:paraId="5CD397D3" w14:textId="77777777" w:rsidTr="00D2687A">
        <w:trPr>
          <w:trHeight w:val="397"/>
          <w:tblHeader/>
        </w:trPr>
        <w:tc>
          <w:tcPr>
            <w:tcW w:w="847" w:type="pct"/>
            <w:vMerge w:val="restart"/>
            <w:shd w:val="clear" w:color="auto" w:fill="auto"/>
            <w:noWrap/>
            <w:vAlign w:val="center"/>
          </w:tcPr>
          <w:p w14:paraId="1B34EA2E" w14:textId="77777777" w:rsidR="000A0ACD" w:rsidRDefault="00362A99">
            <w:pPr>
              <w:ind w:leftChars="-25" w:left="-60" w:rightChars="-25" w:right="-60"/>
              <w:jc w:val="center"/>
              <w:rPr>
                <w:rFonts w:ascii="Times New Roman" w:hAnsi="Times New Roman" w:cs="Times New Roman"/>
                <w:b/>
                <w:bCs/>
                <w:sz w:val="21"/>
                <w:szCs w:val="21"/>
              </w:rPr>
            </w:pPr>
            <w:bookmarkStart w:id="126" w:name="_Hlk58135749"/>
            <w:r>
              <w:rPr>
                <w:rFonts w:ascii="Times New Roman" w:hAnsi="Times New Roman" w:cs="Times New Roman" w:hint="eastAsia"/>
                <w:b/>
                <w:bCs/>
                <w:sz w:val="21"/>
                <w:szCs w:val="21"/>
              </w:rPr>
              <w:t>项目</w:t>
            </w:r>
          </w:p>
        </w:tc>
        <w:tc>
          <w:tcPr>
            <w:tcW w:w="4152" w:type="pct"/>
            <w:gridSpan w:val="7"/>
            <w:shd w:val="clear" w:color="auto" w:fill="auto"/>
            <w:noWrap/>
            <w:vAlign w:val="center"/>
          </w:tcPr>
          <w:p w14:paraId="5808989D"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未来预测</w:t>
            </w:r>
          </w:p>
        </w:tc>
      </w:tr>
      <w:tr w:rsidR="000A0ACD" w14:paraId="47CFCB78" w14:textId="77777777" w:rsidTr="00D2687A">
        <w:trPr>
          <w:trHeight w:val="397"/>
          <w:tblHeader/>
        </w:trPr>
        <w:tc>
          <w:tcPr>
            <w:tcW w:w="847" w:type="pct"/>
            <w:vMerge/>
            <w:shd w:val="clear" w:color="auto" w:fill="auto"/>
            <w:vAlign w:val="center"/>
          </w:tcPr>
          <w:p w14:paraId="3C745CDC" w14:textId="77777777" w:rsidR="000A0ACD" w:rsidRDefault="000A0ACD">
            <w:pPr>
              <w:ind w:leftChars="-25" w:left="-60" w:rightChars="-25" w:right="-60"/>
              <w:rPr>
                <w:rFonts w:ascii="Times New Roman" w:hAnsi="Times New Roman" w:cs="Times New Roman"/>
                <w:b/>
                <w:bCs/>
                <w:sz w:val="21"/>
                <w:szCs w:val="21"/>
              </w:rPr>
            </w:pPr>
          </w:p>
        </w:tc>
        <w:tc>
          <w:tcPr>
            <w:tcW w:w="607" w:type="pct"/>
            <w:shd w:val="clear" w:color="auto" w:fill="auto"/>
            <w:vAlign w:val="center"/>
          </w:tcPr>
          <w:p w14:paraId="571B2A47"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80" w:type="pct"/>
            <w:shd w:val="clear" w:color="auto" w:fill="auto"/>
            <w:vAlign w:val="center"/>
          </w:tcPr>
          <w:p w14:paraId="4831D523"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c>
          <w:tcPr>
            <w:tcW w:w="572" w:type="pct"/>
            <w:shd w:val="clear" w:color="auto" w:fill="auto"/>
            <w:vAlign w:val="center"/>
          </w:tcPr>
          <w:p w14:paraId="3ACA7668"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2022</w:t>
            </w:r>
            <w:r>
              <w:rPr>
                <w:rFonts w:ascii="Times New Roman" w:hAnsi="Times New Roman" w:cs="Times New Roman" w:hint="eastAsia"/>
                <w:b/>
                <w:bCs/>
                <w:sz w:val="21"/>
                <w:szCs w:val="21"/>
              </w:rPr>
              <w:t>年</w:t>
            </w:r>
          </w:p>
        </w:tc>
        <w:tc>
          <w:tcPr>
            <w:tcW w:w="554" w:type="pct"/>
            <w:shd w:val="clear" w:color="auto" w:fill="auto"/>
            <w:vAlign w:val="center"/>
          </w:tcPr>
          <w:p w14:paraId="042D53B2"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2023</w:t>
            </w:r>
            <w:r>
              <w:rPr>
                <w:rFonts w:ascii="Times New Roman" w:hAnsi="Times New Roman" w:cs="Times New Roman" w:hint="eastAsia"/>
                <w:b/>
                <w:bCs/>
                <w:sz w:val="21"/>
                <w:szCs w:val="21"/>
              </w:rPr>
              <w:t>年</w:t>
            </w:r>
          </w:p>
        </w:tc>
        <w:tc>
          <w:tcPr>
            <w:tcW w:w="616" w:type="pct"/>
            <w:shd w:val="clear" w:color="auto" w:fill="auto"/>
            <w:vAlign w:val="center"/>
          </w:tcPr>
          <w:p w14:paraId="59F073F5"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2024</w:t>
            </w:r>
            <w:r>
              <w:rPr>
                <w:rFonts w:ascii="Times New Roman" w:hAnsi="Times New Roman" w:cs="Times New Roman" w:hint="eastAsia"/>
                <w:b/>
                <w:bCs/>
                <w:sz w:val="21"/>
                <w:szCs w:val="21"/>
              </w:rPr>
              <w:t>年</w:t>
            </w:r>
          </w:p>
        </w:tc>
        <w:tc>
          <w:tcPr>
            <w:tcW w:w="580" w:type="pct"/>
            <w:shd w:val="clear" w:color="auto" w:fill="auto"/>
            <w:vAlign w:val="center"/>
          </w:tcPr>
          <w:p w14:paraId="789D62DB"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2025</w:t>
            </w:r>
            <w:r>
              <w:rPr>
                <w:rFonts w:ascii="Times New Roman" w:hAnsi="Times New Roman" w:cs="Times New Roman" w:hint="eastAsia"/>
                <w:b/>
                <w:bCs/>
                <w:sz w:val="21"/>
                <w:szCs w:val="21"/>
              </w:rPr>
              <w:t>年</w:t>
            </w:r>
          </w:p>
        </w:tc>
        <w:tc>
          <w:tcPr>
            <w:tcW w:w="640" w:type="pct"/>
            <w:shd w:val="clear" w:color="auto" w:fill="auto"/>
            <w:noWrap/>
            <w:vAlign w:val="center"/>
          </w:tcPr>
          <w:p w14:paraId="48E65821" w14:textId="77777777" w:rsidR="000A0ACD" w:rsidRDefault="00362A99">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0A0ACD" w14:paraId="61864BAE" w14:textId="77777777" w:rsidTr="00D2687A">
        <w:trPr>
          <w:trHeight w:val="397"/>
        </w:trPr>
        <w:tc>
          <w:tcPr>
            <w:tcW w:w="847" w:type="pct"/>
            <w:shd w:val="clear" w:color="auto" w:fill="auto"/>
            <w:noWrap/>
            <w:vAlign w:val="center"/>
          </w:tcPr>
          <w:p w14:paraId="09BDA080" w14:textId="77777777" w:rsidR="000A0ACD" w:rsidRDefault="007D7C70">
            <w:pPr>
              <w:ind w:leftChars="-25" w:left="-60" w:rightChars="-25" w:right="-60"/>
              <w:rPr>
                <w:rFonts w:ascii="Times New Roman" w:hAnsi="Times New Roman" w:cs="Times New Roman"/>
                <w:b/>
                <w:bCs/>
                <w:sz w:val="21"/>
                <w:szCs w:val="21"/>
              </w:rPr>
            </w:pPr>
            <w:hyperlink r:id="rId39" w:anchor="营业收入!A1" w:history="1">
              <w:r w:rsidR="00362A99">
                <w:rPr>
                  <w:rFonts w:ascii="Times New Roman" w:hAnsi="Times New Roman" w:cs="Times New Roman" w:hint="eastAsia"/>
                  <w:b/>
                  <w:bCs/>
                  <w:sz w:val="21"/>
                  <w:szCs w:val="21"/>
                </w:rPr>
                <w:t>一、营业收入</w:t>
              </w:r>
            </w:hyperlink>
          </w:p>
        </w:tc>
        <w:tc>
          <w:tcPr>
            <w:tcW w:w="607" w:type="pct"/>
            <w:shd w:val="clear" w:color="auto" w:fill="auto"/>
            <w:noWrap/>
            <w:vAlign w:val="center"/>
          </w:tcPr>
          <w:p w14:paraId="4AC3032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11,665.26</w:t>
            </w:r>
          </w:p>
        </w:tc>
        <w:tc>
          <w:tcPr>
            <w:tcW w:w="580" w:type="pct"/>
            <w:shd w:val="clear" w:color="auto" w:fill="auto"/>
            <w:noWrap/>
            <w:vAlign w:val="center"/>
          </w:tcPr>
          <w:p w14:paraId="365DA36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29,249.24</w:t>
            </w:r>
          </w:p>
        </w:tc>
        <w:tc>
          <w:tcPr>
            <w:tcW w:w="572" w:type="pct"/>
            <w:shd w:val="clear" w:color="auto" w:fill="auto"/>
            <w:noWrap/>
            <w:vAlign w:val="center"/>
          </w:tcPr>
          <w:p w14:paraId="41534A6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32,361.96</w:t>
            </w:r>
          </w:p>
        </w:tc>
        <w:tc>
          <w:tcPr>
            <w:tcW w:w="554" w:type="pct"/>
            <w:shd w:val="clear" w:color="auto" w:fill="auto"/>
            <w:noWrap/>
            <w:vAlign w:val="center"/>
          </w:tcPr>
          <w:p w14:paraId="335A98B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34,790.00</w:t>
            </w:r>
          </w:p>
        </w:tc>
        <w:tc>
          <w:tcPr>
            <w:tcW w:w="616" w:type="pct"/>
            <w:shd w:val="clear" w:color="auto" w:fill="auto"/>
            <w:noWrap/>
            <w:vAlign w:val="center"/>
          </w:tcPr>
          <w:p w14:paraId="35A1F7B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36,700.00</w:t>
            </w:r>
          </w:p>
        </w:tc>
        <w:tc>
          <w:tcPr>
            <w:tcW w:w="580" w:type="pct"/>
            <w:shd w:val="clear" w:color="auto" w:fill="auto"/>
            <w:noWrap/>
            <w:vAlign w:val="center"/>
          </w:tcPr>
          <w:p w14:paraId="21A88FF5"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c>
          <w:tcPr>
            <w:tcW w:w="640" w:type="pct"/>
            <w:shd w:val="clear" w:color="auto" w:fill="auto"/>
            <w:noWrap/>
            <w:vAlign w:val="center"/>
          </w:tcPr>
          <w:p w14:paraId="5AA75C2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r>
      <w:tr w:rsidR="000A0ACD" w14:paraId="5AA0BBC2" w14:textId="77777777" w:rsidTr="00D2687A">
        <w:trPr>
          <w:trHeight w:val="397"/>
        </w:trPr>
        <w:tc>
          <w:tcPr>
            <w:tcW w:w="847" w:type="pct"/>
            <w:shd w:val="clear" w:color="auto" w:fill="auto"/>
            <w:noWrap/>
            <w:vAlign w:val="center"/>
          </w:tcPr>
          <w:p w14:paraId="78124F6A" w14:textId="77777777" w:rsidR="000A0ACD" w:rsidRDefault="007D7C70">
            <w:pPr>
              <w:ind w:leftChars="-25" w:left="-60" w:rightChars="-25" w:right="-60"/>
              <w:rPr>
                <w:rFonts w:ascii="Times New Roman" w:hAnsi="Times New Roman" w:cs="Times New Roman"/>
                <w:sz w:val="21"/>
                <w:szCs w:val="21"/>
              </w:rPr>
            </w:pPr>
            <w:hyperlink r:id="rId40" w:anchor="营业成本!A1" w:history="1">
              <w:r w:rsidR="00362A99">
                <w:rPr>
                  <w:rFonts w:ascii="Times New Roman" w:hAnsi="Times New Roman" w:cs="Times New Roman" w:hint="eastAsia"/>
                  <w:sz w:val="21"/>
                  <w:szCs w:val="21"/>
                </w:rPr>
                <w:t>减：营业成本</w:t>
              </w:r>
            </w:hyperlink>
          </w:p>
        </w:tc>
        <w:tc>
          <w:tcPr>
            <w:tcW w:w="607" w:type="pct"/>
            <w:shd w:val="clear" w:color="auto" w:fill="auto"/>
            <w:noWrap/>
            <w:vAlign w:val="center"/>
          </w:tcPr>
          <w:p w14:paraId="717D835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6,835.47</w:t>
            </w:r>
          </w:p>
        </w:tc>
        <w:tc>
          <w:tcPr>
            <w:tcW w:w="580" w:type="pct"/>
            <w:shd w:val="clear" w:color="auto" w:fill="auto"/>
            <w:noWrap/>
            <w:vAlign w:val="center"/>
          </w:tcPr>
          <w:p w14:paraId="7724F89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19,304.50</w:t>
            </w:r>
          </w:p>
        </w:tc>
        <w:tc>
          <w:tcPr>
            <w:tcW w:w="572" w:type="pct"/>
            <w:shd w:val="clear" w:color="auto" w:fill="auto"/>
            <w:noWrap/>
            <w:vAlign w:val="center"/>
          </w:tcPr>
          <w:p w14:paraId="6062DF6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21,358.89</w:t>
            </w:r>
          </w:p>
        </w:tc>
        <w:tc>
          <w:tcPr>
            <w:tcW w:w="554" w:type="pct"/>
            <w:shd w:val="clear" w:color="auto" w:fill="auto"/>
            <w:noWrap/>
            <w:vAlign w:val="center"/>
          </w:tcPr>
          <w:p w14:paraId="4C204A3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22,961.40</w:t>
            </w:r>
          </w:p>
        </w:tc>
        <w:tc>
          <w:tcPr>
            <w:tcW w:w="616" w:type="pct"/>
            <w:shd w:val="clear" w:color="auto" w:fill="auto"/>
            <w:noWrap/>
            <w:vAlign w:val="center"/>
          </w:tcPr>
          <w:p w14:paraId="0DCB8F0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24,222.00</w:t>
            </w:r>
          </w:p>
        </w:tc>
        <w:tc>
          <w:tcPr>
            <w:tcW w:w="580" w:type="pct"/>
            <w:shd w:val="clear" w:color="auto" w:fill="auto"/>
            <w:noWrap/>
            <w:vAlign w:val="center"/>
          </w:tcPr>
          <w:p w14:paraId="553B974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c>
          <w:tcPr>
            <w:tcW w:w="640" w:type="pct"/>
            <w:shd w:val="clear" w:color="auto" w:fill="auto"/>
            <w:noWrap/>
            <w:vAlign w:val="center"/>
          </w:tcPr>
          <w:p w14:paraId="6A264E8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r>
      <w:tr w:rsidR="000A0ACD" w14:paraId="6CD8CE78" w14:textId="77777777" w:rsidTr="00D2687A">
        <w:trPr>
          <w:trHeight w:val="397"/>
        </w:trPr>
        <w:tc>
          <w:tcPr>
            <w:tcW w:w="847" w:type="pct"/>
            <w:shd w:val="clear" w:color="auto" w:fill="auto"/>
            <w:noWrap/>
            <w:vAlign w:val="center"/>
          </w:tcPr>
          <w:p w14:paraId="634FEC53" w14:textId="77777777" w:rsidR="000A0ACD" w:rsidRDefault="007D7C70">
            <w:pPr>
              <w:ind w:leftChars="-25" w:left="-60" w:rightChars="-25" w:right="-60"/>
              <w:rPr>
                <w:rFonts w:ascii="Times New Roman" w:hAnsi="Times New Roman" w:cs="Times New Roman"/>
                <w:sz w:val="21"/>
                <w:szCs w:val="21"/>
              </w:rPr>
            </w:pPr>
            <w:hyperlink r:id="rId41" w:anchor="RANGE!A1" w:history="1">
              <w:r w:rsidR="00362A99">
                <w:rPr>
                  <w:rFonts w:ascii="Times New Roman" w:hAnsi="Times New Roman" w:cs="Times New Roman" w:hint="eastAsia"/>
                  <w:sz w:val="21"/>
                  <w:szCs w:val="21"/>
                </w:rPr>
                <w:t>营业税金及附加</w:t>
              </w:r>
            </w:hyperlink>
          </w:p>
        </w:tc>
        <w:tc>
          <w:tcPr>
            <w:tcW w:w="607" w:type="pct"/>
            <w:shd w:val="clear" w:color="auto" w:fill="auto"/>
            <w:noWrap/>
            <w:vAlign w:val="center"/>
          </w:tcPr>
          <w:p w14:paraId="0C2A06B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67.03</w:t>
            </w:r>
          </w:p>
        </w:tc>
        <w:tc>
          <w:tcPr>
            <w:tcW w:w="580" w:type="pct"/>
            <w:shd w:val="clear" w:color="auto" w:fill="auto"/>
            <w:noWrap/>
            <w:vAlign w:val="center"/>
          </w:tcPr>
          <w:p w14:paraId="435171A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155.36</w:t>
            </w:r>
          </w:p>
        </w:tc>
        <w:tc>
          <w:tcPr>
            <w:tcW w:w="572" w:type="pct"/>
            <w:shd w:val="clear" w:color="auto" w:fill="auto"/>
            <w:noWrap/>
            <w:vAlign w:val="center"/>
          </w:tcPr>
          <w:p w14:paraId="2681EA3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172.05</w:t>
            </w:r>
          </w:p>
        </w:tc>
        <w:tc>
          <w:tcPr>
            <w:tcW w:w="554" w:type="pct"/>
            <w:shd w:val="clear" w:color="auto" w:fill="auto"/>
            <w:noWrap/>
            <w:vAlign w:val="center"/>
          </w:tcPr>
          <w:p w14:paraId="6102EB9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185.07</w:t>
            </w:r>
          </w:p>
        </w:tc>
        <w:tc>
          <w:tcPr>
            <w:tcW w:w="616" w:type="pct"/>
            <w:shd w:val="clear" w:color="auto" w:fill="auto"/>
            <w:noWrap/>
            <w:vAlign w:val="center"/>
          </w:tcPr>
          <w:p w14:paraId="4814CEC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195.31</w:t>
            </w:r>
          </w:p>
        </w:tc>
        <w:tc>
          <w:tcPr>
            <w:tcW w:w="580" w:type="pct"/>
            <w:shd w:val="clear" w:color="auto" w:fill="auto"/>
            <w:noWrap/>
            <w:vAlign w:val="center"/>
          </w:tcPr>
          <w:p w14:paraId="614CA63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201.21</w:t>
            </w:r>
          </w:p>
        </w:tc>
        <w:tc>
          <w:tcPr>
            <w:tcW w:w="640" w:type="pct"/>
            <w:shd w:val="clear" w:color="auto" w:fill="auto"/>
            <w:noWrap/>
            <w:vAlign w:val="center"/>
          </w:tcPr>
          <w:p w14:paraId="54917F9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201.21</w:t>
            </w:r>
          </w:p>
        </w:tc>
      </w:tr>
      <w:tr w:rsidR="000A0ACD" w14:paraId="1AABAB02" w14:textId="77777777" w:rsidTr="00D2687A">
        <w:trPr>
          <w:trHeight w:val="397"/>
        </w:trPr>
        <w:tc>
          <w:tcPr>
            <w:tcW w:w="847" w:type="pct"/>
            <w:shd w:val="clear" w:color="auto" w:fill="auto"/>
            <w:noWrap/>
            <w:vAlign w:val="center"/>
          </w:tcPr>
          <w:p w14:paraId="5475D325" w14:textId="77777777" w:rsidR="000A0ACD" w:rsidRDefault="007D7C70">
            <w:pPr>
              <w:ind w:leftChars="-25" w:left="-60" w:rightChars="-25" w:right="-60"/>
              <w:rPr>
                <w:rFonts w:ascii="Times New Roman" w:hAnsi="Times New Roman" w:cs="Times New Roman"/>
                <w:sz w:val="21"/>
                <w:szCs w:val="21"/>
              </w:rPr>
            </w:pPr>
            <w:hyperlink r:id="rId42" w:anchor="销售费用!A1" w:history="1">
              <w:r w:rsidR="00362A99">
                <w:rPr>
                  <w:rFonts w:ascii="Times New Roman" w:hAnsi="Times New Roman" w:cs="Times New Roman" w:hint="eastAsia"/>
                  <w:sz w:val="21"/>
                  <w:szCs w:val="21"/>
                </w:rPr>
                <w:t>销售费用</w:t>
              </w:r>
            </w:hyperlink>
          </w:p>
        </w:tc>
        <w:tc>
          <w:tcPr>
            <w:tcW w:w="607" w:type="pct"/>
            <w:shd w:val="clear" w:color="auto" w:fill="auto"/>
            <w:noWrap/>
            <w:vAlign w:val="center"/>
          </w:tcPr>
          <w:p w14:paraId="47320E8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352.04</w:t>
            </w:r>
          </w:p>
        </w:tc>
        <w:tc>
          <w:tcPr>
            <w:tcW w:w="580" w:type="pct"/>
            <w:shd w:val="clear" w:color="auto" w:fill="auto"/>
            <w:noWrap/>
            <w:vAlign w:val="center"/>
          </w:tcPr>
          <w:p w14:paraId="666433F2"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891.33</w:t>
            </w:r>
          </w:p>
        </w:tc>
        <w:tc>
          <w:tcPr>
            <w:tcW w:w="572" w:type="pct"/>
            <w:shd w:val="clear" w:color="auto" w:fill="auto"/>
            <w:noWrap/>
            <w:vAlign w:val="center"/>
          </w:tcPr>
          <w:p w14:paraId="2D29C22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982.01</w:t>
            </w:r>
          </w:p>
        </w:tc>
        <w:tc>
          <w:tcPr>
            <w:tcW w:w="554" w:type="pct"/>
            <w:shd w:val="clear" w:color="auto" w:fill="auto"/>
            <w:noWrap/>
            <w:vAlign w:val="center"/>
          </w:tcPr>
          <w:p w14:paraId="36091F1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1,062.29</w:t>
            </w:r>
          </w:p>
        </w:tc>
        <w:tc>
          <w:tcPr>
            <w:tcW w:w="616" w:type="pct"/>
            <w:shd w:val="clear" w:color="auto" w:fill="auto"/>
            <w:noWrap/>
            <w:vAlign w:val="center"/>
          </w:tcPr>
          <w:p w14:paraId="16FA8A8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1,116.15</w:t>
            </w:r>
          </w:p>
        </w:tc>
        <w:tc>
          <w:tcPr>
            <w:tcW w:w="580" w:type="pct"/>
            <w:shd w:val="clear" w:color="auto" w:fill="auto"/>
            <w:noWrap/>
            <w:vAlign w:val="center"/>
          </w:tcPr>
          <w:p w14:paraId="24A20AD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1,147.77</w:t>
            </w:r>
          </w:p>
        </w:tc>
        <w:tc>
          <w:tcPr>
            <w:tcW w:w="640" w:type="pct"/>
            <w:shd w:val="clear" w:color="auto" w:fill="auto"/>
            <w:noWrap/>
            <w:vAlign w:val="center"/>
          </w:tcPr>
          <w:p w14:paraId="77873FE8"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1,147.77</w:t>
            </w:r>
          </w:p>
        </w:tc>
      </w:tr>
      <w:tr w:rsidR="000A0ACD" w14:paraId="0F3A0E99" w14:textId="77777777" w:rsidTr="00D2687A">
        <w:trPr>
          <w:trHeight w:val="397"/>
        </w:trPr>
        <w:tc>
          <w:tcPr>
            <w:tcW w:w="847" w:type="pct"/>
            <w:shd w:val="clear" w:color="auto" w:fill="auto"/>
            <w:noWrap/>
            <w:vAlign w:val="center"/>
          </w:tcPr>
          <w:p w14:paraId="46CC2BCA" w14:textId="77777777" w:rsidR="000A0ACD" w:rsidRDefault="007D7C70">
            <w:pPr>
              <w:ind w:leftChars="-25" w:left="-60" w:rightChars="-25" w:right="-60"/>
              <w:rPr>
                <w:rFonts w:ascii="Times New Roman" w:hAnsi="Times New Roman" w:cs="Times New Roman"/>
                <w:sz w:val="21"/>
                <w:szCs w:val="21"/>
              </w:rPr>
            </w:pPr>
            <w:hyperlink r:id="rId43" w:anchor="管理费用!A1" w:history="1">
              <w:r w:rsidR="00362A99">
                <w:rPr>
                  <w:rFonts w:ascii="Times New Roman" w:hAnsi="Times New Roman" w:cs="Times New Roman" w:hint="eastAsia"/>
                  <w:sz w:val="21"/>
                  <w:szCs w:val="21"/>
                </w:rPr>
                <w:t>管理费用</w:t>
              </w:r>
            </w:hyperlink>
          </w:p>
        </w:tc>
        <w:tc>
          <w:tcPr>
            <w:tcW w:w="607" w:type="pct"/>
            <w:shd w:val="clear" w:color="auto" w:fill="auto"/>
            <w:noWrap/>
            <w:vAlign w:val="center"/>
          </w:tcPr>
          <w:p w14:paraId="21B8C9D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694.96</w:t>
            </w:r>
          </w:p>
        </w:tc>
        <w:tc>
          <w:tcPr>
            <w:tcW w:w="580" w:type="pct"/>
            <w:shd w:val="clear" w:color="auto" w:fill="auto"/>
            <w:noWrap/>
            <w:vAlign w:val="center"/>
          </w:tcPr>
          <w:p w14:paraId="4923EE55"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2,053.60</w:t>
            </w:r>
          </w:p>
        </w:tc>
        <w:tc>
          <w:tcPr>
            <w:tcW w:w="572" w:type="pct"/>
            <w:shd w:val="clear" w:color="auto" w:fill="auto"/>
            <w:noWrap/>
            <w:vAlign w:val="center"/>
          </w:tcPr>
          <w:p w14:paraId="027B19A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2,324.17</w:t>
            </w:r>
          </w:p>
        </w:tc>
        <w:tc>
          <w:tcPr>
            <w:tcW w:w="554" w:type="pct"/>
            <w:shd w:val="clear" w:color="auto" w:fill="auto"/>
            <w:noWrap/>
            <w:vAlign w:val="center"/>
          </w:tcPr>
          <w:p w14:paraId="47950A2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2,545.42</w:t>
            </w:r>
          </w:p>
        </w:tc>
        <w:tc>
          <w:tcPr>
            <w:tcW w:w="616" w:type="pct"/>
            <w:shd w:val="clear" w:color="auto" w:fill="auto"/>
            <w:noWrap/>
            <w:vAlign w:val="center"/>
          </w:tcPr>
          <w:p w14:paraId="3BB2F06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2,674.11</w:t>
            </w:r>
          </w:p>
        </w:tc>
        <w:tc>
          <w:tcPr>
            <w:tcW w:w="580" w:type="pct"/>
            <w:shd w:val="clear" w:color="auto" w:fill="auto"/>
            <w:noWrap/>
            <w:vAlign w:val="center"/>
          </w:tcPr>
          <w:p w14:paraId="5ABE854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2,778.33</w:t>
            </w:r>
          </w:p>
        </w:tc>
        <w:tc>
          <w:tcPr>
            <w:tcW w:w="640" w:type="pct"/>
            <w:shd w:val="clear" w:color="auto" w:fill="auto"/>
            <w:noWrap/>
            <w:vAlign w:val="center"/>
          </w:tcPr>
          <w:p w14:paraId="5A0BBC0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2,778.33</w:t>
            </w:r>
          </w:p>
        </w:tc>
      </w:tr>
      <w:tr w:rsidR="000A0ACD" w14:paraId="051377A2" w14:textId="77777777" w:rsidTr="00D2687A">
        <w:trPr>
          <w:trHeight w:val="397"/>
        </w:trPr>
        <w:tc>
          <w:tcPr>
            <w:tcW w:w="847" w:type="pct"/>
            <w:shd w:val="clear" w:color="auto" w:fill="auto"/>
            <w:noWrap/>
            <w:vAlign w:val="center"/>
          </w:tcPr>
          <w:p w14:paraId="414ECF2F"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研发费用</w:t>
            </w:r>
          </w:p>
        </w:tc>
        <w:tc>
          <w:tcPr>
            <w:tcW w:w="607" w:type="pct"/>
            <w:shd w:val="clear" w:color="auto" w:fill="auto"/>
            <w:noWrap/>
            <w:vAlign w:val="center"/>
          </w:tcPr>
          <w:p w14:paraId="076F227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721.37</w:t>
            </w:r>
          </w:p>
        </w:tc>
        <w:tc>
          <w:tcPr>
            <w:tcW w:w="580" w:type="pct"/>
            <w:shd w:val="clear" w:color="auto" w:fill="auto"/>
            <w:noWrap/>
            <w:vAlign w:val="center"/>
          </w:tcPr>
          <w:p w14:paraId="4D8A8B72"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2,367.36</w:t>
            </w:r>
          </w:p>
        </w:tc>
        <w:tc>
          <w:tcPr>
            <w:tcW w:w="572" w:type="pct"/>
            <w:shd w:val="clear" w:color="auto" w:fill="auto"/>
            <w:noWrap/>
            <w:vAlign w:val="center"/>
          </w:tcPr>
          <w:p w14:paraId="5714682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2,713.05</w:t>
            </w:r>
          </w:p>
        </w:tc>
        <w:tc>
          <w:tcPr>
            <w:tcW w:w="554" w:type="pct"/>
            <w:shd w:val="clear" w:color="auto" w:fill="auto"/>
            <w:noWrap/>
            <w:vAlign w:val="center"/>
          </w:tcPr>
          <w:p w14:paraId="44EDAFC3"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2,977.88</w:t>
            </w:r>
          </w:p>
        </w:tc>
        <w:tc>
          <w:tcPr>
            <w:tcW w:w="616" w:type="pct"/>
            <w:shd w:val="clear" w:color="auto" w:fill="auto"/>
            <w:noWrap/>
            <w:vAlign w:val="center"/>
          </w:tcPr>
          <w:p w14:paraId="6D7C99C3"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3,128.79</w:t>
            </w:r>
          </w:p>
        </w:tc>
        <w:tc>
          <w:tcPr>
            <w:tcW w:w="580" w:type="pct"/>
            <w:shd w:val="clear" w:color="auto" w:fill="auto"/>
            <w:noWrap/>
            <w:vAlign w:val="center"/>
          </w:tcPr>
          <w:p w14:paraId="6023CA72"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3,201.96</w:t>
            </w:r>
          </w:p>
        </w:tc>
        <w:tc>
          <w:tcPr>
            <w:tcW w:w="640" w:type="pct"/>
            <w:shd w:val="clear" w:color="auto" w:fill="auto"/>
            <w:noWrap/>
            <w:vAlign w:val="center"/>
          </w:tcPr>
          <w:p w14:paraId="581A53F3"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3,201.96</w:t>
            </w:r>
          </w:p>
        </w:tc>
      </w:tr>
      <w:tr w:rsidR="000A0ACD" w14:paraId="1D2E5864" w14:textId="77777777" w:rsidTr="00D2687A">
        <w:trPr>
          <w:trHeight w:val="397"/>
        </w:trPr>
        <w:tc>
          <w:tcPr>
            <w:tcW w:w="847" w:type="pct"/>
            <w:shd w:val="clear" w:color="auto" w:fill="auto"/>
            <w:noWrap/>
            <w:vAlign w:val="center"/>
          </w:tcPr>
          <w:p w14:paraId="56E139F9" w14:textId="77777777" w:rsidR="000A0ACD" w:rsidRDefault="007D7C70">
            <w:pPr>
              <w:ind w:leftChars="-25" w:left="-60" w:rightChars="-25" w:right="-60"/>
              <w:rPr>
                <w:rFonts w:ascii="Times New Roman" w:hAnsi="Times New Roman" w:cs="Times New Roman"/>
                <w:sz w:val="21"/>
                <w:szCs w:val="21"/>
              </w:rPr>
            </w:pPr>
            <w:hyperlink r:id="rId44" w:anchor="财务费用!A1" w:history="1">
              <w:r w:rsidR="00362A99">
                <w:rPr>
                  <w:rFonts w:ascii="Times New Roman" w:hAnsi="Times New Roman" w:cs="Times New Roman" w:hint="eastAsia"/>
                  <w:sz w:val="21"/>
                  <w:szCs w:val="21"/>
                </w:rPr>
                <w:t>财务费用</w:t>
              </w:r>
            </w:hyperlink>
          </w:p>
        </w:tc>
        <w:tc>
          <w:tcPr>
            <w:tcW w:w="607" w:type="pct"/>
            <w:shd w:val="clear" w:color="auto" w:fill="auto"/>
            <w:noWrap/>
            <w:vAlign w:val="center"/>
          </w:tcPr>
          <w:p w14:paraId="1979E12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2.99</w:t>
            </w:r>
          </w:p>
        </w:tc>
        <w:tc>
          <w:tcPr>
            <w:tcW w:w="580" w:type="pct"/>
            <w:shd w:val="clear" w:color="auto" w:fill="auto"/>
            <w:noWrap/>
            <w:vAlign w:val="center"/>
          </w:tcPr>
          <w:p w14:paraId="73C0150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7.49</w:t>
            </w:r>
          </w:p>
        </w:tc>
        <w:tc>
          <w:tcPr>
            <w:tcW w:w="572" w:type="pct"/>
            <w:shd w:val="clear" w:color="auto" w:fill="auto"/>
            <w:noWrap/>
            <w:vAlign w:val="center"/>
          </w:tcPr>
          <w:p w14:paraId="2AF452D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8.29</w:t>
            </w:r>
          </w:p>
        </w:tc>
        <w:tc>
          <w:tcPr>
            <w:tcW w:w="554" w:type="pct"/>
            <w:shd w:val="clear" w:color="auto" w:fill="auto"/>
            <w:noWrap/>
            <w:vAlign w:val="center"/>
          </w:tcPr>
          <w:p w14:paraId="7A19CD4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8.91</w:t>
            </w:r>
          </w:p>
        </w:tc>
        <w:tc>
          <w:tcPr>
            <w:tcW w:w="616" w:type="pct"/>
            <w:shd w:val="clear" w:color="auto" w:fill="auto"/>
            <w:noWrap/>
            <w:vAlign w:val="center"/>
          </w:tcPr>
          <w:p w14:paraId="4AE5F7B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9.40</w:t>
            </w:r>
          </w:p>
        </w:tc>
        <w:tc>
          <w:tcPr>
            <w:tcW w:w="580" w:type="pct"/>
            <w:shd w:val="clear" w:color="auto" w:fill="auto"/>
            <w:noWrap/>
            <w:vAlign w:val="center"/>
          </w:tcPr>
          <w:p w14:paraId="735CDAF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9.69</w:t>
            </w:r>
          </w:p>
        </w:tc>
        <w:tc>
          <w:tcPr>
            <w:tcW w:w="640" w:type="pct"/>
            <w:shd w:val="clear" w:color="auto" w:fill="auto"/>
            <w:noWrap/>
            <w:vAlign w:val="center"/>
          </w:tcPr>
          <w:p w14:paraId="4C48BAA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9.69</w:t>
            </w:r>
          </w:p>
        </w:tc>
      </w:tr>
      <w:tr w:rsidR="000A0ACD" w14:paraId="6D21911D" w14:textId="77777777" w:rsidTr="00D2687A">
        <w:trPr>
          <w:trHeight w:val="397"/>
        </w:trPr>
        <w:tc>
          <w:tcPr>
            <w:tcW w:w="847" w:type="pct"/>
            <w:shd w:val="clear" w:color="auto" w:fill="auto"/>
            <w:noWrap/>
            <w:vAlign w:val="center"/>
          </w:tcPr>
          <w:p w14:paraId="1601AA21"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信用减值损失</w:t>
            </w:r>
          </w:p>
        </w:tc>
        <w:tc>
          <w:tcPr>
            <w:tcW w:w="607" w:type="pct"/>
            <w:shd w:val="clear" w:color="auto" w:fill="auto"/>
            <w:noWrap/>
            <w:vAlign w:val="center"/>
          </w:tcPr>
          <w:p w14:paraId="58E8777F"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693D3639"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6C5628E8"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54" w:type="pct"/>
            <w:shd w:val="clear" w:color="auto" w:fill="auto"/>
            <w:noWrap/>
            <w:vAlign w:val="center"/>
          </w:tcPr>
          <w:p w14:paraId="406C4451"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16" w:type="pct"/>
            <w:shd w:val="clear" w:color="auto" w:fill="auto"/>
            <w:noWrap/>
            <w:vAlign w:val="center"/>
          </w:tcPr>
          <w:p w14:paraId="1485B0F8"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67E2CFE4"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40" w:type="pct"/>
            <w:shd w:val="clear" w:color="auto" w:fill="auto"/>
            <w:noWrap/>
            <w:vAlign w:val="center"/>
          </w:tcPr>
          <w:p w14:paraId="034E47B5"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09D037AF" w14:textId="77777777" w:rsidTr="00D2687A">
        <w:trPr>
          <w:trHeight w:val="397"/>
        </w:trPr>
        <w:tc>
          <w:tcPr>
            <w:tcW w:w="847" w:type="pct"/>
            <w:shd w:val="clear" w:color="auto" w:fill="auto"/>
            <w:noWrap/>
            <w:vAlign w:val="center"/>
          </w:tcPr>
          <w:p w14:paraId="3BC905BE"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加：公允价值变动收益</w:t>
            </w:r>
          </w:p>
        </w:tc>
        <w:tc>
          <w:tcPr>
            <w:tcW w:w="607" w:type="pct"/>
            <w:shd w:val="clear" w:color="auto" w:fill="auto"/>
            <w:noWrap/>
            <w:vAlign w:val="center"/>
          </w:tcPr>
          <w:p w14:paraId="29EE0C56"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2C5C0F91"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62CDFCB9"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54" w:type="pct"/>
            <w:shd w:val="clear" w:color="auto" w:fill="auto"/>
            <w:noWrap/>
            <w:vAlign w:val="center"/>
          </w:tcPr>
          <w:p w14:paraId="13653740"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16" w:type="pct"/>
            <w:shd w:val="clear" w:color="auto" w:fill="auto"/>
            <w:noWrap/>
            <w:vAlign w:val="center"/>
          </w:tcPr>
          <w:p w14:paraId="2D055743"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40F163FB"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40" w:type="pct"/>
            <w:shd w:val="clear" w:color="auto" w:fill="auto"/>
            <w:noWrap/>
            <w:vAlign w:val="center"/>
          </w:tcPr>
          <w:p w14:paraId="07956855"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4DFB0108" w14:textId="77777777" w:rsidTr="00D2687A">
        <w:trPr>
          <w:trHeight w:val="397"/>
        </w:trPr>
        <w:tc>
          <w:tcPr>
            <w:tcW w:w="847" w:type="pct"/>
            <w:shd w:val="clear" w:color="auto" w:fill="auto"/>
            <w:noWrap/>
            <w:vAlign w:val="center"/>
          </w:tcPr>
          <w:p w14:paraId="13F4EDE6"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投资收益</w:t>
            </w:r>
          </w:p>
        </w:tc>
        <w:tc>
          <w:tcPr>
            <w:tcW w:w="607" w:type="pct"/>
            <w:shd w:val="clear" w:color="auto" w:fill="auto"/>
            <w:noWrap/>
            <w:vAlign w:val="center"/>
          </w:tcPr>
          <w:p w14:paraId="3657424F"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4C979B8D"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6F375BAB"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54" w:type="pct"/>
            <w:shd w:val="clear" w:color="auto" w:fill="auto"/>
            <w:noWrap/>
            <w:vAlign w:val="center"/>
          </w:tcPr>
          <w:p w14:paraId="39C49B18"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16" w:type="pct"/>
            <w:shd w:val="clear" w:color="auto" w:fill="auto"/>
            <w:noWrap/>
            <w:vAlign w:val="center"/>
          </w:tcPr>
          <w:p w14:paraId="467EB7D1"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065EAD70"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40" w:type="pct"/>
            <w:shd w:val="clear" w:color="auto" w:fill="auto"/>
            <w:noWrap/>
            <w:vAlign w:val="center"/>
          </w:tcPr>
          <w:p w14:paraId="7930535D"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0EDFC6A0" w14:textId="77777777" w:rsidTr="00D2687A">
        <w:trPr>
          <w:trHeight w:val="397"/>
        </w:trPr>
        <w:tc>
          <w:tcPr>
            <w:tcW w:w="847" w:type="pct"/>
            <w:shd w:val="clear" w:color="auto" w:fill="auto"/>
            <w:vAlign w:val="center"/>
          </w:tcPr>
          <w:p w14:paraId="31637FA0"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其中：对联营企业和合营企业的投资收益</w:t>
            </w:r>
          </w:p>
        </w:tc>
        <w:tc>
          <w:tcPr>
            <w:tcW w:w="607" w:type="pct"/>
            <w:shd w:val="clear" w:color="auto" w:fill="auto"/>
            <w:noWrap/>
            <w:vAlign w:val="center"/>
          </w:tcPr>
          <w:p w14:paraId="5123F04B"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6AC65EE9"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5733FF8A"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54" w:type="pct"/>
            <w:shd w:val="clear" w:color="auto" w:fill="auto"/>
            <w:noWrap/>
            <w:vAlign w:val="center"/>
          </w:tcPr>
          <w:p w14:paraId="00DF2462"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16" w:type="pct"/>
            <w:shd w:val="clear" w:color="auto" w:fill="auto"/>
            <w:noWrap/>
            <w:vAlign w:val="center"/>
          </w:tcPr>
          <w:p w14:paraId="0B836F83"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4C59B900"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40" w:type="pct"/>
            <w:shd w:val="clear" w:color="auto" w:fill="auto"/>
            <w:noWrap/>
            <w:vAlign w:val="center"/>
          </w:tcPr>
          <w:p w14:paraId="291B1420"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623092B7" w14:textId="77777777" w:rsidTr="00D2687A">
        <w:trPr>
          <w:trHeight w:val="397"/>
        </w:trPr>
        <w:tc>
          <w:tcPr>
            <w:tcW w:w="847" w:type="pct"/>
            <w:shd w:val="clear" w:color="auto" w:fill="auto"/>
            <w:noWrap/>
            <w:vAlign w:val="center"/>
          </w:tcPr>
          <w:p w14:paraId="39D3A80A"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其他收益</w:t>
            </w:r>
          </w:p>
        </w:tc>
        <w:tc>
          <w:tcPr>
            <w:tcW w:w="607" w:type="pct"/>
            <w:shd w:val="clear" w:color="auto" w:fill="auto"/>
            <w:noWrap/>
            <w:vAlign w:val="center"/>
          </w:tcPr>
          <w:p w14:paraId="07E25F27"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126914A4"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64499744"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54" w:type="pct"/>
            <w:shd w:val="clear" w:color="auto" w:fill="auto"/>
            <w:noWrap/>
            <w:vAlign w:val="center"/>
          </w:tcPr>
          <w:p w14:paraId="763CF4AD"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16" w:type="pct"/>
            <w:shd w:val="clear" w:color="auto" w:fill="auto"/>
            <w:noWrap/>
            <w:vAlign w:val="center"/>
          </w:tcPr>
          <w:p w14:paraId="1B837D0C"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1E60F3ED"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40" w:type="pct"/>
            <w:shd w:val="clear" w:color="auto" w:fill="auto"/>
            <w:noWrap/>
            <w:vAlign w:val="center"/>
          </w:tcPr>
          <w:p w14:paraId="087A9847"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5A2FBF64" w14:textId="77777777" w:rsidTr="00D2687A">
        <w:trPr>
          <w:trHeight w:val="397"/>
        </w:trPr>
        <w:tc>
          <w:tcPr>
            <w:tcW w:w="847" w:type="pct"/>
            <w:shd w:val="clear" w:color="auto" w:fill="auto"/>
            <w:noWrap/>
            <w:vAlign w:val="center"/>
          </w:tcPr>
          <w:p w14:paraId="7C7955C9" w14:textId="77777777" w:rsidR="000A0ACD" w:rsidRDefault="00362A99">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资产处置收益</w:t>
            </w:r>
          </w:p>
        </w:tc>
        <w:tc>
          <w:tcPr>
            <w:tcW w:w="607" w:type="pct"/>
            <w:shd w:val="clear" w:color="auto" w:fill="auto"/>
            <w:noWrap/>
            <w:vAlign w:val="center"/>
          </w:tcPr>
          <w:p w14:paraId="55DD0205"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1AA3595A"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07A79BE1"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54" w:type="pct"/>
            <w:shd w:val="clear" w:color="auto" w:fill="auto"/>
            <w:noWrap/>
            <w:vAlign w:val="center"/>
          </w:tcPr>
          <w:p w14:paraId="4413B378"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16" w:type="pct"/>
            <w:shd w:val="clear" w:color="auto" w:fill="auto"/>
            <w:noWrap/>
            <w:vAlign w:val="center"/>
          </w:tcPr>
          <w:p w14:paraId="42D8ED4B"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171422E7"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40" w:type="pct"/>
            <w:shd w:val="clear" w:color="auto" w:fill="auto"/>
            <w:noWrap/>
            <w:vAlign w:val="center"/>
          </w:tcPr>
          <w:p w14:paraId="7A8BA46C" w14:textId="77777777" w:rsidR="000A0ACD" w:rsidRDefault="00362A99">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0A0ACD" w14:paraId="6F198901" w14:textId="77777777" w:rsidTr="00D2687A">
        <w:trPr>
          <w:trHeight w:val="397"/>
        </w:trPr>
        <w:tc>
          <w:tcPr>
            <w:tcW w:w="847" w:type="pct"/>
            <w:shd w:val="clear" w:color="auto" w:fill="auto"/>
            <w:noWrap/>
            <w:vAlign w:val="center"/>
          </w:tcPr>
          <w:p w14:paraId="74CE386A" w14:textId="77777777" w:rsidR="000A0ACD" w:rsidRDefault="00362A99">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二、营业利润</w:t>
            </w:r>
          </w:p>
        </w:tc>
        <w:tc>
          <w:tcPr>
            <w:tcW w:w="607" w:type="pct"/>
            <w:shd w:val="clear" w:color="auto" w:fill="auto"/>
            <w:noWrap/>
            <w:vAlign w:val="center"/>
          </w:tcPr>
          <w:p w14:paraId="26573997"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580" w:type="pct"/>
            <w:shd w:val="clear" w:color="auto" w:fill="auto"/>
            <w:noWrap/>
            <w:vAlign w:val="center"/>
          </w:tcPr>
          <w:p w14:paraId="7B490BBA"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72" w:type="pct"/>
            <w:shd w:val="clear" w:color="auto" w:fill="auto"/>
            <w:noWrap/>
            <w:vAlign w:val="center"/>
          </w:tcPr>
          <w:p w14:paraId="3C53CF6A"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54" w:type="pct"/>
            <w:shd w:val="clear" w:color="auto" w:fill="auto"/>
            <w:noWrap/>
            <w:vAlign w:val="center"/>
          </w:tcPr>
          <w:p w14:paraId="7648DE43"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616" w:type="pct"/>
            <w:shd w:val="clear" w:color="auto" w:fill="auto"/>
            <w:noWrap/>
            <w:vAlign w:val="center"/>
          </w:tcPr>
          <w:p w14:paraId="6483987D"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580" w:type="pct"/>
            <w:shd w:val="clear" w:color="auto" w:fill="auto"/>
            <w:noWrap/>
            <w:vAlign w:val="center"/>
          </w:tcPr>
          <w:p w14:paraId="277DDFD5"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640" w:type="pct"/>
            <w:shd w:val="clear" w:color="auto" w:fill="auto"/>
            <w:noWrap/>
            <w:vAlign w:val="center"/>
          </w:tcPr>
          <w:p w14:paraId="2300C1DA"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0A0ACD" w14:paraId="5CEF4078" w14:textId="77777777" w:rsidTr="00D2687A">
        <w:trPr>
          <w:trHeight w:val="397"/>
        </w:trPr>
        <w:tc>
          <w:tcPr>
            <w:tcW w:w="847" w:type="pct"/>
            <w:shd w:val="clear" w:color="auto" w:fill="auto"/>
            <w:noWrap/>
            <w:vAlign w:val="center"/>
          </w:tcPr>
          <w:p w14:paraId="41A9F023"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加：营业外收入</w:t>
            </w:r>
          </w:p>
        </w:tc>
        <w:tc>
          <w:tcPr>
            <w:tcW w:w="607" w:type="pct"/>
            <w:shd w:val="clear" w:color="auto" w:fill="auto"/>
            <w:noWrap/>
            <w:vAlign w:val="center"/>
          </w:tcPr>
          <w:p w14:paraId="2F6E4376"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341ECA0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1C3A39C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54" w:type="pct"/>
            <w:shd w:val="clear" w:color="auto" w:fill="auto"/>
            <w:noWrap/>
            <w:vAlign w:val="center"/>
          </w:tcPr>
          <w:p w14:paraId="00C8489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16" w:type="pct"/>
            <w:shd w:val="clear" w:color="auto" w:fill="auto"/>
            <w:noWrap/>
            <w:vAlign w:val="center"/>
          </w:tcPr>
          <w:p w14:paraId="1E95778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6717A2D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40" w:type="pct"/>
            <w:shd w:val="clear" w:color="auto" w:fill="auto"/>
            <w:noWrap/>
            <w:vAlign w:val="center"/>
          </w:tcPr>
          <w:p w14:paraId="10CE7F1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2B923BDB" w14:textId="77777777" w:rsidTr="00D2687A">
        <w:trPr>
          <w:trHeight w:val="397"/>
        </w:trPr>
        <w:tc>
          <w:tcPr>
            <w:tcW w:w="847" w:type="pct"/>
            <w:shd w:val="clear" w:color="auto" w:fill="auto"/>
            <w:noWrap/>
            <w:vAlign w:val="center"/>
          </w:tcPr>
          <w:p w14:paraId="618919A1"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减：营业外支出</w:t>
            </w:r>
          </w:p>
        </w:tc>
        <w:tc>
          <w:tcPr>
            <w:tcW w:w="607" w:type="pct"/>
            <w:shd w:val="clear" w:color="auto" w:fill="auto"/>
            <w:noWrap/>
            <w:vAlign w:val="center"/>
          </w:tcPr>
          <w:p w14:paraId="63A90DC1"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67817DE7"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6DC7EA1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54" w:type="pct"/>
            <w:shd w:val="clear" w:color="auto" w:fill="auto"/>
            <w:noWrap/>
            <w:vAlign w:val="center"/>
          </w:tcPr>
          <w:p w14:paraId="296D93F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16" w:type="pct"/>
            <w:shd w:val="clear" w:color="auto" w:fill="auto"/>
            <w:noWrap/>
            <w:vAlign w:val="center"/>
          </w:tcPr>
          <w:p w14:paraId="6BD2F39A"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0" w:type="pct"/>
            <w:shd w:val="clear" w:color="auto" w:fill="auto"/>
            <w:noWrap/>
            <w:vAlign w:val="center"/>
          </w:tcPr>
          <w:p w14:paraId="16D8389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40" w:type="pct"/>
            <w:shd w:val="clear" w:color="auto" w:fill="auto"/>
            <w:noWrap/>
            <w:vAlign w:val="center"/>
          </w:tcPr>
          <w:p w14:paraId="00006E40"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67C0FDC9" w14:textId="77777777" w:rsidTr="00D2687A">
        <w:trPr>
          <w:trHeight w:val="397"/>
        </w:trPr>
        <w:tc>
          <w:tcPr>
            <w:tcW w:w="847" w:type="pct"/>
            <w:shd w:val="clear" w:color="auto" w:fill="auto"/>
            <w:vAlign w:val="center"/>
          </w:tcPr>
          <w:p w14:paraId="240F19A7" w14:textId="77777777" w:rsidR="000A0ACD" w:rsidRDefault="00362A99">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三、利润总额</w:t>
            </w:r>
          </w:p>
        </w:tc>
        <w:tc>
          <w:tcPr>
            <w:tcW w:w="607" w:type="pct"/>
            <w:shd w:val="clear" w:color="auto" w:fill="auto"/>
            <w:noWrap/>
            <w:vAlign w:val="center"/>
          </w:tcPr>
          <w:p w14:paraId="7257DBCE"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580" w:type="pct"/>
            <w:shd w:val="clear" w:color="auto" w:fill="auto"/>
            <w:noWrap/>
            <w:vAlign w:val="center"/>
          </w:tcPr>
          <w:p w14:paraId="2F985A42"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72" w:type="pct"/>
            <w:shd w:val="clear" w:color="auto" w:fill="auto"/>
            <w:noWrap/>
            <w:vAlign w:val="center"/>
          </w:tcPr>
          <w:p w14:paraId="02CB6987"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54" w:type="pct"/>
            <w:shd w:val="clear" w:color="auto" w:fill="auto"/>
            <w:noWrap/>
            <w:vAlign w:val="center"/>
          </w:tcPr>
          <w:p w14:paraId="509C0176"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616" w:type="pct"/>
            <w:shd w:val="clear" w:color="auto" w:fill="auto"/>
            <w:noWrap/>
            <w:vAlign w:val="center"/>
          </w:tcPr>
          <w:p w14:paraId="0BF0E629"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580" w:type="pct"/>
            <w:shd w:val="clear" w:color="auto" w:fill="auto"/>
            <w:noWrap/>
            <w:vAlign w:val="center"/>
          </w:tcPr>
          <w:p w14:paraId="33BA78A7"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640" w:type="pct"/>
            <w:shd w:val="clear" w:color="auto" w:fill="auto"/>
            <w:noWrap/>
            <w:vAlign w:val="center"/>
          </w:tcPr>
          <w:p w14:paraId="13B37CA2"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0A0ACD" w14:paraId="2EEFFDA7" w14:textId="77777777" w:rsidTr="00D2687A">
        <w:trPr>
          <w:trHeight w:val="397"/>
        </w:trPr>
        <w:tc>
          <w:tcPr>
            <w:tcW w:w="847" w:type="pct"/>
            <w:shd w:val="clear" w:color="auto" w:fill="auto"/>
            <w:vAlign w:val="center"/>
          </w:tcPr>
          <w:p w14:paraId="71D4E4EE"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研发费加计扣除</w:t>
            </w:r>
          </w:p>
        </w:tc>
        <w:tc>
          <w:tcPr>
            <w:tcW w:w="607" w:type="pct"/>
            <w:shd w:val="clear" w:color="auto" w:fill="auto"/>
            <w:noWrap/>
            <w:vAlign w:val="center"/>
          </w:tcPr>
          <w:p w14:paraId="0F5F614B"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0" w:type="pct"/>
            <w:shd w:val="clear" w:color="auto" w:fill="auto"/>
            <w:noWrap/>
            <w:vAlign w:val="center"/>
          </w:tcPr>
          <w:p w14:paraId="59244433"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72" w:type="pct"/>
            <w:shd w:val="clear" w:color="auto" w:fill="auto"/>
            <w:noWrap/>
            <w:vAlign w:val="center"/>
          </w:tcPr>
          <w:p w14:paraId="5F593D14"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54" w:type="pct"/>
            <w:shd w:val="clear" w:color="auto" w:fill="auto"/>
            <w:noWrap/>
            <w:vAlign w:val="center"/>
          </w:tcPr>
          <w:p w14:paraId="7D891F53"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616" w:type="pct"/>
            <w:shd w:val="clear" w:color="auto" w:fill="auto"/>
            <w:noWrap/>
            <w:vAlign w:val="center"/>
          </w:tcPr>
          <w:p w14:paraId="1083A50C"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0" w:type="pct"/>
            <w:shd w:val="clear" w:color="auto" w:fill="auto"/>
            <w:noWrap/>
            <w:vAlign w:val="center"/>
          </w:tcPr>
          <w:p w14:paraId="255F746F"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640" w:type="pct"/>
            <w:shd w:val="clear" w:color="auto" w:fill="auto"/>
            <w:noWrap/>
            <w:vAlign w:val="center"/>
          </w:tcPr>
          <w:p w14:paraId="5A028D35"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r>
      <w:tr w:rsidR="000A0ACD" w14:paraId="26EFE396" w14:textId="77777777" w:rsidTr="00D2687A">
        <w:trPr>
          <w:trHeight w:val="397"/>
        </w:trPr>
        <w:tc>
          <w:tcPr>
            <w:tcW w:w="847" w:type="pct"/>
            <w:shd w:val="clear" w:color="auto" w:fill="auto"/>
            <w:vAlign w:val="center"/>
          </w:tcPr>
          <w:p w14:paraId="47E2A983"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加计扣除后利润</w:t>
            </w:r>
          </w:p>
        </w:tc>
        <w:tc>
          <w:tcPr>
            <w:tcW w:w="607" w:type="pct"/>
            <w:shd w:val="clear" w:color="auto" w:fill="auto"/>
            <w:noWrap/>
            <w:vAlign w:val="center"/>
          </w:tcPr>
          <w:p w14:paraId="5D8DE91E"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580" w:type="pct"/>
            <w:shd w:val="clear" w:color="auto" w:fill="auto"/>
            <w:noWrap/>
            <w:vAlign w:val="center"/>
          </w:tcPr>
          <w:p w14:paraId="28351EA2"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72" w:type="pct"/>
            <w:shd w:val="clear" w:color="auto" w:fill="auto"/>
            <w:noWrap/>
            <w:vAlign w:val="center"/>
          </w:tcPr>
          <w:p w14:paraId="18E4F490"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54" w:type="pct"/>
            <w:shd w:val="clear" w:color="auto" w:fill="auto"/>
            <w:noWrap/>
            <w:vAlign w:val="center"/>
          </w:tcPr>
          <w:p w14:paraId="2286E546"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616" w:type="pct"/>
            <w:shd w:val="clear" w:color="auto" w:fill="auto"/>
            <w:noWrap/>
            <w:vAlign w:val="center"/>
          </w:tcPr>
          <w:p w14:paraId="2C16614F"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580" w:type="pct"/>
            <w:shd w:val="clear" w:color="auto" w:fill="auto"/>
            <w:noWrap/>
            <w:vAlign w:val="center"/>
          </w:tcPr>
          <w:p w14:paraId="719FD3FC"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640" w:type="pct"/>
            <w:shd w:val="clear" w:color="auto" w:fill="auto"/>
            <w:noWrap/>
            <w:vAlign w:val="center"/>
          </w:tcPr>
          <w:p w14:paraId="1B9464E8"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0A0ACD" w14:paraId="620E0195" w14:textId="77777777" w:rsidTr="00D2687A">
        <w:trPr>
          <w:trHeight w:val="397"/>
        </w:trPr>
        <w:tc>
          <w:tcPr>
            <w:tcW w:w="847" w:type="pct"/>
            <w:shd w:val="clear" w:color="auto" w:fill="auto"/>
            <w:vAlign w:val="center"/>
          </w:tcPr>
          <w:p w14:paraId="5BFABA05" w14:textId="77777777" w:rsidR="000A0ACD" w:rsidRDefault="00362A99">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减：所得税费用（</w:t>
            </w:r>
            <w:r>
              <w:rPr>
                <w:rFonts w:ascii="Times New Roman" w:hAnsi="Times New Roman" w:cs="Times New Roman" w:hint="eastAsia"/>
                <w:sz w:val="21"/>
                <w:szCs w:val="21"/>
              </w:rPr>
              <w:t>1</w:t>
            </w:r>
            <w:r>
              <w:rPr>
                <w:rFonts w:ascii="Times New Roman" w:hAnsi="Times New Roman" w:cs="Times New Roman"/>
                <w:sz w:val="21"/>
                <w:szCs w:val="21"/>
              </w:rPr>
              <w:t>5</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607" w:type="pct"/>
            <w:shd w:val="clear" w:color="auto" w:fill="auto"/>
            <w:noWrap/>
            <w:vAlign w:val="center"/>
          </w:tcPr>
          <w:p w14:paraId="3CBF4B6D"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471.69</w:t>
            </w:r>
          </w:p>
        </w:tc>
        <w:tc>
          <w:tcPr>
            <w:tcW w:w="580" w:type="pct"/>
            <w:shd w:val="clear" w:color="auto" w:fill="auto"/>
            <w:noWrap/>
            <w:vAlign w:val="center"/>
          </w:tcPr>
          <w:p w14:paraId="11BD66D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670.44</w:t>
            </w:r>
          </w:p>
        </w:tc>
        <w:tc>
          <w:tcPr>
            <w:tcW w:w="572" w:type="pct"/>
            <w:shd w:val="clear" w:color="auto" w:fill="auto"/>
            <w:noWrap/>
            <w:vAlign w:val="center"/>
          </w:tcPr>
          <w:p w14:paraId="2A203D6C"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720.52</w:t>
            </w:r>
          </w:p>
        </w:tc>
        <w:tc>
          <w:tcPr>
            <w:tcW w:w="554" w:type="pct"/>
            <w:shd w:val="clear" w:color="auto" w:fill="auto"/>
            <w:noWrap/>
            <w:vAlign w:val="center"/>
          </w:tcPr>
          <w:p w14:paraId="31E12BDB"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757.35</w:t>
            </w:r>
          </w:p>
        </w:tc>
        <w:tc>
          <w:tcPr>
            <w:tcW w:w="616" w:type="pct"/>
            <w:shd w:val="clear" w:color="auto" w:fill="auto"/>
            <w:noWrap/>
            <w:vAlign w:val="center"/>
          </w:tcPr>
          <w:p w14:paraId="265C3F4F"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803.14</w:t>
            </w:r>
          </w:p>
        </w:tc>
        <w:tc>
          <w:tcPr>
            <w:tcW w:w="580" w:type="pct"/>
            <w:shd w:val="clear" w:color="auto" w:fill="auto"/>
            <w:noWrap/>
            <w:vAlign w:val="center"/>
          </w:tcPr>
          <w:p w14:paraId="3BF58FDE"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826.96</w:t>
            </w:r>
          </w:p>
        </w:tc>
        <w:tc>
          <w:tcPr>
            <w:tcW w:w="640" w:type="pct"/>
            <w:shd w:val="clear" w:color="auto" w:fill="auto"/>
            <w:noWrap/>
            <w:vAlign w:val="center"/>
          </w:tcPr>
          <w:p w14:paraId="569D0D24" w14:textId="77777777" w:rsidR="000A0ACD" w:rsidRDefault="00362A99">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826.96</w:t>
            </w:r>
          </w:p>
        </w:tc>
      </w:tr>
      <w:tr w:rsidR="000A0ACD" w14:paraId="563EF3C0" w14:textId="77777777" w:rsidTr="00D2687A">
        <w:trPr>
          <w:trHeight w:val="397"/>
        </w:trPr>
        <w:tc>
          <w:tcPr>
            <w:tcW w:w="847" w:type="pct"/>
            <w:shd w:val="clear" w:color="auto" w:fill="auto"/>
            <w:vAlign w:val="center"/>
          </w:tcPr>
          <w:p w14:paraId="4E5F935C" w14:textId="77777777" w:rsidR="000A0ACD" w:rsidRDefault="00362A99">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四、净利润</w:t>
            </w:r>
          </w:p>
        </w:tc>
        <w:tc>
          <w:tcPr>
            <w:tcW w:w="607" w:type="pct"/>
            <w:shd w:val="clear" w:color="auto" w:fill="auto"/>
            <w:noWrap/>
            <w:vAlign w:val="center"/>
          </w:tcPr>
          <w:p w14:paraId="43A50F48"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2,519.71</w:t>
            </w:r>
          </w:p>
        </w:tc>
        <w:tc>
          <w:tcPr>
            <w:tcW w:w="580" w:type="pct"/>
            <w:shd w:val="clear" w:color="auto" w:fill="auto"/>
            <w:noWrap/>
            <w:vAlign w:val="center"/>
          </w:tcPr>
          <w:p w14:paraId="2E481559"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3,799.16</w:t>
            </w:r>
          </w:p>
        </w:tc>
        <w:tc>
          <w:tcPr>
            <w:tcW w:w="572" w:type="pct"/>
            <w:shd w:val="clear" w:color="auto" w:fill="auto"/>
            <w:noWrap/>
            <w:vAlign w:val="center"/>
          </w:tcPr>
          <w:p w14:paraId="1E67C928"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4,082.97</w:t>
            </w:r>
          </w:p>
        </w:tc>
        <w:tc>
          <w:tcPr>
            <w:tcW w:w="554" w:type="pct"/>
            <w:shd w:val="clear" w:color="auto" w:fill="auto"/>
            <w:noWrap/>
            <w:vAlign w:val="center"/>
          </w:tcPr>
          <w:p w14:paraId="0E9CC47F"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4,291.68</w:t>
            </w:r>
          </w:p>
        </w:tc>
        <w:tc>
          <w:tcPr>
            <w:tcW w:w="616" w:type="pct"/>
            <w:shd w:val="clear" w:color="auto" w:fill="auto"/>
            <w:noWrap/>
            <w:vAlign w:val="center"/>
          </w:tcPr>
          <w:p w14:paraId="2F2B021F"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4,551.10</w:t>
            </w:r>
          </w:p>
        </w:tc>
        <w:tc>
          <w:tcPr>
            <w:tcW w:w="580" w:type="pct"/>
            <w:shd w:val="clear" w:color="auto" w:fill="auto"/>
            <w:noWrap/>
            <w:vAlign w:val="center"/>
          </w:tcPr>
          <w:p w14:paraId="1FFD2BC4"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4,686.08</w:t>
            </w:r>
          </w:p>
        </w:tc>
        <w:tc>
          <w:tcPr>
            <w:tcW w:w="640" w:type="pct"/>
            <w:shd w:val="clear" w:color="auto" w:fill="auto"/>
            <w:noWrap/>
            <w:vAlign w:val="center"/>
          </w:tcPr>
          <w:p w14:paraId="4E84C323" w14:textId="77777777" w:rsidR="000A0ACD" w:rsidRDefault="00362A99">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4,686.08</w:t>
            </w:r>
          </w:p>
        </w:tc>
      </w:tr>
    </w:tbl>
    <w:bookmarkEnd w:id="126"/>
    <w:p w14:paraId="4819E504" w14:textId="77777777" w:rsidR="000A0ACD" w:rsidRDefault="00362A99">
      <w:pPr>
        <w:pStyle w:val="affffd"/>
        <w:spacing w:before="156"/>
        <w:ind w:firstLine="482"/>
        <w:rPr>
          <w:b/>
          <w:bCs/>
        </w:rPr>
      </w:pPr>
      <w:r>
        <w:rPr>
          <w:rFonts w:hint="eastAsia"/>
          <w:b/>
          <w:bCs/>
        </w:rPr>
        <w:t>3</w:t>
      </w:r>
      <w:r>
        <w:rPr>
          <w:rFonts w:hint="eastAsia"/>
          <w:b/>
          <w:bCs/>
        </w:rPr>
        <w:t>、企业自由现金流的预测</w:t>
      </w:r>
      <w:bookmarkEnd w:id="124"/>
      <w:bookmarkEnd w:id="125"/>
    </w:p>
    <w:p w14:paraId="2473A33F" w14:textId="77777777" w:rsidR="000A0ACD" w:rsidRDefault="00362A99">
      <w:pPr>
        <w:pStyle w:val="affffd"/>
        <w:snapToGrid w:val="0"/>
        <w:spacing w:before="156"/>
        <w:ind w:firstLine="480"/>
        <w:rPr>
          <w:bCs/>
          <w:lang w:bidi="ar"/>
        </w:rPr>
      </w:pPr>
      <w:r>
        <w:rPr>
          <w:rFonts w:hint="eastAsia"/>
          <w:bCs/>
          <w:lang w:bidi="ar"/>
        </w:rPr>
        <w:t>企业自由现金流</w:t>
      </w:r>
      <w:r>
        <w:rPr>
          <w:bCs/>
          <w:lang w:bidi="ar"/>
        </w:rPr>
        <w:t>=</w:t>
      </w:r>
      <w:r>
        <w:rPr>
          <w:rFonts w:hint="eastAsia"/>
          <w:bCs/>
          <w:lang w:bidi="ar"/>
        </w:rPr>
        <w:t>净利润</w:t>
      </w:r>
      <w:r>
        <w:rPr>
          <w:bCs/>
          <w:lang w:bidi="ar"/>
        </w:rPr>
        <w:t>+</w:t>
      </w:r>
      <w:r>
        <w:rPr>
          <w:rFonts w:hint="eastAsia"/>
          <w:bCs/>
          <w:lang w:bidi="ar"/>
        </w:rPr>
        <w:t>利息支出×（</w:t>
      </w:r>
      <w:r>
        <w:rPr>
          <w:bCs/>
          <w:lang w:bidi="ar"/>
        </w:rPr>
        <w:t>1-</w:t>
      </w:r>
      <w:r>
        <w:rPr>
          <w:rFonts w:hint="eastAsia"/>
          <w:bCs/>
          <w:lang w:bidi="ar"/>
        </w:rPr>
        <w:t>所得税率）</w:t>
      </w:r>
      <w:r>
        <w:rPr>
          <w:bCs/>
          <w:lang w:bidi="ar"/>
        </w:rPr>
        <w:t>+</w:t>
      </w:r>
      <w:r>
        <w:rPr>
          <w:rFonts w:hint="eastAsia"/>
          <w:bCs/>
          <w:lang w:bidi="ar"/>
        </w:rPr>
        <w:t>折旧及摊销</w:t>
      </w:r>
      <w:r>
        <w:rPr>
          <w:bCs/>
          <w:lang w:bidi="ar"/>
        </w:rPr>
        <w:t>-</w:t>
      </w:r>
      <w:r>
        <w:rPr>
          <w:rFonts w:hint="eastAsia"/>
          <w:bCs/>
          <w:lang w:bidi="ar"/>
        </w:rPr>
        <w:t>年资本性支出</w:t>
      </w:r>
      <w:r>
        <w:rPr>
          <w:bCs/>
          <w:lang w:bidi="ar"/>
        </w:rPr>
        <w:t>-</w:t>
      </w:r>
      <w:r>
        <w:rPr>
          <w:rFonts w:hint="eastAsia"/>
          <w:bCs/>
          <w:lang w:bidi="ar"/>
        </w:rPr>
        <w:t>年营运资金增加额</w:t>
      </w:r>
    </w:p>
    <w:p w14:paraId="034A64BC"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bookmarkStart w:id="127" w:name="_Toc163542864"/>
      <w:bookmarkStart w:id="128" w:name="_Toc161394631"/>
      <w:r>
        <w:rPr>
          <w:rFonts w:ascii="Times New Roman" w:hAnsi="Times New Roman" w:cs="Times New Roman" w:hint="eastAsia"/>
          <w:lang w:bidi="ar"/>
        </w:rPr>
        <w:t>（</w:t>
      </w:r>
      <w:r>
        <w:rPr>
          <w:rFonts w:ascii="Times New Roman" w:hAnsi="Times New Roman" w:cs="Times New Roman"/>
          <w:lang w:bidi="ar"/>
        </w:rPr>
        <w:t>1</w:t>
      </w:r>
      <w:r>
        <w:rPr>
          <w:rFonts w:ascii="Times New Roman" w:hAnsi="Times New Roman" w:cs="Times New Roman" w:hint="eastAsia"/>
          <w:lang w:bidi="ar"/>
        </w:rPr>
        <w:t>）折旧及摊销的预测</w:t>
      </w:r>
      <w:bookmarkEnd w:id="127"/>
      <w:bookmarkEnd w:id="128"/>
    </w:p>
    <w:p w14:paraId="5807204A" w14:textId="77777777" w:rsidR="000A0ACD" w:rsidRDefault="00362A99">
      <w:pPr>
        <w:pStyle w:val="affffd"/>
        <w:snapToGrid w:val="0"/>
        <w:spacing w:before="156"/>
        <w:ind w:firstLine="480"/>
        <w:rPr>
          <w:bCs/>
          <w:lang w:bidi="ar"/>
        </w:rPr>
      </w:pPr>
      <w:r>
        <w:rPr>
          <w:rFonts w:hint="eastAsia"/>
          <w:bCs/>
          <w:lang w:val="en-GB" w:bidi="ar"/>
        </w:rPr>
        <w:t>根据北洋天青财务报告和资产负债表调整情况表，截至评估基准日标的公司折旧及摊销情况如下表</w:t>
      </w:r>
      <w:r>
        <w:rPr>
          <w:rFonts w:hint="eastAsia"/>
          <w:bCs/>
          <w:lang w:bidi="ar"/>
        </w:rPr>
        <w:t>：</w:t>
      </w:r>
    </w:p>
    <w:p w14:paraId="246EA63B"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516"/>
        <w:gridCol w:w="1931"/>
        <w:gridCol w:w="2146"/>
        <w:gridCol w:w="1929"/>
      </w:tblGrid>
      <w:tr w:rsidR="000A0ACD" w14:paraId="52E07DD7" w14:textId="77777777">
        <w:trPr>
          <w:trHeight w:val="397"/>
          <w:tblHeader/>
        </w:trPr>
        <w:tc>
          <w:tcPr>
            <w:tcW w:w="1476" w:type="pct"/>
            <w:vMerge w:val="restart"/>
            <w:shd w:val="clear" w:color="auto" w:fill="auto"/>
            <w:noWrap/>
            <w:vAlign w:val="center"/>
          </w:tcPr>
          <w:p w14:paraId="43EBECC4"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资产类型</w:t>
            </w:r>
          </w:p>
        </w:tc>
        <w:tc>
          <w:tcPr>
            <w:tcW w:w="3524" w:type="pct"/>
            <w:gridSpan w:val="3"/>
            <w:shd w:val="clear" w:color="auto" w:fill="auto"/>
            <w:noWrap/>
            <w:vAlign w:val="center"/>
          </w:tcPr>
          <w:p w14:paraId="4CE6F20B"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资产数额</w:t>
            </w:r>
          </w:p>
        </w:tc>
      </w:tr>
      <w:tr w:rsidR="000A0ACD" w14:paraId="2CF2E04B" w14:textId="77777777">
        <w:trPr>
          <w:trHeight w:val="397"/>
          <w:tblHeader/>
        </w:trPr>
        <w:tc>
          <w:tcPr>
            <w:tcW w:w="1476" w:type="pct"/>
            <w:vMerge/>
            <w:vAlign w:val="center"/>
          </w:tcPr>
          <w:p w14:paraId="094885E3" w14:textId="77777777" w:rsidR="000A0ACD" w:rsidRDefault="000A0ACD">
            <w:pPr>
              <w:rPr>
                <w:rFonts w:ascii="Times New Roman" w:hAnsi="Times New Roman" w:cs="Times New Roman"/>
                <w:b/>
                <w:bCs/>
                <w:sz w:val="21"/>
                <w:szCs w:val="21"/>
              </w:rPr>
            </w:pPr>
          </w:p>
        </w:tc>
        <w:tc>
          <w:tcPr>
            <w:tcW w:w="1133" w:type="pct"/>
            <w:shd w:val="clear" w:color="auto" w:fill="auto"/>
            <w:noWrap/>
            <w:vAlign w:val="center"/>
          </w:tcPr>
          <w:p w14:paraId="3E4514B4"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原值</w:t>
            </w:r>
          </w:p>
        </w:tc>
        <w:tc>
          <w:tcPr>
            <w:tcW w:w="1259" w:type="pct"/>
            <w:shd w:val="clear" w:color="auto" w:fill="auto"/>
            <w:vAlign w:val="center"/>
          </w:tcPr>
          <w:p w14:paraId="7B3822EA"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应计折旧原值</w:t>
            </w:r>
          </w:p>
        </w:tc>
        <w:tc>
          <w:tcPr>
            <w:tcW w:w="1132" w:type="pct"/>
            <w:shd w:val="clear" w:color="auto" w:fill="auto"/>
            <w:noWrap/>
            <w:vAlign w:val="center"/>
          </w:tcPr>
          <w:p w14:paraId="33A06FEF"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净值</w:t>
            </w:r>
          </w:p>
        </w:tc>
      </w:tr>
      <w:tr w:rsidR="000A0ACD" w14:paraId="11D599F5" w14:textId="77777777">
        <w:trPr>
          <w:trHeight w:val="397"/>
        </w:trPr>
        <w:tc>
          <w:tcPr>
            <w:tcW w:w="1476" w:type="pct"/>
            <w:shd w:val="clear" w:color="auto" w:fill="auto"/>
            <w:vAlign w:val="center"/>
          </w:tcPr>
          <w:p w14:paraId="7C93671F"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房屋建筑物</w:t>
            </w:r>
          </w:p>
        </w:tc>
        <w:tc>
          <w:tcPr>
            <w:tcW w:w="1133" w:type="pct"/>
            <w:shd w:val="clear" w:color="auto" w:fill="auto"/>
            <w:noWrap/>
            <w:vAlign w:val="center"/>
          </w:tcPr>
          <w:p w14:paraId="3DE8143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1259" w:type="pct"/>
            <w:shd w:val="clear" w:color="auto" w:fill="auto"/>
            <w:noWrap/>
            <w:vAlign w:val="center"/>
          </w:tcPr>
          <w:p w14:paraId="0B5C308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1132" w:type="pct"/>
            <w:shd w:val="clear" w:color="auto" w:fill="auto"/>
            <w:noWrap/>
            <w:vAlign w:val="center"/>
          </w:tcPr>
          <w:p w14:paraId="6ABDE3B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5A751627" w14:textId="77777777">
        <w:trPr>
          <w:trHeight w:val="397"/>
        </w:trPr>
        <w:tc>
          <w:tcPr>
            <w:tcW w:w="1476" w:type="pct"/>
            <w:shd w:val="clear" w:color="auto" w:fill="auto"/>
            <w:vAlign w:val="center"/>
          </w:tcPr>
          <w:p w14:paraId="4A800181"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机器设备</w:t>
            </w:r>
          </w:p>
        </w:tc>
        <w:tc>
          <w:tcPr>
            <w:tcW w:w="1133" w:type="pct"/>
            <w:shd w:val="clear" w:color="auto" w:fill="auto"/>
            <w:noWrap/>
            <w:vAlign w:val="center"/>
          </w:tcPr>
          <w:p w14:paraId="2BC67FD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265.47</w:t>
            </w:r>
          </w:p>
        </w:tc>
        <w:tc>
          <w:tcPr>
            <w:tcW w:w="1259" w:type="pct"/>
            <w:shd w:val="clear" w:color="auto" w:fill="auto"/>
            <w:noWrap/>
            <w:vAlign w:val="center"/>
          </w:tcPr>
          <w:p w14:paraId="79241E7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252.19</w:t>
            </w:r>
          </w:p>
        </w:tc>
        <w:tc>
          <w:tcPr>
            <w:tcW w:w="1132" w:type="pct"/>
            <w:shd w:val="clear" w:color="auto" w:fill="auto"/>
            <w:noWrap/>
            <w:vAlign w:val="center"/>
          </w:tcPr>
          <w:p w14:paraId="79B2C67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206.99</w:t>
            </w:r>
          </w:p>
        </w:tc>
      </w:tr>
      <w:tr w:rsidR="000A0ACD" w14:paraId="1F0DC6D9" w14:textId="77777777">
        <w:trPr>
          <w:trHeight w:val="397"/>
        </w:trPr>
        <w:tc>
          <w:tcPr>
            <w:tcW w:w="1476" w:type="pct"/>
            <w:shd w:val="clear" w:color="auto" w:fill="auto"/>
            <w:vAlign w:val="center"/>
          </w:tcPr>
          <w:p w14:paraId="58DFBC4B"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电子设备</w:t>
            </w:r>
          </w:p>
        </w:tc>
        <w:tc>
          <w:tcPr>
            <w:tcW w:w="1133" w:type="pct"/>
            <w:shd w:val="clear" w:color="auto" w:fill="auto"/>
            <w:noWrap/>
            <w:vAlign w:val="center"/>
          </w:tcPr>
          <w:p w14:paraId="1A47793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90.56</w:t>
            </w:r>
          </w:p>
        </w:tc>
        <w:tc>
          <w:tcPr>
            <w:tcW w:w="1259" w:type="pct"/>
            <w:shd w:val="clear" w:color="auto" w:fill="auto"/>
            <w:noWrap/>
            <w:vAlign w:val="center"/>
          </w:tcPr>
          <w:p w14:paraId="43010E8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86.04</w:t>
            </w:r>
          </w:p>
        </w:tc>
        <w:tc>
          <w:tcPr>
            <w:tcW w:w="1132" w:type="pct"/>
            <w:shd w:val="clear" w:color="auto" w:fill="auto"/>
            <w:noWrap/>
            <w:vAlign w:val="center"/>
          </w:tcPr>
          <w:p w14:paraId="1A969CE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43.67</w:t>
            </w:r>
          </w:p>
        </w:tc>
      </w:tr>
      <w:tr w:rsidR="000A0ACD" w14:paraId="4E86BD61" w14:textId="77777777">
        <w:trPr>
          <w:trHeight w:val="397"/>
        </w:trPr>
        <w:tc>
          <w:tcPr>
            <w:tcW w:w="1476" w:type="pct"/>
            <w:shd w:val="clear" w:color="auto" w:fill="auto"/>
            <w:vAlign w:val="center"/>
          </w:tcPr>
          <w:p w14:paraId="6E923B8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车辆</w:t>
            </w:r>
          </w:p>
        </w:tc>
        <w:tc>
          <w:tcPr>
            <w:tcW w:w="1133" w:type="pct"/>
            <w:shd w:val="clear" w:color="auto" w:fill="auto"/>
            <w:noWrap/>
            <w:vAlign w:val="center"/>
          </w:tcPr>
          <w:p w14:paraId="7B01F1C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219.31</w:t>
            </w:r>
          </w:p>
        </w:tc>
        <w:tc>
          <w:tcPr>
            <w:tcW w:w="1259" w:type="pct"/>
            <w:shd w:val="clear" w:color="auto" w:fill="auto"/>
            <w:noWrap/>
            <w:vAlign w:val="center"/>
          </w:tcPr>
          <w:p w14:paraId="14A5030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208.35</w:t>
            </w:r>
          </w:p>
        </w:tc>
        <w:tc>
          <w:tcPr>
            <w:tcW w:w="1132" w:type="pct"/>
            <w:shd w:val="clear" w:color="auto" w:fill="auto"/>
            <w:noWrap/>
            <w:vAlign w:val="center"/>
          </w:tcPr>
          <w:p w14:paraId="19723C7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146.94</w:t>
            </w:r>
          </w:p>
        </w:tc>
      </w:tr>
      <w:tr w:rsidR="000A0ACD" w14:paraId="53FE68DE" w14:textId="77777777">
        <w:trPr>
          <w:trHeight w:val="397"/>
        </w:trPr>
        <w:tc>
          <w:tcPr>
            <w:tcW w:w="1476" w:type="pct"/>
            <w:shd w:val="clear" w:color="auto" w:fill="auto"/>
            <w:vAlign w:val="center"/>
          </w:tcPr>
          <w:p w14:paraId="221C20C2"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其他无形资产</w:t>
            </w:r>
          </w:p>
        </w:tc>
        <w:tc>
          <w:tcPr>
            <w:tcW w:w="1133" w:type="pct"/>
            <w:shd w:val="clear" w:color="auto" w:fill="auto"/>
            <w:noWrap/>
            <w:vAlign w:val="center"/>
          </w:tcPr>
          <w:p w14:paraId="2C21893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22.54</w:t>
            </w:r>
          </w:p>
        </w:tc>
        <w:tc>
          <w:tcPr>
            <w:tcW w:w="1259" w:type="pct"/>
            <w:shd w:val="clear" w:color="auto" w:fill="auto"/>
            <w:noWrap/>
            <w:vAlign w:val="center"/>
          </w:tcPr>
          <w:p w14:paraId="1D9AF667"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22.54</w:t>
            </w:r>
          </w:p>
        </w:tc>
        <w:tc>
          <w:tcPr>
            <w:tcW w:w="1132" w:type="pct"/>
            <w:shd w:val="clear" w:color="auto" w:fill="auto"/>
            <w:noWrap/>
            <w:vAlign w:val="center"/>
          </w:tcPr>
          <w:p w14:paraId="5CEB8FF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14.91</w:t>
            </w:r>
          </w:p>
        </w:tc>
      </w:tr>
    </w:tbl>
    <w:p w14:paraId="6209F5B2" w14:textId="77777777" w:rsidR="000A0ACD" w:rsidRDefault="00362A99">
      <w:pPr>
        <w:pStyle w:val="affffd"/>
        <w:snapToGrid w:val="0"/>
        <w:spacing w:before="156"/>
        <w:ind w:firstLine="480"/>
        <w:rPr>
          <w:bCs/>
          <w:lang w:val="en-GB" w:bidi="ar"/>
        </w:rPr>
      </w:pPr>
      <w:r>
        <w:rPr>
          <w:rFonts w:hint="eastAsia"/>
          <w:bCs/>
          <w:lang w:val="en-GB" w:bidi="ar"/>
        </w:rPr>
        <w:t>对于今后每年资本性支出形成的各类资产，遵循了企业执行的一贯会计政策计提，其折旧年限按以上年限计算折旧。</w:t>
      </w:r>
    </w:p>
    <w:p w14:paraId="3323A0D4" w14:textId="77777777" w:rsidR="000A0ACD" w:rsidRDefault="00362A99">
      <w:pPr>
        <w:pStyle w:val="affffd"/>
        <w:spacing w:before="156"/>
        <w:ind w:firstLine="480"/>
        <w:rPr>
          <w:bCs/>
          <w:lang w:bidi="ar"/>
        </w:rPr>
      </w:pPr>
      <w:r>
        <w:rPr>
          <w:rFonts w:hint="eastAsia"/>
          <w:bCs/>
          <w:lang w:bidi="ar"/>
        </w:rPr>
        <w:t>有关折旧及摊销的预测，具体情况如下：</w:t>
      </w:r>
    </w:p>
    <w:p w14:paraId="78DDC5D2"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83"/>
        <w:gridCol w:w="941"/>
        <w:gridCol w:w="941"/>
        <w:gridCol w:w="941"/>
        <w:gridCol w:w="941"/>
        <w:gridCol w:w="941"/>
        <w:gridCol w:w="941"/>
        <w:gridCol w:w="893"/>
      </w:tblGrid>
      <w:tr w:rsidR="000A0ACD" w14:paraId="34DA10AE" w14:textId="77777777">
        <w:trPr>
          <w:trHeight w:val="397"/>
          <w:tblHeader/>
        </w:trPr>
        <w:tc>
          <w:tcPr>
            <w:tcW w:w="1164" w:type="pct"/>
            <w:vMerge w:val="restart"/>
            <w:vAlign w:val="center"/>
          </w:tcPr>
          <w:p w14:paraId="6EFAFD33"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3836" w:type="pct"/>
            <w:gridSpan w:val="7"/>
            <w:vAlign w:val="center"/>
          </w:tcPr>
          <w:p w14:paraId="2DD08DBB"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折旧</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摊销预测表</w:t>
            </w:r>
          </w:p>
        </w:tc>
      </w:tr>
      <w:tr w:rsidR="000A0ACD" w14:paraId="4584B954" w14:textId="77777777">
        <w:trPr>
          <w:trHeight w:val="397"/>
          <w:tblHeader/>
        </w:trPr>
        <w:tc>
          <w:tcPr>
            <w:tcW w:w="1164" w:type="pct"/>
            <w:vMerge/>
            <w:vAlign w:val="center"/>
          </w:tcPr>
          <w:p w14:paraId="2CBEC392" w14:textId="77777777" w:rsidR="000A0ACD" w:rsidRDefault="000A0ACD">
            <w:pPr>
              <w:adjustRightInd w:val="0"/>
              <w:snapToGrid w:val="0"/>
              <w:rPr>
                <w:rFonts w:ascii="Times New Roman" w:hAnsi="Times New Roman" w:cs="Times New Roman"/>
                <w:b/>
                <w:bCs/>
                <w:sz w:val="21"/>
                <w:szCs w:val="21"/>
              </w:rPr>
            </w:pPr>
          </w:p>
        </w:tc>
        <w:tc>
          <w:tcPr>
            <w:tcW w:w="552" w:type="pct"/>
            <w:noWrap/>
            <w:vAlign w:val="center"/>
          </w:tcPr>
          <w:p w14:paraId="2D618225"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p>
          <w:p w14:paraId="10CA9192"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52" w:type="pct"/>
            <w:noWrap/>
            <w:vAlign w:val="center"/>
          </w:tcPr>
          <w:p w14:paraId="463F567F"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c>
          <w:tcPr>
            <w:tcW w:w="552" w:type="pct"/>
            <w:noWrap/>
            <w:vAlign w:val="center"/>
          </w:tcPr>
          <w:p w14:paraId="06E6126B"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2022</w:t>
            </w:r>
            <w:r>
              <w:rPr>
                <w:rFonts w:ascii="Times New Roman" w:hAnsi="Times New Roman" w:cs="Times New Roman" w:hint="eastAsia"/>
                <w:b/>
                <w:bCs/>
                <w:sz w:val="21"/>
                <w:szCs w:val="21"/>
              </w:rPr>
              <w:t>年</w:t>
            </w:r>
          </w:p>
        </w:tc>
        <w:tc>
          <w:tcPr>
            <w:tcW w:w="552" w:type="pct"/>
            <w:noWrap/>
            <w:vAlign w:val="center"/>
          </w:tcPr>
          <w:p w14:paraId="435D42E6"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2023</w:t>
            </w:r>
            <w:r>
              <w:rPr>
                <w:rFonts w:ascii="Times New Roman" w:hAnsi="Times New Roman" w:cs="Times New Roman" w:hint="eastAsia"/>
                <w:b/>
                <w:bCs/>
                <w:sz w:val="21"/>
                <w:szCs w:val="21"/>
              </w:rPr>
              <w:t>年</w:t>
            </w:r>
          </w:p>
        </w:tc>
        <w:tc>
          <w:tcPr>
            <w:tcW w:w="552" w:type="pct"/>
            <w:noWrap/>
            <w:vAlign w:val="center"/>
          </w:tcPr>
          <w:p w14:paraId="6BDC5BF3"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2024</w:t>
            </w:r>
            <w:r>
              <w:rPr>
                <w:rFonts w:ascii="Times New Roman" w:hAnsi="Times New Roman" w:cs="Times New Roman" w:hint="eastAsia"/>
                <w:b/>
                <w:bCs/>
                <w:sz w:val="21"/>
                <w:szCs w:val="21"/>
              </w:rPr>
              <w:t>年</w:t>
            </w:r>
          </w:p>
        </w:tc>
        <w:tc>
          <w:tcPr>
            <w:tcW w:w="552" w:type="pct"/>
            <w:noWrap/>
            <w:vAlign w:val="center"/>
          </w:tcPr>
          <w:p w14:paraId="7FC076C7"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2025</w:t>
            </w:r>
            <w:r>
              <w:rPr>
                <w:rFonts w:ascii="Times New Roman" w:hAnsi="Times New Roman" w:cs="Times New Roman" w:hint="eastAsia"/>
                <w:b/>
                <w:bCs/>
                <w:sz w:val="21"/>
                <w:szCs w:val="21"/>
              </w:rPr>
              <w:t>年</w:t>
            </w:r>
          </w:p>
        </w:tc>
        <w:tc>
          <w:tcPr>
            <w:tcW w:w="521" w:type="pct"/>
            <w:noWrap/>
            <w:vAlign w:val="center"/>
          </w:tcPr>
          <w:p w14:paraId="1599BA17"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0A0ACD" w14:paraId="6D25892F" w14:textId="77777777">
        <w:trPr>
          <w:trHeight w:val="397"/>
        </w:trPr>
        <w:tc>
          <w:tcPr>
            <w:tcW w:w="1164" w:type="pct"/>
            <w:vAlign w:val="center"/>
          </w:tcPr>
          <w:p w14:paraId="0FC6B578"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房屋建筑物</w:t>
            </w:r>
          </w:p>
        </w:tc>
        <w:tc>
          <w:tcPr>
            <w:tcW w:w="552" w:type="pct"/>
            <w:noWrap/>
            <w:vAlign w:val="center"/>
          </w:tcPr>
          <w:p w14:paraId="552C69ED"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23E87ED1"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2955E9F9"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5FFDCB5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266E0F2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67477F5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21" w:type="pct"/>
            <w:noWrap/>
            <w:vAlign w:val="center"/>
          </w:tcPr>
          <w:p w14:paraId="3CED0D5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0A2CCF16" w14:textId="77777777">
        <w:trPr>
          <w:trHeight w:val="397"/>
        </w:trPr>
        <w:tc>
          <w:tcPr>
            <w:tcW w:w="1164" w:type="pct"/>
            <w:noWrap/>
            <w:vAlign w:val="center"/>
          </w:tcPr>
          <w:p w14:paraId="540CD452"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机器设备</w:t>
            </w:r>
          </w:p>
        </w:tc>
        <w:tc>
          <w:tcPr>
            <w:tcW w:w="552" w:type="pct"/>
            <w:noWrap/>
            <w:vAlign w:val="center"/>
          </w:tcPr>
          <w:p w14:paraId="0B3A3E8F"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25.22</w:t>
            </w:r>
          </w:p>
        </w:tc>
        <w:tc>
          <w:tcPr>
            <w:tcW w:w="552" w:type="pct"/>
            <w:noWrap/>
            <w:vAlign w:val="center"/>
          </w:tcPr>
          <w:p w14:paraId="547EB596"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c>
          <w:tcPr>
            <w:tcW w:w="552" w:type="pct"/>
            <w:noWrap/>
            <w:vAlign w:val="center"/>
          </w:tcPr>
          <w:p w14:paraId="1C0919D4"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c>
          <w:tcPr>
            <w:tcW w:w="552" w:type="pct"/>
            <w:noWrap/>
            <w:vAlign w:val="center"/>
          </w:tcPr>
          <w:p w14:paraId="2430A7CB"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c>
          <w:tcPr>
            <w:tcW w:w="552" w:type="pct"/>
            <w:noWrap/>
            <w:vAlign w:val="center"/>
          </w:tcPr>
          <w:p w14:paraId="79A1DF0C"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c>
          <w:tcPr>
            <w:tcW w:w="552" w:type="pct"/>
            <w:noWrap/>
            <w:vAlign w:val="center"/>
          </w:tcPr>
          <w:p w14:paraId="51F6DA6D"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c>
          <w:tcPr>
            <w:tcW w:w="521" w:type="pct"/>
            <w:noWrap/>
            <w:vAlign w:val="center"/>
          </w:tcPr>
          <w:p w14:paraId="0626663C"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r>
      <w:tr w:rsidR="000A0ACD" w14:paraId="46A5CE9A" w14:textId="77777777">
        <w:trPr>
          <w:trHeight w:val="397"/>
        </w:trPr>
        <w:tc>
          <w:tcPr>
            <w:tcW w:w="1164" w:type="pct"/>
            <w:noWrap/>
            <w:vAlign w:val="center"/>
          </w:tcPr>
          <w:p w14:paraId="741136D0"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电子设备</w:t>
            </w:r>
          </w:p>
        </w:tc>
        <w:tc>
          <w:tcPr>
            <w:tcW w:w="552" w:type="pct"/>
            <w:noWrap/>
            <w:vAlign w:val="center"/>
          </w:tcPr>
          <w:p w14:paraId="5370AFC4"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8.60</w:t>
            </w:r>
          </w:p>
        </w:tc>
        <w:tc>
          <w:tcPr>
            <w:tcW w:w="552" w:type="pct"/>
            <w:noWrap/>
            <w:vAlign w:val="center"/>
          </w:tcPr>
          <w:p w14:paraId="2513C2C1"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c>
          <w:tcPr>
            <w:tcW w:w="552" w:type="pct"/>
            <w:noWrap/>
            <w:vAlign w:val="center"/>
          </w:tcPr>
          <w:p w14:paraId="022323B5"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c>
          <w:tcPr>
            <w:tcW w:w="552" w:type="pct"/>
            <w:noWrap/>
            <w:vAlign w:val="center"/>
          </w:tcPr>
          <w:p w14:paraId="191D9612"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c>
          <w:tcPr>
            <w:tcW w:w="552" w:type="pct"/>
            <w:noWrap/>
            <w:vAlign w:val="center"/>
          </w:tcPr>
          <w:p w14:paraId="1F12F6AD"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c>
          <w:tcPr>
            <w:tcW w:w="552" w:type="pct"/>
            <w:noWrap/>
            <w:vAlign w:val="center"/>
          </w:tcPr>
          <w:p w14:paraId="358E15ED"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c>
          <w:tcPr>
            <w:tcW w:w="521" w:type="pct"/>
            <w:noWrap/>
            <w:vAlign w:val="center"/>
          </w:tcPr>
          <w:p w14:paraId="26EBFF1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r>
      <w:tr w:rsidR="000A0ACD" w14:paraId="169FAD7E" w14:textId="77777777">
        <w:trPr>
          <w:trHeight w:val="397"/>
        </w:trPr>
        <w:tc>
          <w:tcPr>
            <w:tcW w:w="1164" w:type="pct"/>
            <w:noWrap/>
            <w:vAlign w:val="center"/>
          </w:tcPr>
          <w:p w14:paraId="61F3BB17"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车辆</w:t>
            </w:r>
          </w:p>
        </w:tc>
        <w:tc>
          <w:tcPr>
            <w:tcW w:w="552" w:type="pct"/>
            <w:noWrap/>
            <w:vAlign w:val="center"/>
          </w:tcPr>
          <w:p w14:paraId="5E5D56B1"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20.83</w:t>
            </w:r>
          </w:p>
        </w:tc>
        <w:tc>
          <w:tcPr>
            <w:tcW w:w="552" w:type="pct"/>
            <w:noWrap/>
            <w:vAlign w:val="center"/>
          </w:tcPr>
          <w:p w14:paraId="3DD3AF60"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c>
          <w:tcPr>
            <w:tcW w:w="552" w:type="pct"/>
            <w:noWrap/>
            <w:vAlign w:val="center"/>
          </w:tcPr>
          <w:p w14:paraId="7CFBBF00"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c>
          <w:tcPr>
            <w:tcW w:w="552" w:type="pct"/>
            <w:noWrap/>
            <w:vAlign w:val="center"/>
          </w:tcPr>
          <w:p w14:paraId="60DB6DFE"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c>
          <w:tcPr>
            <w:tcW w:w="552" w:type="pct"/>
            <w:noWrap/>
            <w:vAlign w:val="center"/>
          </w:tcPr>
          <w:p w14:paraId="5D17810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c>
          <w:tcPr>
            <w:tcW w:w="552" w:type="pct"/>
            <w:noWrap/>
            <w:vAlign w:val="center"/>
          </w:tcPr>
          <w:p w14:paraId="69BD44D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c>
          <w:tcPr>
            <w:tcW w:w="521" w:type="pct"/>
            <w:noWrap/>
            <w:vAlign w:val="center"/>
          </w:tcPr>
          <w:p w14:paraId="1D0652B5"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r>
      <w:tr w:rsidR="000A0ACD" w14:paraId="358275A6" w14:textId="77777777">
        <w:trPr>
          <w:trHeight w:val="397"/>
        </w:trPr>
        <w:tc>
          <w:tcPr>
            <w:tcW w:w="1164" w:type="pct"/>
            <w:noWrap/>
            <w:vAlign w:val="center"/>
          </w:tcPr>
          <w:p w14:paraId="06CF760C"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其他无形资产</w:t>
            </w:r>
          </w:p>
        </w:tc>
        <w:tc>
          <w:tcPr>
            <w:tcW w:w="552" w:type="pct"/>
            <w:noWrap/>
            <w:vAlign w:val="center"/>
          </w:tcPr>
          <w:p w14:paraId="5FF05178"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1.13</w:t>
            </w:r>
          </w:p>
        </w:tc>
        <w:tc>
          <w:tcPr>
            <w:tcW w:w="552" w:type="pct"/>
            <w:noWrap/>
            <w:vAlign w:val="center"/>
          </w:tcPr>
          <w:p w14:paraId="217261C1"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3C1CF7F0"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3E608F5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1967348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2756DC90"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21" w:type="pct"/>
            <w:noWrap/>
            <w:vAlign w:val="center"/>
          </w:tcPr>
          <w:p w14:paraId="4A5838A9"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r>
      <w:tr w:rsidR="000A0ACD" w14:paraId="2DF2E017" w14:textId="77777777">
        <w:trPr>
          <w:trHeight w:val="397"/>
        </w:trPr>
        <w:tc>
          <w:tcPr>
            <w:tcW w:w="1164" w:type="pct"/>
            <w:noWrap/>
            <w:vAlign w:val="center"/>
          </w:tcPr>
          <w:p w14:paraId="68E83B5E"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长期待摊费用</w:t>
            </w:r>
          </w:p>
        </w:tc>
        <w:tc>
          <w:tcPr>
            <w:tcW w:w="552" w:type="pct"/>
            <w:noWrap/>
            <w:vAlign w:val="center"/>
          </w:tcPr>
          <w:p w14:paraId="303A6BBA"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4C438B99"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564F3BEE"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38BB010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7922AAFA"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42061F5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21" w:type="pct"/>
            <w:noWrap/>
            <w:vAlign w:val="center"/>
          </w:tcPr>
          <w:p w14:paraId="7FEC7935"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6B143AFD" w14:textId="77777777">
        <w:trPr>
          <w:trHeight w:val="397"/>
        </w:trPr>
        <w:tc>
          <w:tcPr>
            <w:tcW w:w="1164" w:type="pct"/>
            <w:noWrap/>
            <w:vAlign w:val="center"/>
          </w:tcPr>
          <w:p w14:paraId="598B9351"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固定资产折旧合计</w:t>
            </w:r>
          </w:p>
        </w:tc>
        <w:tc>
          <w:tcPr>
            <w:tcW w:w="552" w:type="pct"/>
            <w:noWrap/>
            <w:vAlign w:val="center"/>
          </w:tcPr>
          <w:p w14:paraId="5A9F76C5"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54.66</w:t>
            </w:r>
          </w:p>
        </w:tc>
        <w:tc>
          <w:tcPr>
            <w:tcW w:w="552" w:type="pct"/>
            <w:noWrap/>
            <w:vAlign w:val="center"/>
          </w:tcPr>
          <w:p w14:paraId="329C566F"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c>
          <w:tcPr>
            <w:tcW w:w="552" w:type="pct"/>
            <w:noWrap/>
            <w:vAlign w:val="center"/>
          </w:tcPr>
          <w:p w14:paraId="32ACA542"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c>
          <w:tcPr>
            <w:tcW w:w="552" w:type="pct"/>
            <w:noWrap/>
            <w:vAlign w:val="center"/>
          </w:tcPr>
          <w:p w14:paraId="244CB30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c>
          <w:tcPr>
            <w:tcW w:w="552" w:type="pct"/>
            <w:noWrap/>
            <w:vAlign w:val="center"/>
          </w:tcPr>
          <w:p w14:paraId="2D7C525B"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c>
          <w:tcPr>
            <w:tcW w:w="552" w:type="pct"/>
            <w:noWrap/>
            <w:vAlign w:val="center"/>
          </w:tcPr>
          <w:p w14:paraId="157045DA"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c>
          <w:tcPr>
            <w:tcW w:w="521" w:type="pct"/>
            <w:noWrap/>
            <w:vAlign w:val="center"/>
          </w:tcPr>
          <w:p w14:paraId="0F34790A"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r>
      <w:tr w:rsidR="000A0ACD" w14:paraId="0AA63C0F" w14:textId="77777777">
        <w:trPr>
          <w:trHeight w:val="397"/>
        </w:trPr>
        <w:tc>
          <w:tcPr>
            <w:tcW w:w="1164" w:type="pct"/>
            <w:noWrap/>
            <w:vAlign w:val="center"/>
          </w:tcPr>
          <w:p w14:paraId="0227EB42" w14:textId="77777777" w:rsidR="000A0ACD" w:rsidRDefault="00362A99">
            <w:pPr>
              <w:adjustRightInd w:val="0"/>
              <w:snapToGrid w:val="0"/>
              <w:rPr>
                <w:rFonts w:ascii="Times New Roman" w:hAnsi="Times New Roman" w:cs="Times New Roman"/>
                <w:color w:val="0000FF"/>
                <w:sz w:val="21"/>
                <w:szCs w:val="21"/>
              </w:rPr>
            </w:pPr>
            <w:r>
              <w:rPr>
                <w:rFonts w:ascii="Times New Roman" w:hAnsi="Times New Roman" w:cs="Times New Roman" w:hint="eastAsia"/>
                <w:sz w:val="21"/>
                <w:szCs w:val="21"/>
              </w:rPr>
              <w:t>长期资产摊销合计</w:t>
            </w:r>
          </w:p>
        </w:tc>
        <w:tc>
          <w:tcPr>
            <w:tcW w:w="552" w:type="pct"/>
            <w:noWrap/>
            <w:vAlign w:val="center"/>
          </w:tcPr>
          <w:p w14:paraId="5078F374"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1.13</w:t>
            </w:r>
          </w:p>
        </w:tc>
        <w:tc>
          <w:tcPr>
            <w:tcW w:w="552" w:type="pct"/>
            <w:noWrap/>
            <w:vAlign w:val="center"/>
          </w:tcPr>
          <w:p w14:paraId="4B2096FD"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3C4D3D54"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7A369C0D"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1C0D8514"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4DB70889"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21" w:type="pct"/>
            <w:noWrap/>
            <w:vAlign w:val="center"/>
          </w:tcPr>
          <w:p w14:paraId="01CF596C"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r>
      <w:tr w:rsidR="000A0ACD" w14:paraId="7DA0DCD0" w14:textId="77777777">
        <w:trPr>
          <w:trHeight w:val="397"/>
        </w:trPr>
        <w:tc>
          <w:tcPr>
            <w:tcW w:w="1164" w:type="pct"/>
            <w:noWrap/>
            <w:vAlign w:val="center"/>
          </w:tcPr>
          <w:p w14:paraId="265ACB4B"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生产成本</w:t>
            </w:r>
          </w:p>
        </w:tc>
        <w:tc>
          <w:tcPr>
            <w:tcW w:w="552" w:type="pct"/>
            <w:noWrap/>
            <w:vAlign w:val="center"/>
          </w:tcPr>
          <w:p w14:paraId="0435BD6E"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29.41</w:t>
            </w:r>
          </w:p>
        </w:tc>
        <w:tc>
          <w:tcPr>
            <w:tcW w:w="552" w:type="pct"/>
            <w:noWrap/>
            <w:vAlign w:val="center"/>
          </w:tcPr>
          <w:p w14:paraId="1CB0CA3E"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c>
          <w:tcPr>
            <w:tcW w:w="552" w:type="pct"/>
            <w:noWrap/>
            <w:vAlign w:val="center"/>
          </w:tcPr>
          <w:p w14:paraId="454B5ADE"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c>
          <w:tcPr>
            <w:tcW w:w="552" w:type="pct"/>
            <w:noWrap/>
            <w:vAlign w:val="center"/>
          </w:tcPr>
          <w:p w14:paraId="76E9CA8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c>
          <w:tcPr>
            <w:tcW w:w="552" w:type="pct"/>
            <w:noWrap/>
            <w:vAlign w:val="center"/>
          </w:tcPr>
          <w:p w14:paraId="020B9754"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c>
          <w:tcPr>
            <w:tcW w:w="552" w:type="pct"/>
            <w:noWrap/>
            <w:vAlign w:val="center"/>
          </w:tcPr>
          <w:p w14:paraId="11B935C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c>
          <w:tcPr>
            <w:tcW w:w="521" w:type="pct"/>
            <w:noWrap/>
            <w:vAlign w:val="center"/>
          </w:tcPr>
          <w:p w14:paraId="0950D8FB"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r>
      <w:tr w:rsidR="000A0ACD" w14:paraId="34CD3001" w14:textId="77777777">
        <w:trPr>
          <w:trHeight w:val="397"/>
        </w:trPr>
        <w:tc>
          <w:tcPr>
            <w:tcW w:w="1164" w:type="pct"/>
            <w:noWrap/>
            <w:vAlign w:val="center"/>
          </w:tcPr>
          <w:p w14:paraId="1F440A48"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销售费用</w:t>
            </w:r>
          </w:p>
        </w:tc>
        <w:tc>
          <w:tcPr>
            <w:tcW w:w="552" w:type="pct"/>
            <w:noWrap/>
            <w:vAlign w:val="center"/>
          </w:tcPr>
          <w:p w14:paraId="104B233B"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1.15</w:t>
            </w:r>
          </w:p>
        </w:tc>
        <w:tc>
          <w:tcPr>
            <w:tcW w:w="552" w:type="pct"/>
            <w:noWrap/>
            <w:vAlign w:val="center"/>
          </w:tcPr>
          <w:p w14:paraId="2D935551"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c>
          <w:tcPr>
            <w:tcW w:w="552" w:type="pct"/>
            <w:noWrap/>
            <w:vAlign w:val="center"/>
          </w:tcPr>
          <w:p w14:paraId="083CD7D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c>
          <w:tcPr>
            <w:tcW w:w="552" w:type="pct"/>
            <w:noWrap/>
            <w:vAlign w:val="center"/>
          </w:tcPr>
          <w:p w14:paraId="21307380"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c>
          <w:tcPr>
            <w:tcW w:w="552" w:type="pct"/>
            <w:noWrap/>
            <w:vAlign w:val="center"/>
          </w:tcPr>
          <w:p w14:paraId="5ACBB1AB"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c>
          <w:tcPr>
            <w:tcW w:w="552" w:type="pct"/>
            <w:noWrap/>
            <w:vAlign w:val="center"/>
          </w:tcPr>
          <w:p w14:paraId="536BC17D"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c>
          <w:tcPr>
            <w:tcW w:w="521" w:type="pct"/>
            <w:noWrap/>
            <w:vAlign w:val="center"/>
          </w:tcPr>
          <w:p w14:paraId="67EAC67A"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r>
      <w:tr w:rsidR="000A0ACD" w14:paraId="0DCDDA88" w14:textId="77777777">
        <w:trPr>
          <w:trHeight w:val="397"/>
        </w:trPr>
        <w:tc>
          <w:tcPr>
            <w:tcW w:w="1164" w:type="pct"/>
            <w:noWrap/>
            <w:vAlign w:val="center"/>
          </w:tcPr>
          <w:p w14:paraId="3EB76F9A" w14:textId="01CAA6AB"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管理费用</w:t>
            </w:r>
          </w:p>
        </w:tc>
        <w:tc>
          <w:tcPr>
            <w:tcW w:w="552" w:type="pct"/>
            <w:noWrap/>
            <w:vAlign w:val="center"/>
          </w:tcPr>
          <w:p w14:paraId="1E414D99"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18.68</w:t>
            </w:r>
          </w:p>
        </w:tc>
        <w:tc>
          <w:tcPr>
            <w:tcW w:w="552" w:type="pct"/>
            <w:noWrap/>
            <w:vAlign w:val="center"/>
          </w:tcPr>
          <w:p w14:paraId="4A4ABA94"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c>
          <w:tcPr>
            <w:tcW w:w="552" w:type="pct"/>
            <w:noWrap/>
            <w:vAlign w:val="center"/>
          </w:tcPr>
          <w:p w14:paraId="2FE48AFF"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c>
          <w:tcPr>
            <w:tcW w:w="552" w:type="pct"/>
            <w:noWrap/>
            <w:vAlign w:val="center"/>
          </w:tcPr>
          <w:p w14:paraId="6DB51A32"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c>
          <w:tcPr>
            <w:tcW w:w="552" w:type="pct"/>
            <w:noWrap/>
            <w:vAlign w:val="center"/>
          </w:tcPr>
          <w:p w14:paraId="57BAEDE5"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c>
          <w:tcPr>
            <w:tcW w:w="552" w:type="pct"/>
            <w:noWrap/>
            <w:vAlign w:val="center"/>
          </w:tcPr>
          <w:p w14:paraId="39453C3D"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c>
          <w:tcPr>
            <w:tcW w:w="521" w:type="pct"/>
            <w:noWrap/>
            <w:vAlign w:val="center"/>
          </w:tcPr>
          <w:p w14:paraId="3024C60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r>
      <w:tr w:rsidR="000A0ACD" w14:paraId="59D6B796" w14:textId="77777777">
        <w:trPr>
          <w:trHeight w:val="397"/>
        </w:trPr>
        <w:tc>
          <w:tcPr>
            <w:tcW w:w="1164" w:type="pct"/>
            <w:noWrap/>
            <w:vAlign w:val="center"/>
          </w:tcPr>
          <w:p w14:paraId="2D453AAC"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管理费用摊销费</w:t>
            </w:r>
          </w:p>
        </w:tc>
        <w:tc>
          <w:tcPr>
            <w:tcW w:w="552" w:type="pct"/>
            <w:noWrap/>
            <w:vAlign w:val="center"/>
          </w:tcPr>
          <w:p w14:paraId="53E892DA"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1.13</w:t>
            </w:r>
          </w:p>
        </w:tc>
        <w:tc>
          <w:tcPr>
            <w:tcW w:w="552" w:type="pct"/>
            <w:noWrap/>
            <w:vAlign w:val="center"/>
          </w:tcPr>
          <w:p w14:paraId="1C56A225"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42971CF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3A3EFA0F"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1D0BF27C"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6E623B23"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21" w:type="pct"/>
            <w:noWrap/>
            <w:vAlign w:val="center"/>
          </w:tcPr>
          <w:p w14:paraId="4983A17B"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r>
      <w:tr w:rsidR="000A0ACD" w14:paraId="691D1070" w14:textId="77777777">
        <w:trPr>
          <w:trHeight w:val="397"/>
        </w:trPr>
        <w:tc>
          <w:tcPr>
            <w:tcW w:w="1164" w:type="pct"/>
            <w:noWrap/>
            <w:vAlign w:val="center"/>
          </w:tcPr>
          <w:p w14:paraId="1D4DCF69" w14:textId="77777777" w:rsidR="000A0ACD" w:rsidRDefault="00362A99">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研发费用</w:t>
            </w:r>
          </w:p>
        </w:tc>
        <w:tc>
          <w:tcPr>
            <w:tcW w:w="552" w:type="pct"/>
            <w:noWrap/>
            <w:vAlign w:val="center"/>
          </w:tcPr>
          <w:p w14:paraId="4D1AA16C"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5.42</w:t>
            </w:r>
          </w:p>
        </w:tc>
        <w:tc>
          <w:tcPr>
            <w:tcW w:w="552" w:type="pct"/>
            <w:noWrap/>
            <w:vAlign w:val="center"/>
          </w:tcPr>
          <w:p w14:paraId="11AF8182"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c>
          <w:tcPr>
            <w:tcW w:w="552" w:type="pct"/>
            <w:noWrap/>
            <w:vAlign w:val="center"/>
          </w:tcPr>
          <w:p w14:paraId="1508007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c>
          <w:tcPr>
            <w:tcW w:w="552" w:type="pct"/>
            <w:noWrap/>
            <w:vAlign w:val="center"/>
          </w:tcPr>
          <w:p w14:paraId="6F069D75"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c>
          <w:tcPr>
            <w:tcW w:w="552" w:type="pct"/>
            <w:noWrap/>
            <w:vAlign w:val="center"/>
          </w:tcPr>
          <w:p w14:paraId="6BD3959A"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c>
          <w:tcPr>
            <w:tcW w:w="552" w:type="pct"/>
            <w:noWrap/>
            <w:vAlign w:val="center"/>
          </w:tcPr>
          <w:p w14:paraId="2F1F17C7"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c>
          <w:tcPr>
            <w:tcW w:w="521" w:type="pct"/>
            <w:noWrap/>
            <w:vAlign w:val="center"/>
          </w:tcPr>
          <w:p w14:paraId="56DFF73F" w14:textId="77777777" w:rsidR="000A0ACD" w:rsidRDefault="00362A99">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r>
      <w:tr w:rsidR="000A0ACD" w14:paraId="38F8A85B" w14:textId="77777777">
        <w:trPr>
          <w:trHeight w:val="397"/>
        </w:trPr>
        <w:tc>
          <w:tcPr>
            <w:tcW w:w="1164" w:type="pct"/>
            <w:noWrap/>
            <w:vAlign w:val="center"/>
          </w:tcPr>
          <w:p w14:paraId="1B0C8FC0" w14:textId="77777777" w:rsidR="000A0ACD" w:rsidRDefault="00362A9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552" w:type="pct"/>
            <w:noWrap/>
            <w:vAlign w:val="center"/>
          </w:tcPr>
          <w:p w14:paraId="4BF38447"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55.78</w:t>
            </w:r>
          </w:p>
        </w:tc>
        <w:tc>
          <w:tcPr>
            <w:tcW w:w="552" w:type="pct"/>
            <w:noWrap/>
            <w:vAlign w:val="center"/>
          </w:tcPr>
          <w:p w14:paraId="5826753A"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c>
          <w:tcPr>
            <w:tcW w:w="552" w:type="pct"/>
            <w:noWrap/>
            <w:vAlign w:val="center"/>
          </w:tcPr>
          <w:p w14:paraId="566C1F51"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c>
          <w:tcPr>
            <w:tcW w:w="552" w:type="pct"/>
            <w:noWrap/>
            <w:vAlign w:val="center"/>
          </w:tcPr>
          <w:p w14:paraId="0CFA39D3"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c>
          <w:tcPr>
            <w:tcW w:w="552" w:type="pct"/>
            <w:noWrap/>
            <w:vAlign w:val="center"/>
          </w:tcPr>
          <w:p w14:paraId="76890D7E"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c>
          <w:tcPr>
            <w:tcW w:w="552" w:type="pct"/>
            <w:noWrap/>
            <w:vAlign w:val="center"/>
          </w:tcPr>
          <w:p w14:paraId="02D7A3AC"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c>
          <w:tcPr>
            <w:tcW w:w="521" w:type="pct"/>
            <w:noWrap/>
            <w:vAlign w:val="center"/>
          </w:tcPr>
          <w:p w14:paraId="25AEAB91" w14:textId="77777777" w:rsidR="000A0ACD" w:rsidRDefault="00362A99">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r>
    </w:tbl>
    <w:p w14:paraId="365F6AE6"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bookmarkStart w:id="129" w:name="_Toc161394632"/>
      <w:bookmarkStart w:id="130" w:name="_Toc163542865"/>
      <w:r>
        <w:rPr>
          <w:rFonts w:ascii="Times New Roman" w:hAnsi="Times New Roman" w:cs="Times New Roman" w:hint="eastAsia"/>
          <w:lang w:bidi="ar"/>
        </w:rPr>
        <w:t>（</w:t>
      </w:r>
      <w:r>
        <w:rPr>
          <w:rFonts w:ascii="Times New Roman" w:hAnsi="Times New Roman" w:cs="Times New Roman"/>
          <w:lang w:bidi="ar"/>
        </w:rPr>
        <w:t>2</w:t>
      </w:r>
      <w:r>
        <w:rPr>
          <w:rFonts w:ascii="Times New Roman" w:hAnsi="Times New Roman" w:cs="Times New Roman" w:hint="eastAsia"/>
          <w:lang w:bidi="ar"/>
        </w:rPr>
        <w:t>）资本性支出预测</w:t>
      </w:r>
      <w:bookmarkEnd w:id="129"/>
      <w:bookmarkEnd w:id="130"/>
    </w:p>
    <w:p w14:paraId="0594CA1B"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资本性支出是为了保证企业生产经营可以正常发展的情况下，企业每年需要进行的资本性支出。</w:t>
      </w:r>
    </w:p>
    <w:p w14:paraId="381A2B67"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本次估值评估机构采用设备和其他无形资产每年的折旧摊销额作为未来期间的资本性支出。</w:t>
      </w:r>
    </w:p>
    <w:p w14:paraId="5EFFCDBB"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bookmarkStart w:id="131" w:name="_Toc163542866"/>
      <w:bookmarkStart w:id="132" w:name="_Toc161394633"/>
      <w:r>
        <w:rPr>
          <w:rFonts w:ascii="Times New Roman" w:hAnsi="Times New Roman" w:cs="Times New Roman" w:hint="eastAsia"/>
          <w:lang w:bidi="ar"/>
        </w:rPr>
        <w:t>（</w:t>
      </w:r>
      <w:r>
        <w:rPr>
          <w:rFonts w:ascii="Times New Roman" w:hAnsi="Times New Roman" w:cs="Times New Roman"/>
          <w:lang w:bidi="ar"/>
        </w:rPr>
        <w:t>3</w:t>
      </w:r>
      <w:r>
        <w:rPr>
          <w:rFonts w:ascii="Times New Roman" w:hAnsi="Times New Roman" w:cs="Times New Roman" w:hint="eastAsia"/>
          <w:lang w:bidi="ar"/>
        </w:rPr>
        <w:t>）营运资金增加预测</w:t>
      </w:r>
      <w:bookmarkEnd w:id="131"/>
      <w:bookmarkEnd w:id="132"/>
    </w:p>
    <w:p w14:paraId="16846B6F" w14:textId="56689F7F" w:rsidR="000A0ACD" w:rsidRDefault="00362A99">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bookmarkStart w:id="133" w:name="_Toc163542867"/>
      <w:bookmarkStart w:id="134" w:name="_Toc161394634"/>
      <w:r>
        <w:rPr>
          <w:rFonts w:ascii="Times New Roman" w:hAnsi="Times New Roman" w:cs="Times New Roman" w:hint="eastAsia"/>
        </w:rPr>
        <w:t>营运资金的增加是指随着企业经营活动的变化，获取他人的商业信用而占用的现金，正常经营所需保持的现金等；同时，在经济活动中，提供商业信用，相应可以减少现金的即时支付。因此估算营运资金的增加额，原则上只需考虑正常经营所需保有的现金（最低现金保有量）、存货、应收款项和应付款项等主要因素。本次评估所定义的营运资金增加额为：</w:t>
      </w:r>
    </w:p>
    <w:p w14:paraId="711A3566" w14:textId="77777777" w:rsidR="000A0ACD" w:rsidRDefault="00362A99">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营运资金增加额＝当期营运资金－上期营运资金</w:t>
      </w:r>
    </w:p>
    <w:p w14:paraId="157F6D1D" w14:textId="77777777" w:rsidR="000A0ACD" w:rsidRDefault="00362A99">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其中：营运资金＝经营性资金＋应收款项－应付款项</w:t>
      </w:r>
    </w:p>
    <w:p w14:paraId="5489AA1B" w14:textId="77777777" w:rsidR="000A0ACD" w:rsidRDefault="00362A99">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应收款项＝营业收入总额</w:t>
      </w:r>
      <w:r>
        <w:rPr>
          <w:rFonts w:ascii="Times New Roman" w:hAnsi="Times New Roman" w:cs="Times New Roman" w:hint="eastAsia"/>
        </w:rPr>
        <w:t>/</w:t>
      </w:r>
      <w:r>
        <w:rPr>
          <w:rFonts w:ascii="Times New Roman" w:hAnsi="Times New Roman" w:cs="Times New Roman" w:hint="eastAsia"/>
        </w:rPr>
        <w:t>应收账款周转率</w:t>
      </w:r>
    </w:p>
    <w:p w14:paraId="404FACF8" w14:textId="77777777" w:rsidR="000A0ACD" w:rsidRDefault="00362A99">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其中，应收款项主要包括应收账款、</w:t>
      </w:r>
      <w:bookmarkStart w:id="135" w:name="_Hlk69654871"/>
      <w:r>
        <w:rPr>
          <w:rFonts w:ascii="Times New Roman" w:hAnsi="Times New Roman" w:cs="Times New Roman" w:hint="eastAsia"/>
        </w:rPr>
        <w:t>预付款项</w:t>
      </w:r>
      <w:bookmarkEnd w:id="135"/>
      <w:r>
        <w:rPr>
          <w:rFonts w:ascii="Times New Roman" w:hAnsi="Times New Roman" w:cs="Times New Roman" w:hint="eastAsia"/>
        </w:rPr>
        <w:t>以及与经营生产相关的其他应收账款等诸项。</w:t>
      </w:r>
    </w:p>
    <w:p w14:paraId="4BAB73CB" w14:textId="77777777" w:rsidR="000A0ACD" w:rsidRDefault="00362A99">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应付款项＝营业成本总额</w:t>
      </w:r>
      <w:r>
        <w:rPr>
          <w:rFonts w:ascii="Times New Roman" w:hAnsi="Times New Roman" w:cs="Times New Roman" w:hint="eastAsia"/>
        </w:rPr>
        <w:t>/</w:t>
      </w:r>
      <w:r>
        <w:rPr>
          <w:rFonts w:ascii="Times New Roman" w:hAnsi="Times New Roman" w:cs="Times New Roman" w:hint="eastAsia"/>
        </w:rPr>
        <w:t>应付账款周转率</w:t>
      </w:r>
    </w:p>
    <w:p w14:paraId="0B861A73" w14:textId="77777777" w:rsidR="000A0ACD" w:rsidRDefault="00362A99">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其中，应付款项主要包括应付账款、应交税费以及与经营生产相关的其他应付账款等诸项。</w:t>
      </w:r>
    </w:p>
    <w:p w14:paraId="32B1703D" w14:textId="77777777" w:rsidR="000A0ACD" w:rsidRDefault="00362A99">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根据对评估对象经营情况的调查，以及经审计的评估对象的资产和损益、收入和成本费用的统计分析以及对未来经营期内各年度收入与成本的估算结果，按照上述定义，可得到未来经营期内各年度的经营性现金（最低现金保有量）、应收款项和应付款项等及其营运资金增加额。</w:t>
      </w:r>
    </w:p>
    <w:p w14:paraId="5C2BB26B" w14:textId="77777777" w:rsidR="000A0ACD" w:rsidRDefault="00362A99" w:rsidP="00D2687A">
      <w:pPr>
        <w:tabs>
          <w:tab w:val="left" w:pos="709"/>
          <w:tab w:val="left" w:pos="993"/>
        </w:tabs>
        <w:topLinePunct/>
        <w:adjustRightInd w:val="0"/>
        <w:snapToGrid w:val="0"/>
        <w:spacing w:beforeLines="50" w:before="156" w:afterLines="50" w:after="156" w:line="360" w:lineRule="auto"/>
        <w:ind w:firstLineChars="200" w:firstLine="480"/>
        <w:rPr>
          <w:lang w:val="en-GB"/>
        </w:rPr>
      </w:pPr>
      <w:r>
        <w:rPr>
          <w:rFonts w:ascii="Times New Roman" w:hAnsi="Times New Roman" w:cs="Times New Roman" w:hint="eastAsia"/>
          <w:lang w:val="en-GB"/>
        </w:rPr>
        <w:t>未来年度营运资金的预测具体情况如下：</w:t>
      </w:r>
    </w:p>
    <w:p w14:paraId="1368A00B" w14:textId="77777777" w:rsidR="000A0ACD" w:rsidRDefault="00362A99">
      <w:pPr>
        <w:keepNext/>
        <w:jc w:val="right"/>
        <w:rPr>
          <w:rFonts w:ascii="Times New Roman" w:hAnsi="Times New Roman" w:cs="Times New Roman"/>
          <w:bCs/>
          <w:color w:val="000000"/>
          <w:sz w:val="21"/>
          <w:szCs w:val="18"/>
          <w:lang w:val="en-GB" w:bidi="ar"/>
        </w:rPr>
      </w:pPr>
      <w:r>
        <w:rPr>
          <w:rFonts w:ascii="Times New Roman" w:hAnsi="Times New Roman" w:cs="Times New Roman" w:hint="eastAsia"/>
          <w:bCs/>
          <w:color w:val="000000"/>
          <w:sz w:val="21"/>
          <w:szCs w:val="18"/>
          <w:lang w:val="en-GB" w:bidi="ar"/>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70"/>
        <w:gridCol w:w="1135"/>
        <w:gridCol w:w="1135"/>
        <w:gridCol w:w="1133"/>
        <w:gridCol w:w="1133"/>
        <w:gridCol w:w="1133"/>
        <w:gridCol w:w="1183"/>
      </w:tblGrid>
      <w:tr w:rsidR="000A0ACD" w14:paraId="3A10FF78" w14:textId="77777777">
        <w:trPr>
          <w:trHeight w:val="397"/>
          <w:tblHeader/>
        </w:trPr>
        <w:tc>
          <w:tcPr>
            <w:tcW w:w="979" w:type="pct"/>
            <w:vMerge w:val="restart"/>
            <w:noWrap/>
            <w:vAlign w:val="center"/>
          </w:tcPr>
          <w:p w14:paraId="2FD0926D" w14:textId="77777777" w:rsidR="000A0ACD" w:rsidRDefault="00362A99">
            <w:pPr>
              <w:adjustRightInd w:val="0"/>
              <w:snapToGrid w:val="0"/>
              <w:jc w:val="center"/>
              <w:rPr>
                <w:rFonts w:ascii="Times New Roman" w:hAnsi="Times New Roman"/>
                <w:b/>
                <w:bCs/>
                <w:sz w:val="21"/>
                <w:szCs w:val="21"/>
              </w:rPr>
            </w:pPr>
            <w:r>
              <w:rPr>
                <w:rFonts w:ascii="Times New Roman" w:hAnsi="Times New Roman" w:hint="eastAsia"/>
                <w:b/>
                <w:bCs/>
                <w:sz w:val="21"/>
                <w:szCs w:val="21"/>
              </w:rPr>
              <w:t>项目</w:t>
            </w:r>
          </w:p>
        </w:tc>
        <w:tc>
          <w:tcPr>
            <w:tcW w:w="4021" w:type="pct"/>
            <w:gridSpan w:val="6"/>
            <w:vAlign w:val="center"/>
          </w:tcPr>
          <w:p w14:paraId="6F8E1D90" w14:textId="77777777" w:rsidR="000A0ACD" w:rsidRDefault="00362A99">
            <w:pPr>
              <w:adjustRightInd w:val="0"/>
              <w:snapToGrid w:val="0"/>
              <w:jc w:val="center"/>
              <w:rPr>
                <w:rFonts w:ascii="Times New Roman" w:hAnsi="Times New Roman"/>
                <w:b/>
                <w:bCs/>
                <w:color w:val="000000"/>
                <w:sz w:val="21"/>
                <w:szCs w:val="21"/>
              </w:rPr>
            </w:pPr>
            <w:r>
              <w:rPr>
                <w:rFonts w:ascii="Times New Roman" w:hAnsi="Times New Roman" w:hint="eastAsia"/>
                <w:b/>
                <w:bCs/>
                <w:color w:val="000000"/>
                <w:sz w:val="21"/>
                <w:szCs w:val="21"/>
              </w:rPr>
              <w:t>营运资金预测表</w:t>
            </w:r>
          </w:p>
        </w:tc>
      </w:tr>
      <w:tr w:rsidR="000A0ACD" w14:paraId="15D5F0E1" w14:textId="77777777">
        <w:trPr>
          <w:trHeight w:val="397"/>
          <w:tblHeader/>
        </w:trPr>
        <w:tc>
          <w:tcPr>
            <w:tcW w:w="979" w:type="pct"/>
            <w:vMerge/>
            <w:vAlign w:val="center"/>
          </w:tcPr>
          <w:p w14:paraId="392576A3" w14:textId="77777777" w:rsidR="000A0ACD" w:rsidRDefault="000A0ACD">
            <w:pPr>
              <w:adjustRightInd w:val="0"/>
              <w:snapToGrid w:val="0"/>
              <w:rPr>
                <w:rFonts w:ascii="Times New Roman" w:hAnsi="Times New Roman"/>
                <w:b/>
                <w:bCs/>
                <w:sz w:val="21"/>
                <w:szCs w:val="21"/>
              </w:rPr>
            </w:pPr>
          </w:p>
        </w:tc>
        <w:tc>
          <w:tcPr>
            <w:tcW w:w="666" w:type="pct"/>
            <w:noWrap/>
            <w:vAlign w:val="center"/>
          </w:tcPr>
          <w:p w14:paraId="6D450F19" w14:textId="77777777" w:rsidR="000A0ACD" w:rsidRDefault="00362A99">
            <w:pPr>
              <w:adjustRightInd w:val="0"/>
              <w:snapToGrid w:val="0"/>
              <w:jc w:val="center"/>
              <w:rPr>
                <w:rFonts w:ascii="Times New Roman" w:hAnsi="Times New Roman"/>
                <w:b/>
                <w:bCs/>
                <w:sz w:val="21"/>
                <w:szCs w:val="21"/>
              </w:rPr>
            </w:pPr>
            <w:r>
              <w:rPr>
                <w:rFonts w:ascii="Times New Roman" w:hAnsi="Times New Roman"/>
                <w:b/>
                <w:bCs/>
                <w:sz w:val="21"/>
                <w:szCs w:val="21"/>
              </w:rPr>
              <w:t>2020</w:t>
            </w:r>
            <w:r>
              <w:rPr>
                <w:rFonts w:ascii="Times New Roman" w:hAnsi="Times New Roman" w:hint="eastAsia"/>
                <w:b/>
                <w:bCs/>
                <w:sz w:val="21"/>
                <w:szCs w:val="21"/>
              </w:rPr>
              <w:t>年</w:t>
            </w:r>
            <w:r>
              <w:rPr>
                <w:rFonts w:ascii="Times New Roman" w:hAnsi="Times New Roman"/>
                <w:b/>
                <w:bCs/>
                <w:sz w:val="21"/>
                <w:szCs w:val="21"/>
              </w:rPr>
              <w:t>7-12</w:t>
            </w:r>
            <w:r>
              <w:rPr>
                <w:rFonts w:ascii="Times New Roman" w:hAnsi="Times New Roman" w:hint="eastAsia"/>
                <w:b/>
                <w:bCs/>
                <w:sz w:val="21"/>
                <w:szCs w:val="21"/>
              </w:rPr>
              <w:t>月</w:t>
            </w:r>
          </w:p>
        </w:tc>
        <w:tc>
          <w:tcPr>
            <w:tcW w:w="666" w:type="pct"/>
            <w:noWrap/>
            <w:vAlign w:val="center"/>
          </w:tcPr>
          <w:p w14:paraId="0D6121A7" w14:textId="77777777" w:rsidR="000A0ACD" w:rsidRDefault="00362A99">
            <w:pPr>
              <w:adjustRightInd w:val="0"/>
              <w:snapToGrid w:val="0"/>
              <w:jc w:val="center"/>
              <w:rPr>
                <w:rFonts w:ascii="Times New Roman" w:hAnsi="Times New Roman"/>
                <w:b/>
                <w:bCs/>
                <w:sz w:val="21"/>
                <w:szCs w:val="21"/>
              </w:rPr>
            </w:pPr>
            <w:r>
              <w:rPr>
                <w:rFonts w:ascii="Times New Roman" w:hAnsi="Times New Roman"/>
                <w:b/>
                <w:bCs/>
                <w:sz w:val="21"/>
                <w:szCs w:val="21"/>
              </w:rPr>
              <w:t>2021</w:t>
            </w:r>
            <w:r>
              <w:rPr>
                <w:rFonts w:ascii="Times New Roman" w:hAnsi="Times New Roman" w:hint="eastAsia"/>
                <w:b/>
                <w:bCs/>
                <w:sz w:val="21"/>
                <w:szCs w:val="21"/>
              </w:rPr>
              <w:t>年</w:t>
            </w:r>
          </w:p>
        </w:tc>
        <w:tc>
          <w:tcPr>
            <w:tcW w:w="665" w:type="pct"/>
            <w:noWrap/>
            <w:vAlign w:val="center"/>
          </w:tcPr>
          <w:p w14:paraId="6254C8FA" w14:textId="77777777" w:rsidR="000A0ACD" w:rsidRDefault="00362A99">
            <w:pPr>
              <w:adjustRightInd w:val="0"/>
              <w:snapToGrid w:val="0"/>
              <w:jc w:val="center"/>
              <w:rPr>
                <w:rFonts w:ascii="Times New Roman" w:hAnsi="Times New Roman"/>
                <w:b/>
                <w:bCs/>
                <w:sz w:val="21"/>
                <w:szCs w:val="21"/>
              </w:rPr>
            </w:pPr>
            <w:r>
              <w:rPr>
                <w:rFonts w:ascii="Times New Roman" w:hAnsi="Times New Roman"/>
                <w:b/>
                <w:bCs/>
                <w:sz w:val="21"/>
                <w:szCs w:val="21"/>
              </w:rPr>
              <w:t>2022</w:t>
            </w:r>
            <w:r>
              <w:rPr>
                <w:rFonts w:ascii="Times New Roman" w:hAnsi="Times New Roman" w:hint="eastAsia"/>
                <w:b/>
                <w:bCs/>
                <w:sz w:val="21"/>
                <w:szCs w:val="21"/>
              </w:rPr>
              <w:t>年</w:t>
            </w:r>
          </w:p>
        </w:tc>
        <w:tc>
          <w:tcPr>
            <w:tcW w:w="665" w:type="pct"/>
            <w:noWrap/>
            <w:vAlign w:val="center"/>
          </w:tcPr>
          <w:p w14:paraId="69AEF955" w14:textId="77777777" w:rsidR="000A0ACD" w:rsidRDefault="00362A99">
            <w:pPr>
              <w:adjustRightInd w:val="0"/>
              <w:snapToGrid w:val="0"/>
              <w:jc w:val="center"/>
              <w:rPr>
                <w:rFonts w:ascii="Times New Roman" w:hAnsi="Times New Roman"/>
                <w:b/>
                <w:bCs/>
                <w:sz w:val="21"/>
                <w:szCs w:val="21"/>
              </w:rPr>
            </w:pPr>
            <w:r>
              <w:rPr>
                <w:rFonts w:ascii="Times New Roman" w:hAnsi="Times New Roman"/>
                <w:b/>
                <w:bCs/>
                <w:sz w:val="21"/>
                <w:szCs w:val="21"/>
              </w:rPr>
              <w:t>2023</w:t>
            </w:r>
            <w:r>
              <w:rPr>
                <w:rFonts w:ascii="Times New Roman" w:hAnsi="Times New Roman" w:hint="eastAsia"/>
                <w:b/>
                <w:bCs/>
                <w:sz w:val="21"/>
                <w:szCs w:val="21"/>
              </w:rPr>
              <w:t>年</w:t>
            </w:r>
          </w:p>
        </w:tc>
        <w:tc>
          <w:tcPr>
            <w:tcW w:w="665" w:type="pct"/>
            <w:noWrap/>
            <w:vAlign w:val="center"/>
          </w:tcPr>
          <w:p w14:paraId="78A01BE6" w14:textId="77777777" w:rsidR="000A0ACD" w:rsidRDefault="00362A99">
            <w:pPr>
              <w:adjustRightInd w:val="0"/>
              <w:snapToGrid w:val="0"/>
              <w:jc w:val="center"/>
              <w:rPr>
                <w:rFonts w:ascii="Times New Roman" w:hAnsi="Times New Roman"/>
                <w:b/>
                <w:bCs/>
                <w:sz w:val="21"/>
                <w:szCs w:val="21"/>
              </w:rPr>
            </w:pPr>
            <w:r>
              <w:rPr>
                <w:rFonts w:ascii="Times New Roman" w:hAnsi="Times New Roman"/>
                <w:b/>
                <w:bCs/>
                <w:sz w:val="21"/>
                <w:szCs w:val="21"/>
              </w:rPr>
              <w:t>2024</w:t>
            </w:r>
            <w:r>
              <w:rPr>
                <w:rFonts w:ascii="Times New Roman" w:hAnsi="Times New Roman" w:hint="eastAsia"/>
                <w:b/>
                <w:bCs/>
                <w:sz w:val="21"/>
                <w:szCs w:val="21"/>
              </w:rPr>
              <w:t>年</w:t>
            </w:r>
          </w:p>
        </w:tc>
        <w:tc>
          <w:tcPr>
            <w:tcW w:w="695" w:type="pct"/>
            <w:noWrap/>
            <w:vAlign w:val="center"/>
          </w:tcPr>
          <w:p w14:paraId="315B4795" w14:textId="77777777" w:rsidR="000A0ACD" w:rsidRDefault="00362A99">
            <w:pPr>
              <w:adjustRightInd w:val="0"/>
              <w:snapToGrid w:val="0"/>
              <w:jc w:val="center"/>
              <w:rPr>
                <w:rFonts w:ascii="Times New Roman" w:hAnsi="Times New Roman"/>
                <w:b/>
                <w:bCs/>
                <w:sz w:val="21"/>
                <w:szCs w:val="21"/>
              </w:rPr>
            </w:pPr>
            <w:r>
              <w:rPr>
                <w:rFonts w:ascii="Times New Roman" w:hAnsi="Times New Roman"/>
                <w:b/>
                <w:bCs/>
                <w:sz w:val="21"/>
                <w:szCs w:val="21"/>
              </w:rPr>
              <w:t>2025</w:t>
            </w:r>
            <w:r>
              <w:rPr>
                <w:rFonts w:ascii="Times New Roman" w:hAnsi="Times New Roman" w:hint="eastAsia"/>
                <w:b/>
                <w:bCs/>
                <w:sz w:val="21"/>
                <w:szCs w:val="21"/>
              </w:rPr>
              <w:t>年</w:t>
            </w:r>
          </w:p>
        </w:tc>
      </w:tr>
      <w:tr w:rsidR="000A0ACD" w14:paraId="06F77368" w14:textId="77777777">
        <w:trPr>
          <w:trHeight w:val="397"/>
        </w:trPr>
        <w:tc>
          <w:tcPr>
            <w:tcW w:w="5000" w:type="pct"/>
            <w:gridSpan w:val="7"/>
            <w:noWrap/>
            <w:vAlign w:val="center"/>
          </w:tcPr>
          <w:p w14:paraId="4B86A1BB" w14:textId="77777777" w:rsidR="000A0ACD" w:rsidRDefault="00362A99">
            <w:pPr>
              <w:adjustRightInd w:val="0"/>
              <w:snapToGrid w:val="0"/>
              <w:rPr>
                <w:rFonts w:ascii="Times New Roman" w:hAnsi="Times New Roman"/>
                <w:b/>
                <w:bCs/>
                <w:sz w:val="21"/>
                <w:szCs w:val="21"/>
              </w:rPr>
            </w:pPr>
            <w:r>
              <w:rPr>
                <w:rFonts w:ascii="Times New Roman" w:hAnsi="Times New Roman" w:hint="eastAsia"/>
                <w:b/>
                <w:bCs/>
                <w:sz w:val="21"/>
                <w:szCs w:val="21"/>
              </w:rPr>
              <w:t>流动资产：</w:t>
            </w:r>
          </w:p>
        </w:tc>
      </w:tr>
      <w:tr w:rsidR="000A0ACD" w14:paraId="7E5043E4" w14:textId="77777777">
        <w:trPr>
          <w:trHeight w:val="397"/>
        </w:trPr>
        <w:tc>
          <w:tcPr>
            <w:tcW w:w="979" w:type="pct"/>
            <w:noWrap/>
            <w:vAlign w:val="center"/>
          </w:tcPr>
          <w:p w14:paraId="5E13028B"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货币资金</w:t>
            </w:r>
          </w:p>
        </w:tc>
        <w:tc>
          <w:tcPr>
            <w:tcW w:w="666" w:type="pct"/>
            <w:vAlign w:val="center"/>
          </w:tcPr>
          <w:p w14:paraId="1A557D51"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2,726.33</w:t>
            </w:r>
          </w:p>
        </w:tc>
        <w:tc>
          <w:tcPr>
            <w:tcW w:w="666" w:type="pct"/>
            <w:vAlign w:val="center"/>
          </w:tcPr>
          <w:p w14:paraId="5CB558B4"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3,168.54</w:t>
            </w:r>
          </w:p>
        </w:tc>
        <w:tc>
          <w:tcPr>
            <w:tcW w:w="665" w:type="pct"/>
            <w:vAlign w:val="center"/>
          </w:tcPr>
          <w:p w14:paraId="3418C7C9"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3,522.15</w:t>
            </w:r>
          </w:p>
        </w:tc>
        <w:tc>
          <w:tcPr>
            <w:tcW w:w="665" w:type="pct"/>
            <w:vAlign w:val="center"/>
          </w:tcPr>
          <w:p w14:paraId="35B52E0E"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3,799.57</w:t>
            </w:r>
          </w:p>
        </w:tc>
        <w:tc>
          <w:tcPr>
            <w:tcW w:w="665" w:type="pct"/>
            <w:vAlign w:val="center"/>
          </w:tcPr>
          <w:p w14:paraId="02B4A63B"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4,005.89</w:t>
            </w:r>
          </w:p>
        </w:tc>
        <w:tc>
          <w:tcPr>
            <w:tcW w:w="695" w:type="pct"/>
            <w:vAlign w:val="center"/>
          </w:tcPr>
          <w:p w14:paraId="6759E26C"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4,126.52</w:t>
            </w:r>
          </w:p>
        </w:tc>
      </w:tr>
      <w:tr w:rsidR="000A0ACD" w14:paraId="2876265F" w14:textId="77777777">
        <w:trPr>
          <w:trHeight w:val="397"/>
        </w:trPr>
        <w:tc>
          <w:tcPr>
            <w:tcW w:w="979" w:type="pct"/>
            <w:noWrap/>
            <w:vAlign w:val="center"/>
          </w:tcPr>
          <w:p w14:paraId="68497FEE"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应收票据</w:t>
            </w:r>
          </w:p>
        </w:tc>
        <w:tc>
          <w:tcPr>
            <w:tcW w:w="666" w:type="pct"/>
            <w:vAlign w:val="center"/>
          </w:tcPr>
          <w:p w14:paraId="66BDC246"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886.95</w:t>
            </w:r>
          </w:p>
        </w:tc>
        <w:tc>
          <w:tcPr>
            <w:tcW w:w="666" w:type="pct"/>
            <w:vAlign w:val="center"/>
          </w:tcPr>
          <w:p w14:paraId="18D2D817"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1,651.71</w:t>
            </w:r>
          </w:p>
        </w:tc>
        <w:tc>
          <w:tcPr>
            <w:tcW w:w="665" w:type="pct"/>
            <w:vAlign w:val="center"/>
          </w:tcPr>
          <w:p w14:paraId="6BB8A9F8"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1,827.48</w:t>
            </w:r>
          </w:p>
        </w:tc>
        <w:tc>
          <w:tcPr>
            <w:tcW w:w="665" w:type="pct"/>
            <w:vAlign w:val="center"/>
          </w:tcPr>
          <w:p w14:paraId="265D711A"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1,964.59</w:t>
            </w:r>
          </w:p>
        </w:tc>
        <w:tc>
          <w:tcPr>
            <w:tcW w:w="665" w:type="pct"/>
            <w:vAlign w:val="center"/>
          </w:tcPr>
          <w:p w14:paraId="69C8BC66"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2,072.45</w:t>
            </w:r>
          </w:p>
        </w:tc>
        <w:tc>
          <w:tcPr>
            <w:tcW w:w="695" w:type="pct"/>
            <w:vAlign w:val="center"/>
          </w:tcPr>
          <w:p w14:paraId="54F0799C"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2,134.57</w:t>
            </w:r>
          </w:p>
        </w:tc>
      </w:tr>
      <w:tr w:rsidR="000A0ACD" w14:paraId="5DBAAA79" w14:textId="77777777">
        <w:trPr>
          <w:trHeight w:val="397"/>
        </w:trPr>
        <w:tc>
          <w:tcPr>
            <w:tcW w:w="979" w:type="pct"/>
            <w:noWrap/>
            <w:vAlign w:val="center"/>
          </w:tcPr>
          <w:p w14:paraId="57AAD60A"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应收账款净值</w:t>
            </w:r>
          </w:p>
        </w:tc>
        <w:tc>
          <w:tcPr>
            <w:tcW w:w="666" w:type="pct"/>
            <w:vAlign w:val="center"/>
          </w:tcPr>
          <w:p w14:paraId="4FE21B11"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4,755.21</w:t>
            </w:r>
          </w:p>
        </w:tc>
        <w:tc>
          <w:tcPr>
            <w:tcW w:w="666" w:type="pct"/>
            <w:vAlign w:val="center"/>
          </w:tcPr>
          <w:p w14:paraId="3035486C"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8,855.28</w:t>
            </w:r>
          </w:p>
        </w:tc>
        <w:tc>
          <w:tcPr>
            <w:tcW w:w="665" w:type="pct"/>
            <w:vAlign w:val="center"/>
          </w:tcPr>
          <w:p w14:paraId="07282AA2"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9,797.66</w:t>
            </w:r>
          </w:p>
        </w:tc>
        <w:tc>
          <w:tcPr>
            <w:tcW w:w="665" w:type="pct"/>
            <w:vAlign w:val="center"/>
          </w:tcPr>
          <w:p w14:paraId="2AF842B3"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10,532.76</w:t>
            </w:r>
          </w:p>
        </w:tc>
        <w:tc>
          <w:tcPr>
            <w:tcW w:w="665" w:type="pct"/>
            <w:vAlign w:val="center"/>
          </w:tcPr>
          <w:p w14:paraId="11238933"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11,111.02</w:t>
            </w:r>
          </w:p>
        </w:tc>
        <w:tc>
          <w:tcPr>
            <w:tcW w:w="695" w:type="pct"/>
            <w:vAlign w:val="center"/>
          </w:tcPr>
          <w:p w14:paraId="1B531789"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11,444.05</w:t>
            </w:r>
          </w:p>
        </w:tc>
      </w:tr>
      <w:tr w:rsidR="000A0ACD" w14:paraId="5E09C79C" w14:textId="77777777">
        <w:trPr>
          <w:trHeight w:val="397"/>
        </w:trPr>
        <w:tc>
          <w:tcPr>
            <w:tcW w:w="979" w:type="pct"/>
            <w:noWrap/>
            <w:vAlign w:val="center"/>
          </w:tcPr>
          <w:p w14:paraId="5D2ADDA4"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预付款项</w:t>
            </w:r>
          </w:p>
        </w:tc>
        <w:tc>
          <w:tcPr>
            <w:tcW w:w="666" w:type="pct"/>
            <w:vAlign w:val="center"/>
          </w:tcPr>
          <w:p w14:paraId="5085B5D1"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189.33</w:t>
            </w:r>
          </w:p>
        </w:tc>
        <w:tc>
          <w:tcPr>
            <w:tcW w:w="666" w:type="pct"/>
            <w:vAlign w:val="center"/>
          </w:tcPr>
          <w:p w14:paraId="349CF994"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376.43</w:t>
            </w:r>
          </w:p>
        </w:tc>
        <w:tc>
          <w:tcPr>
            <w:tcW w:w="665" w:type="pct"/>
            <w:vAlign w:val="center"/>
          </w:tcPr>
          <w:p w14:paraId="051F76C4"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416.49</w:t>
            </w:r>
          </w:p>
        </w:tc>
        <w:tc>
          <w:tcPr>
            <w:tcW w:w="665" w:type="pct"/>
            <w:vAlign w:val="center"/>
          </w:tcPr>
          <w:p w14:paraId="231BE212"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447.74</w:t>
            </w:r>
          </w:p>
        </w:tc>
        <w:tc>
          <w:tcPr>
            <w:tcW w:w="665" w:type="pct"/>
            <w:vAlign w:val="center"/>
          </w:tcPr>
          <w:p w14:paraId="7FBC8E19"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472.32</w:t>
            </w:r>
          </w:p>
        </w:tc>
        <w:tc>
          <w:tcPr>
            <w:tcW w:w="695" w:type="pct"/>
            <w:vAlign w:val="center"/>
          </w:tcPr>
          <w:p w14:paraId="7FA452CF"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486.48</w:t>
            </w:r>
          </w:p>
        </w:tc>
      </w:tr>
      <w:tr w:rsidR="000A0ACD" w14:paraId="409CD831" w14:textId="77777777">
        <w:trPr>
          <w:trHeight w:val="397"/>
        </w:trPr>
        <w:tc>
          <w:tcPr>
            <w:tcW w:w="979" w:type="pct"/>
            <w:noWrap/>
            <w:vAlign w:val="center"/>
          </w:tcPr>
          <w:p w14:paraId="383B819E"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其他应收款</w:t>
            </w:r>
          </w:p>
        </w:tc>
        <w:tc>
          <w:tcPr>
            <w:tcW w:w="666" w:type="pct"/>
            <w:vAlign w:val="center"/>
          </w:tcPr>
          <w:p w14:paraId="5DE84AFC"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113.12</w:t>
            </w:r>
          </w:p>
        </w:tc>
        <w:tc>
          <w:tcPr>
            <w:tcW w:w="666" w:type="pct"/>
            <w:vAlign w:val="center"/>
          </w:tcPr>
          <w:p w14:paraId="3391956A"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113.12</w:t>
            </w:r>
          </w:p>
        </w:tc>
        <w:tc>
          <w:tcPr>
            <w:tcW w:w="665" w:type="pct"/>
            <w:vAlign w:val="center"/>
          </w:tcPr>
          <w:p w14:paraId="731DE49D"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113.12</w:t>
            </w:r>
          </w:p>
        </w:tc>
        <w:tc>
          <w:tcPr>
            <w:tcW w:w="665" w:type="pct"/>
            <w:vAlign w:val="center"/>
          </w:tcPr>
          <w:p w14:paraId="5CD84475"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113.12</w:t>
            </w:r>
          </w:p>
        </w:tc>
        <w:tc>
          <w:tcPr>
            <w:tcW w:w="665" w:type="pct"/>
            <w:vAlign w:val="center"/>
          </w:tcPr>
          <w:p w14:paraId="6FC72C38"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113.12</w:t>
            </w:r>
          </w:p>
        </w:tc>
        <w:tc>
          <w:tcPr>
            <w:tcW w:w="695" w:type="pct"/>
            <w:vAlign w:val="center"/>
          </w:tcPr>
          <w:p w14:paraId="46F859E1"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113.12</w:t>
            </w:r>
          </w:p>
        </w:tc>
      </w:tr>
      <w:tr w:rsidR="000A0ACD" w14:paraId="430C4E52" w14:textId="77777777">
        <w:trPr>
          <w:trHeight w:val="397"/>
        </w:trPr>
        <w:tc>
          <w:tcPr>
            <w:tcW w:w="979" w:type="pct"/>
            <w:noWrap/>
            <w:vAlign w:val="center"/>
          </w:tcPr>
          <w:p w14:paraId="5C1EA644"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存货</w:t>
            </w:r>
          </w:p>
        </w:tc>
        <w:tc>
          <w:tcPr>
            <w:tcW w:w="666" w:type="pct"/>
            <w:vAlign w:val="center"/>
          </w:tcPr>
          <w:p w14:paraId="1EDD7012"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2,455.75</w:t>
            </w:r>
          </w:p>
        </w:tc>
        <w:tc>
          <w:tcPr>
            <w:tcW w:w="666" w:type="pct"/>
            <w:vAlign w:val="center"/>
          </w:tcPr>
          <w:p w14:paraId="30213590"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4,882.56</w:t>
            </w:r>
          </w:p>
        </w:tc>
        <w:tc>
          <w:tcPr>
            <w:tcW w:w="665" w:type="pct"/>
            <w:vAlign w:val="center"/>
          </w:tcPr>
          <w:p w14:paraId="051092AF"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5,402.16</w:t>
            </w:r>
          </w:p>
        </w:tc>
        <w:tc>
          <w:tcPr>
            <w:tcW w:w="665" w:type="pct"/>
            <w:vAlign w:val="center"/>
          </w:tcPr>
          <w:p w14:paraId="67D7EDFB"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5,807.47</w:t>
            </w:r>
          </w:p>
        </w:tc>
        <w:tc>
          <w:tcPr>
            <w:tcW w:w="665" w:type="pct"/>
            <w:vAlign w:val="center"/>
          </w:tcPr>
          <w:p w14:paraId="61D1AF0B"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6,126.31</w:t>
            </w:r>
          </w:p>
        </w:tc>
        <w:tc>
          <w:tcPr>
            <w:tcW w:w="695" w:type="pct"/>
            <w:vAlign w:val="center"/>
          </w:tcPr>
          <w:p w14:paraId="44351250"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6,309.93</w:t>
            </w:r>
          </w:p>
        </w:tc>
      </w:tr>
      <w:tr w:rsidR="000A0ACD" w14:paraId="19E6FFD8" w14:textId="77777777">
        <w:trPr>
          <w:trHeight w:val="397"/>
        </w:trPr>
        <w:tc>
          <w:tcPr>
            <w:tcW w:w="979" w:type="pct"/>
            <w:noWrap/>
            <w:vAlign w:val="center"/>
          </w:tcPr>
          <w:p w14:paraId="4A256FAA"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其他流动资产</w:t>
            </w:r>
          </w:p>
        </w:tc>
        <w:tc>
          <w:tcPr>
            <w:tcW w:w="666" w:type="pct"/>
            <w:vAlign w:val="center"/>
          </w:tcPr>
          <w:p w14:paraId="1939985D"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w:t>
            </w:r>
          </w:p>
        </w:tc>
        <w:tc>
          <w:tcPr>
            <w:tcW w:w="666" w:type="pct"/>
            <w:vAlign w:val="center"/>
          </w:tcPr>
          <w:p w14:paraId="5196E5D3"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w:t>
            </w:r>
          </w:p>
        </w:tc>
        <w:tc>
          <w:tcPr>
            <w:tcW w:w="665" w:type="pct"/>
            <w:vAlign w:val="center"/>
          </w:tcPr>
          <w:p w14:paraId="24FBB8C7"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w:t>
            </w:r>
          </w:p>
        </w:tc>
        <w:tc>
          <w:tcPr>
            <w:tcW w:w="665" w:type="pct"/>
            <w:vAlign w:val="center"/>
          </w:tcPr>
          <w:p w14:paraId="67EC7E10"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w:t>
            </w:r>
          </w:p>
        </w:tc>
        <w:tc>
          <w:tcPr>
            <w:tcW w:w="665" w:type="pct"/>
            <w:vAlign w:val="center"/>
          </w:tcPr>
          <w:p w14:paraId="76AD087F"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w:t>
            </w:r>
          </w:p>
        </w:tc>
        <w:tc>
          <w:tcPr>
            <w:tcW w:w="695" w:type="pct"/>
            <w:vAlign w:val="center"/>
          </w:tcPr>
          <w:p w14:paraId="672BE46C"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w:t>
            </w:r>
          </w:p>
        </w:tc>
      </w:tr>
      <w:tr w:rsidR="000A0ACD" w14:paraId="53BF5791" w14:textId="77777777">
        <w:trPr>
          <w:trHeight w:val="397"/>
        </w:trPr>
        <w:tc>
          <w:tcPr>
            <w:tcW w:w="979" w:type="pct"/>
            <w:noWrap/>
            <w:vAlign w:val="center"/>
          </w:tcPr>
          <w:p w14:paraId="4DF1B791" w14:textId="77777777" w:rsidR="000A0ACD" w:rsidRDefault="00362A99">
            <w:pPr>
              <w:adjustRightInd w:val="0"/>
              <w:snapToGrid w:val="0"/>
              <w:rPr>
                <w:rFonts w:ascii="Times New Roman" w:hAnsi="Times New Roman"/>
                <w:b/>
                <w:bCs/>
                <w:sz w:val="21"/>
                <w:szCs w:val="21"/>
              </w:rPr>
            </w:pPr>
            <w:r>
              <w:rPr>
                <w:rFonts w:ascii="Times New Roman" w:hAnsi="Times New Roman" w:hint="eastAsia"/>
                <w:b/>
                <w:bCs/>
                <w:sz w:val="21"/>
                <w:szCs w:val="21"/>
              </w:rPr>
              <w:t>流动资产合计</w:t>
            </w:r>
          </w:p>
        </w:tc>
        <w:tc>
          <w:tcPr>
            <w:tcW w:w="666" w:type="pct"/>
            <w:noWrap/>
            <w:vAlign w:val="center"/>
          </w:tcPr>
          <w:p w14:paraId="4D1C150F"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11,126.68</w:t>
            </w:r>
          </w:p>
        </w:tc>
        <w:tc>
          <w:tcPr>
            <w:tcW w:w="666" w:type="pct"/>
            <w:noWrap/>
            <w:vAlign w:val="center"/>
          </w:tcPr>
          <w:p w14:paraId="4960C30E"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19,047.63</w:t>
            </w:r>
          </w:p>
        </w:tc>
        <w:tc>
          <w:tcPr>
            <w:tcW w:w="665" w:type="pct"/>
            <w:noWrap/>
            <w:vAlign w:val="center"/>
          </w:tcPr>
          <w:p w14:paraId="2027CB6D"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21,079.06</w:t>
            </w:r>
          </w:p>
        </w:tc>
        <w:tc>
          <w:tcPr>
            <w:tcW w:w="665" w:type="pct"/>
            <w:noWrap/>
            <w:vAlign w:val="center"/>
          </w:tcPr>
          <w:p w14:paraId="31B3D82F"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22,665.25</w:t>
            </w:r>
          </w:p>
        </w:tc>
        <w:tc>
          <w:tcPr>
            <w:tcW w:w="665" w:type="pct"/>
            <w:noWrap/>
            <w:vAlign w:val="center"/>
          </w:tcPr>
          <w:p w14:paraId="5B7956C5"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23,901.10</w:t>
            </w:r>
          </w:p>
        </w:tc>
        <w:tc>
          <w:tcPr>
            <w:tcW w:w="695" w:type="pct"/>
            <w:noWrap/>
            <w:vAlign w:val="center"/>
          </w:tcPr>
          <w:p w14:paraId="59029948"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24,614.65</w:t>
            </w:r>
          </w:p>
        </w:tc>
      </w:tr>
      <w:tr w:rsidR="000A0ACD" w14:paraId="0586537C" w14:textId="77777777">
        <w:trPr>
          <w:trHeight w:val="397"/>
        </w:trPr>
        <w:tc>
          <w:tcPr>
            <w:tcW w:w="5000" w:type="pct"/>
            <w:gridSpan w:val="7"/>
            <w:noWrap/>
            <w:vAlign w:val="center"/>
          </w:tcPr>
          <w:p w14:paraId="6E8F2B8B" w14:textId="77777777" w:rsidR="000A0ACD" w:rsidRDefault="00362A99">
            <w:pPr>
              <w:adjustRightInd w:val="0"/>
              <w:snapToGrid w:val="0"/>
              <w:rPr>
                <w:rFonts w:ascii="Times New Roman" w:hAnsi="Times New Roman"/>
                <w:b/>
                <w:bCs/>
                <w:sz w:val="21"/>
                <w:szCs w:val="21"/>
              </w:rPr>
            </w:pPr>
            <w:r>
              <w:rPr>
                <w:rFonts w:ascii="Times New Roman" w:hAnsi="Times New Roman" w:hint="eastAsia"/>
                <w:b/>
                <w:bCs/>
                <w:sz w:val="21"/>
                <w:szCs w:val="21"/>
              </w:rPr>
              <w:t>流动负债：</w:t>
            </w:r>
          </w:p>
        </w:tc>
      </w:tr>
      <w:tr w:rsidR="000A0ACD" w14:paraId="1E793FDC" w14:textId="77777777">
        <w:trPr>
          <w:trHeight w:val="397"/>
        </w:trPr>
        <w:tc>
          <w:tcPr>
            <w:tcW w:w="979" w:type="pct"/>
            <w:noWrap/>
            <w:vAlign w:val="center"/>
          </w:tcPr>
          <w:p w14:paraId="0D3D6363"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应付票据</w:t>
            </w:r>
          </w:p>
        </w:tc>
        <w:tc>
          <w:tcPr>
            <w:tcW w:w="666" w:type="pct"/>
            <w:vAlign w:val="center"/>
          </w:tcPr>
          <w:p w14:paraId="071A8E4E"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1,104.32</w:t>
            </w:r>
          </w:p>
        </w:tc>
        <w:tc>
          <w:tcPr>
            <w:tcW w:w="666" w:type="pct"/>
            <w:vAlign w:val="center"/>
          </w:tcPr>
          <w:p w14:paraId="20D208CD"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2,195.62</w:t>
            </w:r>
          </w:p>
        </w:tc>
        <w:tc>
          <w:tcPr>
            <w:tcW w:w="665" w:type="pct"/>
            <w:vAlign w:val="center"/>
          </w:tcPr>
          <w:p w14:paraId="34A8585F"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2,429.28</w:t>
            </w:r>
          </w:p>
        </w:tc>
        <w:tc>
          <w:tcPr>
            <w:tcW w:w="665" w:type="pct"/>
            <w:vAlign w:val="center"/>
          </w:tcPr>
          <w:p w14:paraId="3952FB52"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2,611.54</w:t>
            </w:r>
          </w:p>
        </w:tc>
        <w:tc>
          <w:tcPr>
            <w:tcW w:w="665" w:type="pct"/>
            <w:vAlign w:val="center"/>
          </w:tcPr>
          <w:p w14:paraId="3F804537"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2,754.92</w:t>
            </w:r>
          </w:p>
        </w:tc>
        <w:tc>
          <w:tcPr>
            <w:tcW w:w="695" w:type="pct"/>
            <w:vAlign w:val="center"/>
          </w:tcPr>
          <w:p w14:paraId="36EC334F"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2,837.49</w:t>
            </w:r>
          </w:p>
        </w:tc>
      </w:tr>
      <w:tr w:rsidR="000A0ACD" w14:paraId="7464C5C5" w14:textId="77777777">
        <w:trPr>
          <w:trHeight w:val="397"/>
        </w:trPr>
        <w:tc>
          <w:tcPr>
            <w:tcW w:w="979" w:type="pct"/>
            <w:noWrap/>
            <w:vAlign w:val="center"/>
          </w:tcPr>
          <w:p w14:paraId="2C938C73"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应付账款</w:t>
            </w:r>
          </w:p>
        </w:tc>
        <w:tc>
          <w:tcPr>
            <w:tcW w:w="666" w:type="pct"/>
            <w:vAlign w:val="center"/>
          </w:tcPr>
          <w:p w14:paraId="337FF417"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2,299.03</w:t>
            </w:r>
          </w:p>
        </w:tc>
        <w:tc>
          <w:tcPr>
            <w:tcW w:w="666" w:type="pct"/>
            <w:vAlign w:val="center"/>
          </w:tcPr>
          <w:p w14:paraId="4EC3E7CD"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4,570.98</w:t>
            </w:r>
          </w:p>
        </w:tc>
        <w:tc>
          <w:tcPr>
            <w:tcW w:w="665" w:type="pct"/>
            <w:vAlign w:val="center"/>
          </w:tcPr>
          <w:p w14:paraId="4CA08E52"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5,057.42</w:t>
            </w:r>
          </w:p>
        </w:tc>
        <w:tc>
          <w:tcPr>
            <w:tcW w:w="665" w:type="pct"/>
            <w:vAlign w:val="center"/>
          </w:tcPr>
          <w:p w14:paraId="4680BA61"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5,436.87</w:t>
            </w:r>
          </w:p>
        </w:tc>
        <w:tc>
          <w:tcPr>
            <w:tcW w:w="665" w:type="pct"/>
            <w:vAlign w:val="center"/>
          </w:tcPr>
          <w:p w14:paraId="537AE5DE"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5,735.36</w:t>
            </w:r>
          </w:p>
        </w:tc>
        <w:tc>
          <w:tcPr>
            <w:tcW w:w="695" w:type="pct"/>
            <w:vAlign w:val="center"/>
          </w:tcPr>
          <w:p w14:paraId="2CD14C31"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5,907.26</w:t>
            </w:r>
          </w:p>
        </w:tc>
      </w:tr>
      <w:tr w:rsidR="000A0ACD" w14:paraId="05F0F7F4" w14:textId="77777777">
        <w:trPr>
          <w:trHeight w:val="397"/>
        </w:trPr>
        <w:tc>
          <w:tcPr>
            <w:tcW w:w="979" w:type="pct"/>
            <w:noWrap/>
            <w:vAlign w:val="center"/>
          </w:tcPr>
          <w:p w14:paraId="59040BD4" w14:textId="06BBBFE2" w:rsidR="000A0ACD" w:rsidRDefault="00362A99">
            <w:pPr>
              <w:adjustRightInd w:val="0"/>
              <w:snapToGrid w:val="0"/>
              <w:rPr>
                <w:rFonts w:ascii="Times New Roman" w:hAnsi="Times New Roman"/>
                <w:sz w:val="21"/>
                <w:szCs w:val="21"/>
              </w:rPr>
            </w:pPr>
            <w:r>
              <w:rPr>
                <w:rFonts w:ascii="Times New Roman" w:hAnsi="Times New Roman" w:hint="eastAsia"/>
                <w:sz w:val="21"/>
                <w:szCs w:val="21"/>
              </w:rPr>
              <w:t>合同负债</w:t>
            </w:r>
          </w:p>
        </w:tc>
        <w:tc>
          <w:tcPr>
            <w:tcW w:w="666" w:type="pct"/>
            <w:vAlign w:val="center"/>
          </w:tcPr>
          <w:p w14:paraId="0B46A833"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1,589.48</w:t>
            </w:r>
          </w:p>
        </w:tc>
        <w:tc>
          <w:tcPr>
            <w:tcW w:w="666" w:type="pct"/>
            <w:vAlign w:val="center"/>
          </w:tcPr>
          <w:p w14:paraId="30AF5A62"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2,959.97</w:t>
            </w:r>
          </w:p>
        </w:tc>
        <w:tc>
          <w:tcPr>
            <w:tcW w:w="665" w:type="pct"/>
            <w:vAlign w:val="center"/>
          </w:tcPr>
          <w:p w14:paraId="522B41BC"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3,274.98</w:t>
            </w:r>
          </w:p>
        </w:tc>
        <w:tc>
          <w:tcPr>
            <w:tcW w:w="665" w:type="pct"/>
            <w:vAlign w:val="center"/>
          </w:tcPr>
          <w:p w14:paraId="6085A4DC"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3,520.69</w:t>
            </w:r>
          </w:p>
        </w:tc>
        <w:tc>
          <w:tcPr>
            <w:tcW w:w="665" w:type="pct"/>
            <w:vAlign w:val="center"/>
          </w:tcPr>
          <w:p w14:paraId="0212646B"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3,713.98</w:t>
            </w:r>
          </w:p>
        </w:tc>
        <w:tc>
          <w:tcPr>
            <w:tcW w:w="695" w:type="pct"/>
            <w:vAlign w:val="center"/>
          </w:tcPr>
          <w:p w14:paraId="16A2FDD8"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3,825.30</w:t>
            </w:r>
          </w:p>
        </w:tc>
      </w:tr>
      <w:tr w:rsidR="000A0ACD" w14:paraId="3FBF3E19" w14:textId="77777777">
        <w:trPr>
          <w:trHeight w:val="397"/>
        </w:trPr>
        <w:tc>
          <w:tcPr>
            <w:tcW w:w="979" w:type="pct"/>
            <w:noWrap/>
            <w:vAlign w:val="center"/>
          </w:tcPr>
          <w:p w14:paraId="086503C4"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其他应付款</w:t>
            </w:r>
          </w:p>
        </w:tc>
        <w:tc>
          <w:tcPr>
            <w:tcW w:w="666" w:type="pct"/>
            <w:vAlign w:val="center"/>
          </w:tcPr>
          <w:p w14:paraId="264E2B8E"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14.84</w:t>
            </w:r>
          </w:p>
        </w:tc>
        <w:tc>
          <w:tcPr>
            <w:tcW w:w="666" w:type="pct"/>
            <w:vAlign w:val="center"/>
          </w:tcPr>
          <w:p w14:paraId="1FE9A6A7"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14.84</w:t>
            </w:r>
          </w:p>
        </w:tc>
        <w:tc>
          <w:tcPr>
            <w:tcW w:w="665" w:type="pct"/>
            <w:vAlign w:val="center"/>
          </w:tcPr>
          <w:p w14:paraId="61AB13C2"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14.84</w:t>
            </w:r>
          </w:p>
        </w:tc>
        <w:tc>
          <w:tcPr>
            <w:tcW w:w="665" w:type="pct"/>
            <w:vAlign w:val="center"/>
          </w:tcPr>
          <w:p w14:paraId="7B21D110"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14.84</w:t>
            </w:r>
          </w:p>
        </w:tc>
        <w:tc>
          <w:tcPr>
            <w:tcW w:w="665" w:type="pct"/>
            <w:vAlign w:val="center"/>
          </w:tcPr>
          <w:p w14:paraId="5B5E5FFA"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14.84</w:t>
            </w:r>
          </w:p>
        </w:tc>
        <w:tc>
          <w:tcPr>
            <w:tcW w:w="695" w:type="pct"/>
            <w:vAlign w:val="center"/>
          </w:tcPr>
          <w:p w14:paraId="4E94DBC0"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14.84</w:t>
            </w:r>
          </w:p>
        </w:tc>
      </w:tr>
      <w:tr w:rsidR="000A0ACD" w14:paraId="0333498B" w14:textId="77777777">
        <w:trPr>
          <w:trHeight w:val="397"/>
        </w:trPr>
        <w:tc>
          <w:tcPr>
            <w:tcW w:w="979" w:type="pct"/>
            <w:noWrap/>
            <w:vAlign w:val="center"/>
          </w:tcPr>
          <w:p w14:paraId="26BE2DC2"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应付工资</w:t>
            </w:r>
          </w:p>
        </w:tc>
        <w:tc>
          <w:tcPr>
            <w:tcW w:w="666" w:type="pct"/>
            <w:vAlign w:val="center"/>
          </w:tcPr>
          <w:p w14:paraId="68EE3BCC"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121.81</w:t>
            </w:r>
          </w:p>
        </w:tc>
        <w:tc>
          <w:tcPr>
            <w:tcW w:w="666" w:type="pct"/>
            <w:vAlign w:val="center"/>
          </w:tcPr>
          <w:p w14:paraId="1678F686"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242.19</w:t>
            </w:r>
          </w:p>
        </w:tc>
        <w:tc>
          <w:tcPr>
            <w:tcW w:w="665" w:type="pct"/>
            <w:vAlign w:val="center"/>
          </w:tcPr>
          <w:p w14:paraId="39963E5C"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267.96</w:t>
            </w:r>
          </w:p>
        </w:tc>
        <w:tc>
          <w:tcPr>
            <w:tcW w:w="665" w:type="pct"/>
            <w:vAlign w:val="center"/>
          </w:tcPr>
          <w:p w14:paraId="53E3146E"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288.07</w:t>
            </w:r>
          </w:p>
        </w:tc>
        <w:tc>
          <w:tcPr>
            <w:tcW w:w="665" w:type="pct"/>
            <w:vAlign w:val="center"/>
          </w:tcPr>
          <w:p w14:paraId="4993A4F7"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303.88</w:t>
            </w:r>
          </w:p>
        </w:tc>
        <w:tc>
          <w:tcPr>
            <w:tcW w:w="695" w:type="pct"/>
            <w:vAlign w:val="center"/>
          </w:tcPr>
          <w:p w14:paraId="402C6BE0"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312.99</w:t>
            </w:r>
          </w:p>
        </w:tc>
      </w:tr>
      <w:tr w:rsidR="000A0ACD" w14:paraId="2568011D" w14:textId="77777777">
        <w:trPr>
          <w:trHeight w:val="397"/>
        </w:trPr>
        <w:tc>
          <w:tcPr>
            <w:tcW w:w="979" w:type="pct"/>
            <w:noWrap/>
            <w:vAlign w:val="center"/>
          </w:tcPr>
          <w:p w14:paraId="619912D1"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应交税费</w:t>
            </w:r>
          </w:p>
        </w:tc>
        <w:tc>
          <w:tcPr>
            <w:tcW w:w="666" w:type="pct"/>
            <w:vAlign w:val="center"/>
          </w:tcPr>
          <w:p w14:paraId="4873B40B"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93.13</w:t>
            </w:r>
          </w:p>
        </w:tc>
        <w:tc>
          <w:tcPr>
            <w:tcW w:w="666" w:type="pct"/>
            <w:vAlign w:val="center"/>
          </w:tcPr>
          <w:p w14:paraId="19CEEBDB"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185.16</w:t>
            </w:r>
          </w:p>
        </w:tc>
        <w:tc>
          <w:tcPr>
            <w:tcW w:w="665" w:type="pct"/>
            <w:vAlign w:val="center"/>
          </w:tcPr>
          <w:p w14:paraId="323AEC94"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204.87</w:t>
            </w:r>
          </w:p>
        </w:tc>
        <w:tc>
          <w:tcPr>
            <w:tcW w:w="665" w:type="pct"/>
            <w:vAlign w:val="center"/>
          </w:tcPr>
          <w:p w14:paraId="1992B033"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220.24</w:t>
            </w:r>
          </w:p>
        </w:tc>
        <w:tc>
          <w:tcPr>
            <w:tcW w:w="665" w:type="pct"/>
            <w:vAlign w:val="center"/>
          </w:tcPr>
          <w:p w14:paraId="2B7E647A"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232.33</w:t>
            </w:r>
          </w:p>
        </w:tc>
        <w:tc>
          <w:tcPr>
            <w:tcW w:w="695" w:type="pct"/>
            <w:vAlign w:val="center"/>
          </w:tcPr>
          <w:p w14:paraId="2AE16EE5"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239.29</w:t>
            </w:r>
          </w:p>
        </w:tc>
      </w:tr>
      <w:tr w:rsidR="000A0ACD" w14:paraId="399AC474" w14:textId="77777777">
        <w:trPr>
          <w:trHeight w:val="397"/>
        </w:trPr>
        <w:tc>
          <w:tcPr>
            <w:tcW w:w="979" w:type="pct"/>
            <w:noWrap/>
            <w:vAlign w:val="center"/>
          </w:tcPr>
          <w:p w14:paraId="21FF78AC" w14:textId="77777777" w:rsidR="000A0ACD" w:rsidRDefault="00362A99">
            <w:pPr>
              <w:adjustRightInd w:val="0"/>
              <w:snapToGrid w:val="0"/>
              <w:rPr>
                <w:rFonts w:ascii="Times New Roman" w:hAnsi="Times New Roman"/>
                <w:b/>
                <w:bCs/>
                <w:sz w:val="21"/>
                <w:szCs w:val="21"/>
              </w:rPr>
            </w:pPr>
            <w:r>
              <w:rPr>
                <w:rFonts w:ascii="Times New Roman" w:hAnsi="Times New Roman" w:hint="eastAsia"/>
                <w:b/>
                <w:bCs/>
                <w:sz w:val="21"/>
                <w:szCs w:val="21"/>
              </w:rPr>
              <w:t>流动负债合计</w:t>
            </w:r>
          </w:p>
        </w:tc>
        <w:tc>
          <w:tcPr>
            <w:tcW w:w="666" w:type="pct"/>
            <w:noWrap/>
            <w:vAlign w:val="center"/>
          </w:tcPr>
          <w:p w14:paraId="60C52EBB"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5,222.61</w:t>
            </w:r>
          </w:p>
        </w:tc>
        <w:tc>
          <w:tcPr>
            <w:tcW w:w="666" w:type="pct"/>
            <w:noWrap/>
            <w:vAlign w:val="center"/>
          </w:tcPr>
          <w:p w14:paraId="079EAA62"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10,168.77</w:t>
            </w:r>
          </w:p>
        </w:tc>
        <w:tc>
          <w:tcPr>
            <w:tcW w:w="665" w:type="pct"/>
            <w:noWrap/>
            <w:vAlign w:val="center"/>
          </w:tcPr>
          <w:p w14:paraId="6CFB1B09"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11,249.35</w:t>
            </w:r>
          </w:p>
        </w:tc>
        <w:tc>
          <w:tcPr>
            <w:tcW w:w="665" w:type="pct"/>
            <w:noWrap/>
            <w:vAlign w:val="center"/>
          </w:tcPr>
          <w:p w14:paraId="78491344"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12,092.25</w:t>
            </w:r>
          </w:p>
        </w:tc>
        <w:tc>
          <w:tcPr>
            <w:tcW w:w="665" w:type="pct"/>
            <w:noWrap/>
            <w:vAlign w:val="center"/>
          </w:tcPr>
          <w:p w14:paraId="2675003B"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12,755.31</w:t>
            </w:r>
          </w:p>
        </w:tc>
        <w:tc>
          <w:tcPr>
            <w:tcW w:w="695" w:type="pct"/>
            <w:noWrap/>
            <w:vAlign w:val="center"/>
          </w:tcPr>
          <w:p w14:paraId="719699E4"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13,137.18</w:t>
            </w:r>
          </w:p>
        </w:tc>
      </w:tr>
      <w:tr w:rsidR="000A0ACD" w14:paraId="5948F175" w14:textId="77777777">
        <w:trPr>
          <w:trHeight w:val="397"/>
        </w:trPr>
        <w:tc>
          <w:tcPr>
            <w:tcW w:w="979" w:type="pct"/>
            <w:noWrap/>
            <w:vAlign w:val="center"/>
          </w:tcPr>
          <w:p w14:paraId="016F5D1A" w14:textId="77777777" w:rsidR="000A0ACD" w:rsidRDefault="00362A99">
            <w:pPr>
              <w:adjustRightInd w:val="0"/>
              <w:snapToGrid w:val="0"/>
              <w:rPr>
                <w:rFonts w:ascii="Times New Roman" w:hAnsi="Times New Roman"/>
                <w:b/>
                <w:bCs/>
                <w:sz w:val="21"/>
                <w:szCs w:val="21"/>
              </w:rPr>
            </w:pPr>
            <w:r>
              <w:rPr>
                <w:rFonts w:ascii="Times New Roman" w:hAnsi="Times New Roman" w:hint="eastAsia"/>
                <w:b/>
                <w:bCs/>
                <w:sz w:val="21"/>
                <w:szCs w:val="21"/>
              </w:rPr>
              <w:t>营运资金占用</w:t>
            </w:r>
          </w:p>
        </w:tc>
        <w:tc>
          <w:tcPr>
            <w:tcW w:w="666" w:type="pct"/>
            <w:noWrap/>
            <w:vAlign w:val="center"/>
          </w:tcPr>
          <w:p w14:paraId="28536273"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5,904.07</w:t>
            </w:r>
          </w:p>
        </w:tc>
        <w:tc>
          <w:tcPr>
            <w:tcW w:w="666" w:type="pct"/>
            <w:noWrap/>
            <w:vAlign w:val="center"/>
          </w:tcPr>
          <w:p w14:paraId="21F48B81"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8,878.86</w:t>
            </w:r>
          </w:p>
        </w:tc>
        <w:tc>
          <w:tcPr>
            <w:tcW w:w="665" w:type="pct"/>
            <w:noWrap/>
            <w:vAlign w:val="center"/>
          </w:tcPr>
          <w:p w14:paraId="3D989BE8"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9,829.71</w:t>
            </w:r>
          </w:p>
        </w:tc>
        <w:tc>
          <w:tcPr>
            <w:tcW w:w="665" w:type="pct"/>
            <w:noWrap/>
            <w:vAlign w:val="center"/>
          </w:tcPr>
          <w:p w14:paraId="22A1F2C8"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10,573.00</w:t>
            </w:r>
          </w:p>
        </w:tc>
        <w:tc>
          <w:tcPr>
            <w:tcW w:w="665" w:type="pct"/>
            <w:noWrap/>
            <w:vAlign w:val="center"/>
          </w:tcPr>
          <w:p w14:paraId="39EB9635"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11,145.79</w:t>
            </w:r>
          </w:p>
        </w:tc>
        <w:tc>
          <w:tcPr>
            <w:tcW w:w="695" w:type="pct"/>
            <w:noWrap/>
            <w:vAlign w:val="center"/>
          </w:tcPr>
          <w:p w14:paraId="1DEE47E5" w14:textId="77777777" w:rsidR="000A0ACD" w:rsidRDefault="00362A99">
            <w:pPr>
              <w:adjustRightInd w:val="0"/>
              <w:snapToGrid w:val="0"/>
              <w:jc w:val="right"/>
              <w:rPr>
                <w:rFonts w:ascii="Times New Roman" w:hAnsi="Times New Roman"/>
                <w:b/>
                <w:bCs/>
                <w:sz w:val="21"/>
                <w:szCs w:val="21"/>
              </w:rPr>
            </w:pPr>
            <w:r>
              <w:rPr>
                <w:rFonts w:ascii="Times New Roman" w:hAnsi="Times New Roman"/>
                <w:b/>
                <w:bCs/>
                <w:sz w:val="21"/>
                <w:szCs w:val="21"/>
              </w:rPr>
              <w:t>11,477.48</w:t>
            </w:r>
          </w:p>
        </w:tc>
      </w:tr>
      <w:tr w:rsidR="000A0ACD" w14:paraId="5DC21E31" w14:textId="77777777">
        <w:trPr>
          <w:trHeight w:val="397"/>
        </w:trPr>
        <w:tc>
          <w:tcPr>
            <w:tcW w:w="979" w:type="pct"/>
            <w:noWrap/>
            <w:vAlign w:val="center"/>
          </w:tcPr>
          <w:p w14:paraId="5E640A77"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营运资金变动</w:t>
            </w:r>
          </w:p>
        </w:tc>
        <w:tc>
          <w:tcPr>
            <w:tcW w:w="666" w:type="pct"/>
            <w:noWrap/>
            <w:vAlign w:val="center"/>
          </w:tcPr>
          <w:p w14:paraId="3EF265D3"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786.20</w:t>
            </w:r>
          </w:p>
        </w:tc>
        <w:tc>
          <w:tcPr>
            <w:tcW w:w="666" w:type="pct"/>
            <w:noWrap/>
            <w:vAlign w:val="center"/>
          </w:tcPr>
          <w:p w14:paraId="74392D63"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2,974.79</w:t>
            </w:r>
          </w:p>
        </w:tc>
        <w:tc>
          <w:tcPr>
            <w:tcW w:w="665" w:type="pct"/>
            <w:noWrap/>
            <w:vAlign w:val="center"/>
          </w:tcPr>
          <w:p w14:paraId="508F11B8"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950.85</w:t>
            </w:r>
          </w:p>
        </w:tc>
        <w:tc>
          <w:tcPr>
            <w:tcW w:w="665" w:type="pct"/>
            <w:noWrap/>
            <w:vAlign w:val="center"/>
          </w:tcPr>
          <w:p w14:paraId="1BA7A945"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743.29</w:t>
            </w:r>
          </w:p>
        </w:tc>
        <w:tc>
          <w:tcPr>
            <w:tcW w:w="665" w:type="pct"/>
            <w:noWrap/>
            <w:vAlign w:val="center"/>
          </w:tcPr>
          <w:p w14:paraId="0A15855A"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572.79</w:t>
            </w:r>
          </w:p>
        </w:tc>
        <w:tc>
          <w:tcPr>
            <w:tcW w:w="695" w:type="pct"/>
            <w:noWrap/>
            <w:vAlign w:val="center"/>
          </w:tcPr>
          <w:p w14:paraId="76A97388"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331.68</w:t>
            </w:r>
          </w:p>
        </w:tc>
      </w:tr>
      <w:tr w:rsidR="000A0ACD" w14:paraId="1001C574" w14:textId="77777777">
        <w:trPr>
          <w:trHeight w:val="397"/>
        </w:trPr>
        <w:tc>
          <w:tcPr>
            <w:tcW w:w="979" w:type="pct"/>
            <w:noWrap/>
            <w:vAlign w:val="center"/>
          </w:tcPr>
          <w:p w14:paraId="7B0D2C51" w14:textId="77777777" w:rsidR="000A0ACD" w:rsidRDefault="00362A99">
            <w:pPr>
              <w:adjustRightInd w:val="0"/>
              <w:snapToGrid w:val="0"/>
              <w:rPr>
                <w:rFonts w:ascii="Times New Roman" w:hAnsi="Times New Roman"/>
                <w:sz w:val="21"/>
                <w:szCs w:val="21"/>
              </w:rPr>
            </w:pPr>
            <w:r>
              <w:rPr>
                <w:rFonts w:ascii="Times New Roman" w:hAnsi="Times New Roman" w:hint="eastAsia"/>
                <w:sz w:val="21"/>
                <w:szCs w:val="21"/>
              </w:rPr>
              <w:t>营运资金占用</w:t>
            </w:r>
            <w:r>
              <w:rPr>
                <w:rFonts w:ascii="Times New Roman" w:hAnsi="Times New Roman"/>
                <w:sz w:val="21"/>
                <w:szCs w:val="21"/>
              </w:rPr>
              <w:t>/</w:t>
            </w:r>
            <w:r>
              <w:rPr>
                <w:rFonts w:ascii="Times New Roman" w:hAnsi="Times New Roman" w:hint="eastAsia"/>
                <w:sz w:val="21"/>
                <w:szCs w:val="21"/>
              </w:rPr>
              <w:t>营业收入</w:t>
            </w:r>
          </w:p>
        </w:tc>
        <w:tc>
          <w:tcPr>
            <w:tcW w:w="666" w:type="pct"/>
            <w:noWrap/>
            <w:vAlign w:val="center"/>
          </w:tcPr>
          <w:p w14:paraId="436A1C8E"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38%</w:t>
            </w:r>
          </w:p>
        </w:tc>
        <w:tc>
          <w:tcPr>
            <w:tcW w:w="666" w:type="pct"/>
            <w:noWrap/>
            <w:vAlign w:val="center"/>
          </w:tcPr>
          <w:p w14:paraId="58D65A9C"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30%</w:t>
            </w:r>
          </w:p>
        </w:tc>
        <w:tc>
          <w:tcPr>
            <w:tcW w:w="665" w:type="pct"/>
            <w:noWrap/>
            <w:vAlign w:val="center"/>
          </w:tcPr>
          <w:p w14:paraId="325F0982"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30%</w:t>
            </w:r>
          </w:p>
        </w:tc>
        <w:tc>
          <w:tcPr>
            <w:tcW w:w="665" w:type="pct"/>
            <w:noWrap/>
            <w:vAlign w:val="center"/>
          </w:tcPr>
          <w:p w14:paraId="02FC9D37"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30%</w:t>
            </w:r>
          </w:p>
        </w:tc>
        <w:tc>
          <w:tcPr>
            <w:tcW w:w="665" w:type="pct"/>
            <w:noWrap/>
            <w:vAlign w:val="center"/>
          </w:tcPr>
          <w:p w14:paraId="30280A6B"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30%</w:t>
            </w:r>
          </w:p>
        </w:tc>
        <w:tc>
          <w:tcPr>
            <w:tcW w:w="695" w:type="pct"/>
            <w:noWrap/>
            <w:vAlign w:val="center"/>
          </w:tcPr>
          <w:p w14:paraId="0B2470A3" w14:textId="77777777" w:rsidR="000A0ACD" w:rsidRDefault="00362A99">
            <w:pPr>
              <w:adjustRightInd w:val="0"/>
              <w:snapToGrid w:val="0"/>
              <w:jc w:val="right"/>
              <w:rPr>
                <w:rFonts w:ascii="Times New Roman" w:hAnsi="Times New Roman"/>
                <w:sz w:val="21"/>
                <w:szCs w:val="21"/>
              </w:rPr>
            </w:pPr>
            <w:r>
              <w:rPr>
                <w:rFonts w:ascii="Times New Roman" w:hAnsi="Times New Roman"/>
                <w:sz w:val="21"/>
                <w:szCs w:val="21"/>
              </w:rPr>
              <w:t>30%</w:t>
            </w:r>
          </w:p>
        </w:tc>
      </w:tr>
    </w:tbl>
    <w:p w14:paraId="2F00BB5F"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w:t>
      </w:r>
      <w:r>
        <w:rPr>
          <w:rFonts w:ascii="Times New Roman" w:hAnsi="Times New Roman" w:cs="Times New Roman"/>
          <w:lang w:bidi="ar"/>
        </w:rPr>
        <w:t>4</w:t>
      </w:r>
      <w:r>
        <w:rPr>
          <w:rFonts w:ascii="Times New Roman" w:hAnsi="Times New Roman" w:cs="Times New Roman" w:hint="eastAsia"/>
          <w:lang w:bidi="ar"/>
        </w:rPr>
        <w:t>）终值预测</w:t>
      </w:r>
      <w:bookmarkEnd w:id="133"/>
      <w:bookmarkEnd w:id="134"/>
    </w:p>
    <w:p w14:paraId="4A21093F"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终值是北洋天青在预测经营期之后的价值。</w:t>
      </w:r>
    </w:p>
    <w:p w14:paraId="706C98A4"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本次评估，评估机构假定北洋天青的经营在</w:t>
      </w:r>
      <w:r>
        <w:rPr>
          <w:rFonts w:ascii="Times New Roman" w:hAnsi="Times New Roman" w:cs="Times New Roman" w:hint="eastAsia"/>
        </w:rPr>
        <w:t>2026</w:t>
      </w:r>
      <w:r>
        <w:rPr>
          <w:rFonts w:ascii="Times New Roman" w:hAnsi="Times New Roman" w:cs="Times New Roman" w:hint="eastAsia"/>
        </w:rPr>
        <w:t>年后每年的经营情况趋于稳定。</w:t>
      </w:r>
    </w:p>
    <w:p w14:paraId="1128B4DB" w14:textId="77777777" w:rsidR="000A0ACD" w:rsidRDefault="00362A99">
      <w:pPr>
        <w:pStyle w:val="affffd"/>
        <w:spacing w:before="156"/>
        <w:ind w:firstLine="482"/>
        <w:rPr>
          <w:b/>
          <w:bCs/>
        </w:rPr>
      </w:pPr>
      <w:r>
        <w:rPr>
          <w:rFonts w:hint="eastAsia"/>
          <w:b/>
          <w:bCs/>
        </w:rPr>
        <w:t>4</w:t>
      </w:r>
      <w:r>
        <w:rPr>
          <w:rFonts w:hint="eastAsia"/>
          <w:b/>
          <w:bCs/>
        </w:rPr>
        <w:t>、折现率的确定</w:t>
      </w:r>
    </w:p>
    <w:p w14:paraId="61AEF0FA"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折现率，又称期望投资回报率，是基于收益法确定评估值的重要参数。由于标的公司不是上市公司，其折现率不能直接计算获得。因此本次评估采用选取对比公司进行分析计算的方法估算标的公司期望投资回报率。为此，第一步，首先在上市公司中选取对比公司，然后估算对比公司的系统性风险系数β（</w:t>
      </w:r>
      <w:r>
        <w:rPr>
          <w:rFonts w:ascii="Times New Roman" w:hAnsi="Times New Roman" w:cs="Times New Roman" w:hint="eastAsia"/>
        </w:rPr>
        <w:t>Levered</w:t>
      </w:r>
      <w:r>
        <w:rPr>
          <w:rFonts w:ascii="Times New Roman" w:hAnsi="Times New Roman" w:cs="Times New Roman"/>
        </w:rPr>
        <w:t xml:space="preserve"> </w:t>
      </w:r>
      <w:r>
        <w:rPr>
          <w:rFonts w:ascii="Times New Roman" w:hAnsi="Times New Roman" w:cs="Times New Roman" w:hint="eastAsia"/>
        </w:rPr>
        <w:t>Beta</w:t>
      </w:r>
      <w:r>
        <w:rPr>
          <w:rFonts w:ascii="Times New Roman" w:hAnsi="Times New Roman" w:cs="Times New Roman" w:hint="eastAsia"/>
        </w:rPr>
        <w:t>）；第二步，根据对比公司资本结构、对比公司β以及标的公司资本结构估算标的公司的期望投资回报率，并以此作为折现率。</w:t>
      </w:r>
    </w:p>
    <w:p w14:paraId="0F5F823C"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bookmarkStart w:id="136" w:name="_Toc163542827"/>
      <w:bookmarkStart w:id="137" w:name="_Toc161394595"/>
      <w:r>
        <w:rPr>
          <w:rFonts w:ascii="Times New Roman" w:hAnsi="Times New Roman" w:cs="Times New Roman" w:hint="eastAsia"/>
          <w:lang w:bidi="ar"/>
        </w:rPr>
        <w:t>（</w:t>
      </w:r>
      <w:r>
        <w:rPr>
          <w:rFonts w:ascii="Times New Roman" w:hAnsi="Times New Roman" w:cs="Times New Roman"/>
          <w:lang w:bidi="ar"/>
        </w:rPr>
        <w:t>1</w:t>
      </w:r>
      <w:r>
        <w:rPr>
          <w:rFonts w:ascii="Times New Roman" w:hAnsi="Times New Roman" w:cs="Times New Roman" w:hint="eastAsia"/>
          <w:lang w:bidi="ar"/>
        </w:rPr>
        <w:t>）对比公司的选取</w:t>
      </w:r>
      <w:bookmarkEnd w:id="136"/>
      <w:bookmarkEnd w:id="137"/>
    </w:p>
    <w:p w14:paraId="5E140259" w14:textId="77777777" w:rsidR="000A0ACD" w:rsidRDefault="00362A99">
      <w:pPr>
        <w:snapToGrid w:val="0"/>
        <w:spacing w:beforeLines="50" w:before="156" w:line="360" w:lineRule="auto"/>
        <w:ind w:firstLineChars="200" w:firstLine="480"/>
        <w:jc w:val="both"/>
        <w:rPr>
          <w:rFonts w:ascii="Times New Roman" w:hAnsi="Times New Roman" w:cs="Times New Roman"/>
        </w:rPr>
      </w:pPr>
      <w:bookmarkStart w:id="138" w:name="_Toc163542869"/>
      <w:bookmarkStart w:id="139" w:name="_Toc161394636"/>
      <w:r>
        <w:rPr>
          <w:rFonts w:ascii="Times New Roman" w:hAnsi="Times New Roman" w:cs="Times New Roman" w:hint="eastAsia"/>
        </w:rPr>
        <w:t>由于标的公司为盈利企业，并且主营业务为智能生产线整体解决方案提供商，为机械制造业中的其他制造业，因此在本次评估中，评估机构初步采用以下基本标准作为筛选对比公司的选择标准：</w:t>
      </w:r>
    </w:p>
    <w:p w14:paraId="40AB0645" w14:textId="77777777" w:rsidR="000A0ACD" w:rsidRDefault="00362A99">
      <w:pPr>
        <w:pStyle w:val="ac"/>
        <w:numPr>
          <w:ilvl w:val="255"/>
          <w:numId w:val="0"/>
        </w:numPr>
        <w:tabs>
          <w:tab w:val="left" w:pos="851"/>
        </w:tabs>
        <w:autoSpaceDE w:val="0"/>
        <w:autoSpaceDN w:val="0"/>
        <w:adjustRightInd w:val="0"/>
        <w:spacing w:beforeLines="50" w:before="156" w:after="0" w:line="360" w:lineRule="auto"/>
        <w:ind w:firstLineChars="200" w:firstLine="480"/>
        <w:rPr>
          <w:rFonts w:eastAsia="宋体"/>
          <w:sz w:val="24"/>
        </w:rPr>
      </w:pPr>
      <w:r>
        <w:rPr>
          <w:rFonts w:eastAsia="宋体" w:hint="eastAsia"/>
          <w:sz w:val="24"/>
        </w:rPr>
        <w:t>对比公司近两年为盈利公司；</w:t>
      </w:r>
    </w:p>
    <w:p w14:paraId="7C1C5B28" w14:textId="77777777" w:rsidR="000A0ACD" w:rsidRDefault="00362A99">
      <w:pPr>
        <w:pStyle w:val="ac"/>
        <w:numPr>
          <w:ilvl w:val="255"/>
          <w:numId w:val="0"/>
        </w:numPr>
        <w:tabs>
          <w:tab w:val="left" w:pos="851"/>
        </w:tabs>
        <w:autoSpaceDE w:val="0"/>
        <w:autoSpaceDN w:val="0"/>
        <w:adjustRightInd w:val="0"/>
        <w:spacing w:beforeLines="50" w:before="156" w:after="0" w:line="360" w:lineRule="auto"/>
        <w:ind w:firstLineChars="200" w:firstLine="480"/>
        <w:rPr>
          <w:rFonts w:eastAsia="宋体"/>
          <w:sz w:val="24"/>
        </w:rPr>
      </w:pPr>
      <w:r>
        <w:rPr>
          <w:rFonts w:eastAsia="宋体" w:hint="eastAsia"/>
          <w:sz w:val="24"/>
        </w:rPr>
        <w:t>对比公司必须为至少有两年上市历史；</w:t>
      </w:r>
    </w:p>
    <w:p w14:paraId="66E2026B" w14:textId="77777777" w:rsidR="000A0ACD" w:rsidRDefault="00362A99">
      <w:pPr>
        <w:pStyle w:val="ac"/>
        <w:numPr>
          <w:ilvl w:val="255"/>
          <w:numId w:val="0"/>
        </w:numPr>
        <w:tabs>
          <w:tab w:val="left" w:pos="851"/>
        </w:tabs>
        <w:autoSpaceDE w:val="0"/>
        <w:autoSpaceDN w:val="0"/>
        <w:adjustRightInd w:val="0"/>
        <w:spacing w:beforeLines="50" w:before="156" w:after="0" w:line="360" w:lineRule="auto"/>
        <w:ind w:leftChars="15" w:left="36" w:firstLineChars="200" w:firstLine="480"/>
        <w:rPr>
          <w:rFonts w:eastAsia="宋体"/>
          <w:sz w:val="24"/>
        </w:rPr>
      </w:pPr>
      <w:r>
        <w:rPr>
          <w:rFonts w:eastAsia="宋体" w:hint="eastAsia"/>
          <w:sz w:val="24"/>
        </w:rPr>
        <w:t>对比公司只发行人民币</w:t>
      </w:r>
      <w:r>
        <w:rPr>
          <w:rFonts w:eastAsia="宋体" w:hint="eastAsia"/>
          <w:sz w:val="24"/>
        </w:rPr>
        <w:t>A</w:t>
      </w:r>
      <w:r>
        <w:rPr>
          <w:rFonts w:eastAsia="宋体" w:hint="eastAsia"/>
          <w:sz w:val="24"/>
        </w:rPr>
        <w:t>股；</w:t>
      </w:r>
    </w:p>
    <w:p w14:paraId="0783AA80" w14:textId="77777777" w:rsidR="000A0ACD" w:rsidRDefault="00362A99">
      <w:pPr>
        <w:pStyle w:val="ac"/>
        <w:numPr>
          <w:ilvl w:val="255"/>
          <w:numId w:val="0"/>
        </w:numPr>
        <w:tabs>
          <w:tab w:val="left" w:pos="851"/>
        </w:tabs>
        <w:autoSpaceDE w:val="0"/>
        <w:autoSpaceDN w:val="0"/>
        <w:adjustRightInd w:val="0"/>
        <w:spacing w:beforeLines="50" w:before="156" w:after="0" w:line="360" w:lineRule="auto"/>
        <w:ind w:firstLineChars="200" w:firstLine="480"/>
        <w:rPr>
          <w:rFonts w:eastAsia="宋体"/>
          <w:sz w:val="24"/>
        </w:rPr>
      </w:pPr>
      <w:r>
        <w:rPr>
          <w:rFonts w:eastAsia="宋体" w:hint="eastAsia"/>
          <w:sz w:val="24"/>
        </w:rPr>
        <w:t>对比公司所从事的行业或其主营业务为其他制造业中的工业自动化制造，或者受相同经济因素的影响，并且主营该行业历史不少于</w:t>
      </w:r>
      <w:r>
        <w:rPr>
          <w:rFonts w:eastAsia="宋体" w:hint="eastAsia"/>
          <w:sz w:val="24"/>
        </w:rPr>
        <w:t>2</w:t>
      </w:r>
      <w:r>
        <w:rPr>
          <w:rFonts w:eastAsia="宋体" w:hint="eastAsia"/>
          <w:sz w:val="24"/>
        </w:rPr>
        <w:t>年。</w:t>
      </w:r>
    </w:p>
    <w:p w14:paraId="6130ABFE" w14:textId="77777777" w:rsidR="000A0ACD" w:rsidRDefault="00362A99">
      <w:pPr>
        <w:adjustRightInd w:val="0"/>
        <w:snapToGrid w:val="0"/>
        <w:spacing w:beforeLines="50" w:before="156" w:line="360" w:lineRule="auto"/>
        <w:ind w:firstLineChars="200" w:firstLine="480"/>
        <w:jc w:val="both"/>
        <w:rPr>
          <w:bCs/>
          <w:lang w:val="en-GB"/>
        </w:rPr>
      </w:pPr>
      <w:r>
        <w:rPr>
          <w:bCs/>
          <w:lang w:val="en-GB"/>
        </w:rPr>
        <w:t>根据上述四项原则，评估机构利用</w:t>
      </w:r>
      <w:r>
        <w:rPr>
          <w:rFonts w:hint="eastAsia"/>
        </w:rPr>
        <w:t>同花顺</w:t>
      </w:r>
      <w:r>
        <w:t>iFinD</w:t>
      </w:r>
      <w:r>
        <w:rPr>
          <w:bCs/>
          <w:lang w:val="en-GB"/>
        </w:rPr>
        <w:t>数据系统进行筛选，最终选取3家上市公司作为对比公司</w:t>
      </w:r>
      <w:r>
        <w:rPr>
          <w:rFonts w:hint="eastAsia"/>
          <w:bCs/>
          <w:lang w:val="en-GB"/>
        </w:rPr>
        <w:t>：</w:t>
      </w:r>
    </w:p>
    <w:p w14:paraId="234311A8"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）对比公司一：快克智能装备股份有限公司</w:t>
      </w:r>
    </w:p>
    <w:p w14:paraId="5F092076"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证券代码：</w:t>
      </w:r>
      <w:r>
        <w:rPr>
          <w:rFonts w:ascii="Times New Roman" w:hAnsi="Times New Roman" w:cs="Times New Roman" w:hint="eastAsia"/>
        </w:rPr>
        <w:t>603203.SH</w:t>
      </w:r>
    </w:p>
    <w:p w14:paraId="7C2F452D"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证券简称：快克股份</w:t>
      </w:r>
    </w:p>
    <w:p w14:paraId="3C7DC848"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上市日期：</w:t>
      </w:r>
      <w:r>
        <w:rPr>
          <w:rFonts w:ascii="Times New Roman" w:hAnsi="Times New Roman" w:cs="Times New Roman" w:hint="eastAsia"/>
        </w:rPr>
        <w:t>2016-11-08</w:t>
      </w:r>
    </w:p>
    <w:p w14:paraId="40795297"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成立日期：</w:t>
      </w:r>
      <w:r>
        <w:rPr>
          <w:rFonts w:ascii="Times New Roman" w:hAnsi="Times New Roman" w:cs="Times New Roman" w:hint="eastAsia"/>
        </w:rPr>
        <w:t>2006-06-28</w:t>
      </w:r>
    </w:p>
    <w:p w14:paraId="09623BEE"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注册资本：</w:t>
      </w:r>
      <w:r>
        <w:rPr>
          <w:rFonts w:ascii="Times New Roman" w:hAnsi="Times New Roman" w:cs="Times New Roman" w:hint="eastAsia"/>
        </w:rPr>
        <w:t>15,653.3787</w:t>
      </w:r>
      <w:r>
        <w:rPr>
          <w:rFonts w:ascii="Times New Roman" w:hAnsi="Times New Roman" w:cs="Times New Roman" w:hint="eastAsia"/>
        </w:rPr>
        <w:t>万元</w:t>
      </w:r>
    </w:p>
    <w:p w14:paraId="18A1E178"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注册地址：江苏省常州市武进区高新技术产业开发区凤翔路</w:t>
      </w:r>
      <w:r>
        <w:rPr>
          <w:rFonts w:ascii="Times New Roman" w:hAnsi="Times New Roman" w:cs="Times New Roman" w:hint="eastAsia"/>
        </w:rPr>
        <w:t>11</w:t>
      </w:r>
      <w:r>
        <w:rPr>
          <w:rFonts w:ascii="Times New Roman" w:hAnsi="Times New Roman" w:cs="Times New Roman" w:hint="eastAsia"/>
        </w:rPr>
        <w:t>号</w:t>
      </w:r>
    </w:p>
    <w:p w14:paraId="1553816D"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公司简介：快克智能装备股份有限公司主营业务为以锡焊技术为核心的电子装联专用设备的研发、生产和销售，提供的产品和服务包括锡焊工具和机器人、装联作业的关联性设备以及柔性自动化生产线。</w:t>
      </w:r>
    </w:p>
    <w:p w14:paraId="3F98FB5A"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营范围：工业机器人、自动化装备、智能制造解决方案、信息系统集成、物联网技术的开发、销售、服务；锡焊技术研发；电子专用设备及配件、测试仪器及配件、工模具的研发、制造、销售；精密锡焊、点胶涂覆、螺丝锁付、自动贴合、视觉检测及其他装联设备、集成电路</w:t>
      </w:r>
      <w:r>
        <w:rPr>
          <w:rFonts w:ascii="Times New Roman" w:hAnsi="Times New Roman" w:cs="Times New Roman" w:hint="eastAsia"/>
        </w:rPr>
        <w:t>BGA</w:t>
      </w:r>
      <w:r>
        <w:rPr>
          <w:rFonts w:ascii="Times New Roman" w:hAnsi="Times New Roman" w:cs="Times New Roman" w:hint="eastAsia"/>
        </w:rPr>
        <w:t>芯片贴装、返修设备的研发、制造、销售；提供自产产品以及上述同类产品租赁、安装、改造、维修服务，及技术开发、技术转让、技术咨询、技术服务；从事货物及技术的进出口业务（不涉及国营贸易管理商品，涉及配额、许可证管理商品的，按国家有关规定办理申请）。（依法需经批准的项目，经相关部门批准后方可开展经营活动）</w:t>
      </w:r>
    </w:p>
    <w:p w14:paraId="6AEF93D8"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主要产品名称：专用工业机器人、自动化智能装备、智能锡焊台等小型设备、配件及治具。</w:t>
      </w:r>
    </w:p>
    <w:p w14:paraId="0407B1BE"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该公司近三年经营业务指标及主营业务占全部经营业务的比重及相关数据如下：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877"/>
        <w:gridCol w:w="1548"/>
        <w:gridCol w:w="1548"/>
        <w:gridCol w:w="1549"/>
      </w:tblGrid>
      <w:tr w:rsidR="000A0ACD" w14:paraId="21027771" w14:textId="77777777">
        <w:trPr>
          <w:trHeight w:val="397"/>
          <w:tblHeader/>
        </w:trPr>
        <w:tc>
          <w:tcPr>
            <w:tcW w:w="2275" w:type="pct"/>
            <w:noWrap/>
            <w:vAlign w:val="center"/>
          </w:tcPr>
          <w:p w14:paraId="363A8BA2"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报告期</w:t>
            </w:r>
          </w:p>
        </w:tc>
        <w:tc>
          <w:tcPr>
            <w:tcW w:w="908" w:type="pct"/>
            <w:noWrap/>
            <w:vAlign w:val="center"/>
          </w:tcPr>
          <w:p w14:paraId="7F0B95DF"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w:t>
            </w:r>
          </w:p>
        </w:tc>
        <w:tc>
          <w:tcPr>
            <w:tcW w:w="908" w:type="pct"/>
            <w:noWrap/>
            <w:vAlign w:val="center"/>
          </w:tcPr>
          <w:p w14:paraId="7A818BE9"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w:t>
            </w:r>
          </w:p>
        </w:tc>
        <w:tc>
          <w:tcPr>
            <w:tcW w:w="909" w:type="pct"/>
            <w:noWrap/>
            <w:vAlign w:val="center"/>
          </w:tcPr>
          <w:p w14:paraId="56E16C3E"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2017</w:t>
            </w:r>
            <w:r>
              <w:rPr>
                <w:rFonts w:ascii="Times New Roman" w:hAnsi="Times New Roman" w:cs="Times New Roman" w:hint="eastAsia"/>
                <w:b/>
                <w:bCs/>
                <w:sz w:val="21"/>
                <w:szCs w:val="21"/>
              </w:rPr>
              <w:t>年</w:t>
            </w:r>
          </w:p>
        </w:tc>
      </w:tr>
      <w:tr w:rsidR="000A0ACD" w14:paraId="64F14537" w14:textId="77777777">
        <w:trPr>
          <w:trHeight w:val="397"/>
        </w:trPr>
        <w:tc>
          <w:tcPr>
            <w:tcW w:w="5000" w:type="pct"/>
            <w:gridSpan w:val="4"/>
            <w:noWrap/>
            <w:vAlign w:val="center"/>
          </w:tcPr>
          <w:p w14:paraId="76ACF99F"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b/>
                <w:bCs/>
                <w:sz w:val="21"/>
                <w:szCs w:val="21"/>
              </w:rPr>
              <w:t>盈利能力</w:t>
            </w:r>
          </w:p>
        </w:tc>
      </w:tr>
      <w:tr w:rsidR="000A0ACD" w14:paraId="33DE8B97" w14:textId="77777777">
        <w:trPr>
          <w:trHeight w:val="397"/>
        </w:trPr>
        <w:tc>
          <w:tcPr>
            <w:tcW w:w="2275" w:type="pct"/>
            <w:noWrap/>
            <w:vAlign w:val="center"/>
          </w:tcPr>
          <w:p w14:paraId="16F943F2"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净资产收益率年化（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73B0632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18.66</w:t>
            </w:r>
          </w:p>
        </w:tc>
        <w:tc>
          <w:tcPr>
            <w:tcW w:w="908" w:type="pct"/>
            <w:noWrap/>
            <w:vAlign w:val="center"/>
          </w:tcPr>
          <w:p w14:paraId="50D8602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19.72</w:t>
            </w:r>
          </w:p>
        </w:tc>
        <w:tc>
          <w:tcPr>
            <w:tcW w:w="909" w:type="pct"/>
            <w:noWrap/>
            <w:vAlign w:val="center"/>
          </w:tcPr>
          <w:p w14:paraId="17EE812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19.48</w:t>
            </w:r>
          </w:p>
        </w:tc>
      </w:tr>
      <w:tr w:rsidR="000A0ACD" w14:paraId="2670B757" w14:textId="77777777">
        <w:trPr>
          <w:trHeight w:val="397"/>
        </w:trPr>
        <w:tc>
          <w:tcPr>
            <w:tcW w:w="2275" w:type="pct"/>
            <w:noWrap/>
            <w:vAlign w:val="center"/>
          </w:tcPr>
          <w:p w14:paraId="7B9DFD70"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总资产报酬率年化（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7710ACD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17.31</w:t>
            </w:r>
          </w:p>
        </w:tc>
        <w:tc>
          <w:tcPr>
            <w:tcW w:w="908" w:type="pct"/>
            <w:noWrap/>
            <w:vAlign w:val="center"/>
          </w:tcPr>
          <w:p w14:paraId="55C4B22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17.90</w:t>
            </w:r>
          </w:p>
        </w:tc>
        <w:tc>
          <w:tcPr>
            <w:tcW w:w="909" w:type="pct"/>
            <w:noWrap/>
            <w:vAlign w:val="center"/>
          </w:tcPr>
          <w:p w14:paraId="75F3D64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19.46</w:t>
            </w:r>
          </w:p>
        </w:tc>
      </w:tr>
      <w:tr w:rsidR="000A0ACD" w14:paraId="01ED4F42" w14:textId="77777777">
        <w:trPr>
          <w:trHeight w:val="397"/>
        </w:trPr>
        <w:tc>
          <w:tcPr>
            <w:tcW w:w="2275" w:type="pct"/>
            <w:noWrap/>
            <w:vAlign w:val="center"/>
          </w:tcPr>
          <w:p w14:paraId="4D365228"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总资产净利率年化（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37FAA24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15.83</w:t>
            </w:r>
          </w:p>
        </w:tc>
        <w:tc>
          <w:tcPr>
            <w:tcW w:w="908" w:type="pct"/>
            <w:noWrap/>
            <w:vAlign w:val="center"/>
          </w:tcPr>
          <w:p w14:paraId="2531085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16.28</w:t>
            </w:r>
          </w:p>
        </w:tc>
        <w:tc>
          <w:tcPr>
            <w:tcW w:w="909" w:type="pct"/>
            <w:noWrap/>
            <w:vAlign w:val="center"/>
          </w:tcPr>
          <w:p w14:paraId="6518C29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16.42</w:t>
            </w:r>
          </w:p>
        </w:tc>
      </w:tr>
      <w:tr w:rsidR="000A0ACD" w14:paraId="27FF1F7E" w14:textId="77777777">
        <w:trPr>
          <w:trHeight w:val="397"/>
        </w:trPr>
        <w:tc>
          <w:tcPr>
            <w:tcW w:w="2275" w:type="pct"/>
            <w:noWrap/>
            <w:vAlign w:val="center"/>
          </w:tcPr>
          <w:p w14:paraId="08063FE4"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销售净利率（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72CDC80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37.70</w:t>
            </w:r>
          </w:p>
        </w:tc>
        <w:tc>
          <w:tcPr>
            <w:tcW w:w="908" w:type="pct"/>
            <w:noWrap/>
            <w:vAlign w:val="center"/>
          </w:tcPr>
          <w:p w14:paraId="5B806A5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36.33</w:t>
            </w:r>
          </w:p>
        </w:tc>
        <w:tc>
          <w:tcPr>
            <w:tcW w:w="909" w:type="pct"/>
            <w:noWrap/>
            <w:vAlign w:val="center"/>
          </w:tcPr>
          <w:p w14:paraId="687D3FA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36.38</w:t>
            </w:r>
          </w:p>
        </w:tc>
      </w:tr>
      <w:tr w:rsidR="000A0ACD" w14:paraId="0C628E59" w14:textId="77777777">
        <w:trPr>
          <w:trHeight w:val="397"/>
        </w:trPr>
        <w:tc>
          <w:tcPr>
            <w:tcW w:w="2275" w:type="pct"/>
            <w:noWrap/>
            <w:vAlign w:val="center"/>
          </w:tcPr>
          <w:p w14:paraId="0167DEFF"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销售毛利率（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08E2954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54.98</w:t>
            </w:r>
          </w:p>
        </w:tc>
        <w:tc>
          <w:tcPr>
            <w:tcW w:w="908" w:type="pct"/>
            <w:noWrap/>
            <w:vAlign w:val="center"/>
          </w:tcPr>
          <w:p w14:paraId="7785D14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55.03</w:t>
            </w:r>
          </w:p>
        </w:tc>
        <w:tc>
          <w:tcPr>
            <w:tcW w:w="909" w:type="pct"/>
            <w:noWrap/>
            <w:vAlign w:val="center"/>
          </w:tcPr>
          <w:p w14:paraId="63BAB29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58.15</w:t>
            </w:r>
          </w:p>
        </w:tc>
      </w:tr>
      <w:tr w:rsidR="000A0ACD" w14:paraId="3E9C0078" w14:textId="77777777">
        <w:trPr>
          <w:trHeight w:val="397"/>
        </w:trPr>
        <w:tc>
          <w:tcPr>
            <w:tcW w:w="5000" w:type="pct"/>
            <w:gridSpan w:val="4"/>
            <w:noWrap/>
            <w:vAlign w:val="center"/>
          </w:tcPr>
          <w:p w14:paraId="3BFB9BF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b/>
                <w:bCs/>
                <w:sz w:val="21"/>
                <w:szCs w:val="21"/>
              </w:rPr>
              <w:t>主营收入构成</w:t>
            </w:r>
          </w:p>
        </w:tc>
      </w:tr>
      <w:tr w:rsidR="000A0ACD" w14:paraId="721903E1" w14:textId="77777777">
        <w:trPr>
          <w:trHeight w:val="397"/>
        </w:trPr>
        <w:tc>
          <w:tcPr>
            <w:tcW w:w="2275" w:type="pct"/>
            <w:noWrap/>
            <w:vAlign w:val="center"/>
          </w:tcPr>
          <w:p w14:paraId="01CAC0FB"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营业收入</w:t>
            </w:r>
            <w:r>
              <w:rPr>
                <w:rFonts w:ascii="Times New Roman" w:hAnsi="Times New Roman" w:cs="Times New Roman" w:hint="eastAsia"/>
                <w:sz w:val="21"/>
                <w:szCs w:val="21"/>
              </w:rPr>
              <w:t>-</w:t>
            </w:r>
            <w:r>
              <w:rPr>
                <w:rFonts w:ascii="Times New Roman" w:hAnsi="Times New Roman" w:cs="Times New Roman" w:hint="eastAsia"/>
                <w:sz w:val="21"/>
                <w:szCs w:val="21"/>
              </w:rPr>
              <w:t>自动化智能装备（万元）</w:t>
            </w:r>
          </w:p>
        </w:tc>
        <w:tc>
          <w:tcPr>
            <w:tcW w:w="908" w:type="pct"/>
            <w:noWrap/>
            <w:vAlign w:val="center"/>
          </w:tcPr>
          <w:p w14:paraId="5A5A184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37,356.8</w:t>
            </w:r>
          </w:p>
        </w:tc>
        <w:tc>
          <w:tcPr>
            <w:tcW w:w="908" w:type="pct"/>
            <w:noWrap/>
            <w:vAlign w:val="center"/>
          </w:tcPr>
          <w:p w14:paraId="4D6327E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34,437.3</w:t>
            </w:r>
          </w:p>
        </w:tc>
        <w:tc>
          <w:tcPr>
            <w:tcW w:w="909" w:type="pct"/>
            <w:noWrap/>
            <w:vAlign w:val="center"/>
          </w:tcPr>
          <w:p w14:paraId="6FFDAE6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28,221.0</w:t>
            </w:r>
          </w:p>
        </w:tc>
      </w:tr>
      <w:tr w:rsidR="000A0ACD" w14:paraId="5951FD27" w14:textId="77777777">
        <w:trPr>
          <w:trHeight w:val="397"/>
        </w:trPr>
        <w:tc>
          <w:tcPr>
            <w:tcW w:w="2275" w:type="pct"/>
            <w:noWrap/>
            <w:vAlign w:val="center"/>
          </w:tcPr>
          <w:p w14:paraId="44B6B3D1"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毛利率</w:t>
            </w:r>
            <w:r>
              <w:rPr>
                <w:rFonts w:ascii="Times New Roman" w:hAnsi="Times New Roman" w:cs="Times New Roman" w:hint="eastAsia"/>
                <w:sz w:val="21"/>
                <w:szCs w:val="21"/>
              </w:rPr>
              <w:t>-</w:t>
            </w:r>
            <w:r>
              <w:rPr>
                <w:rFonts w:ascii="Times New Roman" w:hAnsi="Times New Roman" w:cs="Times New Roman" w:hint="eastAsia"/>
                <w:sz w:val="21"/>
                <w:szCs w:val="21"/>
              </w:rPr>
              <w:t>自动化智能装备（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301D341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53.10</w:t>
            </w:r>
          </w:p>
        </w:tc>
        <w:tc>
          <w:tcPr>
            <w:tcW w:w="908" w:type="pct"/>
            <w:noWrap/>
            <w:vAlign w:val="center"/>
          </w:tcPr>
          <w:p w14:paraId="6B65188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53.39</w:t>
            </w:r>
          </w:p>
        </w:tc>
        <w:tc>
          <w:tcPr>
            <w:tcW w:w="909" w:type="pct"/>
            <w:noWrap/>
            <w:vAlign w:val="center"/>
          </w:tcPr>
          <w:p w14:paraId="206B8EC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56.72</w:t>
            </w:r>
          </w:p>
        </w:tc>
      </w:tr>
      <w:tr w:rsidR="000A0ACD" w14:paraId="344F7CF5" w14:textId="77777777">
        <w:trPr>
          <w:trHeight w:val="397"/>
        </w:trPr>
        <w:tc>
          <w:tcPr>
            <w:tcW w:w="2275" w:type="pct"/>
            <w:noWrap/>
            <w:vAlign w:val="center"/>
          </w:tcPr>
          <w:p w14:paraId="3969A13A"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收入构成</w:t>
            </w:r>
            <w:r>
              <w:rPr>
                <w:rFonts w:ascii="Times New Roman" w:hAnsi="Times New Roman" w:cs="Times New Roman" w:hint="eastAsia"/>
                <w:sz w:val="21"/>
                <w:szCs w:val="21"/>
              </w:rPr>
              <w:t>-</w:t>
            </w:r>
            <w:r>
              <w:rPr>
                <w:rFonts w:ascii="Times New Roman" w:hAnsi="Times New Roman" w:cs="Times New Roman" w:hint="eastAsia"/>
                <w:sz w:val="21"/>
                <w:szCs w:val="21"/>
              </w:rPr>
              <w:t>自动化智能装备（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245B02A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81.06</w:t>
            </w:r>
          </w:p>
        </w:tc>
        <w:tc>
          <w:tcPr>
            <w:tcW w:w="908" w:type="pct"/>
            <w:noWrap/>
            <w:vAlign w:val="center"/>
          </w:tcPr>
          <w:p w14:paraId="5282105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79.64</w:t>
            </w:r>
          </w:p>
        </w:tc>
        <w:tc>
          <w:tcPr>
            <w:tcW w:w="909" w:type="pct"/>
            <w:noWrap/>
            <w:vAlign w:val="center"/>
          </w:tcPr>
          <w:p w14:paraId="62BAD37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77.99</w:t>
            </w:r>
          </w:p>
        </w:tc>
      </w:tr>
    </w:tbl>
    <w:p w14:paraId="68799F17" w14:textId="77777777" w:rsidR="000A0ACD" w:rsidRDefault="00362A99">
      <w:pPr>
        <w:jc w:val="both"/>
        <w:rPr>
          <w:rFonts w:ascii="Times New Roman" w:hAnsi="Times New Roman" w:cs="Times New Roman"/>
          <w:bCs/>
          <w:color w:val="000000"/>
          <w:sz w:val="21"/>
          <w:szCs w:val="21"/>
          <w:lang w:val="en-GB" w:bidi="ar"/>
        </w:rPr>
      </w:pPr>
      <w:r>
        <w:rPr>
          <w:rFonts w:ascii="Times New Roman" w:hAnsi="Times New Roman" w:cs="Times New Roman" w:hint="eastAsia"/>
          <w:bCs/>
          <w:color w:val="000000"/>
          <w:sz w:val="21"/>
          <w:szCs w:val="21"/>
          <w:lang w:val="en-GB"/>
        </w:rPr>
        <w:t>数据来源：同花顺</w:t>
      </w:r>
      <w:r>
        <w:rPr>
          <w:rFonts w:ascii="Times New Roman" w:hAnsi="Times New Roman" w:cs="Times New Roman"/>
          <w:bCs/>
          <w:color w:val="000000"/>
          <w:sz w:val="21"/>
          <w:szCs w:val="21"/>
          <w:lang w:val="en-GB"/>
        </w:rPr>
        <w:t>iFinD</w:t>
      </w:r>
    </w:p>
    <w:p w14:paraId="1CD91843"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）对比公司二：广东拓斯达科技股份有限公司</w:t>
      </w:r>
    </w:p>
    <w:p w14:paraId="4F849330"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证券代码：</w:t>
      </w:r>
      <w:r>
        <w:rPr>
          <w:rFonts w:ascii="Times New Roman" w:hAnsi="Times New Roman" w:cs="Times New Roman" w:hint="eastAsia"/>
        </w:rPr>
        <w:t>300607.SZ</w:t>
      </w:r>
    </w:p>
    <w:p w14:paraId="2C0F71E7"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证券简称：拓斯达</w:t>
      </w:r>
    </w:p>
    <w:p w14:paraId="6791801C"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上市日期：</w:t>
      </w:r>
      <w:r>
        <w:rPr>
          <w:rFonts w:ascii="Times New Roman" w:hAnsi="Times New Roman" w:cs="Times New Roman" w:hint="eastAsia"/>
        </w:rPr>
        <w:t>2017-02-09</w:t>
      </w:r>
    </w:p>
    <w:p w14:paraId="53ECA02A"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成立日期：</w:t>
      </w:r>
      <w:r>
        <w:rPr>
          <w:rFonts w:ascii="Times New Roman" w:hAnsi="Times New Roman" w:cs="Times New Roman" w:hint="eastAsia"/>
        </w:rPr>
        <w:t>2007-06-01</w:t>
      </w:r>
    </w:p>
    <w:p w14:paraId="37C95DF9"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注册资本：</w:t>
      </w:r>
      <w:r>
        <w:rPr>
          <w:rFonts w:ascii="Times New Roman" w:hAnsi="Times New Roman" w:cs="Times New Roman"/>
        </w:rPr>
        <w:t>26,616.8406</w:t>
      </w:r>
      <w:r>
        <w:rPr>
          <w:rFonts w:ascii="Times New Roman" w:hAnsi="Times New Roman" w:cs="Times New Roman" w:hint="eastAsia"/>
        </w:rPr>
        <w:t>万元</w:t>
      </w:r>
    </w:p>
    <w:p w14:paraId="4326F6D1"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注册地址：广东省东莞市大岭山镇大塘朗创新路</w:t>
      </w:r>
      <w:r>
        <w:rPr>
          <w:rFonts w:ascii="Times New Roman" w:hAnsi="Times New Roman" w:cs="Times New Roman" w:hint="eastAsia"/>
        </w:rPr>
        <w:t>2</w:t>
      </w:r>
      <w:r>
        <w:rPr>
          <w:rFonts w:ascii="Times New Roman" w:hAnsi="Times New Roman" w:cs="Times New Roman" w:hint="eastAsia"/>
        </w:rPr>
        <w:t>号</w:t>
      </w:r>
    </w:p>
    <w:p w14:paraId="48D79634"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公司简介：广东拓斯达科技股份有限公司的主要产品及服务包括工业机器人应用及成套装备、注塑自动化供料及水电气系统、辅机设备三大系列，广泛应用于</w:t>
      </w:r>
      <w:r>
        <w:rPr>
          <w:rFonts w:ascii="Times New Roman" w:hAnsi="Times New Roman" w:cs="Times New Roman" w:hint="eastAsia"/>
        </w:rPr>
        <w:t>3C</w:t>
      </w:r>
      <w:r>
        <w:rPr>
          <w:rFonts w:ascii="Times New Roman" w:hAnsi="Times New Roman" w:cs="Times New Roman" w:hint="eastAsia"/>
        </w:rPr>
        <w:t>产品、新能源、汽车零部件、精密电子、医疗器械等众多领域。公司获得恰佩克机器人峰会、高工金球奖、大湾区双创示范基地等各类围绕智能制造的业界荣誉。</w:t>
      </w:r>
    </w:p>
    <w:p w14:paraId="11AA2069"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营范围：工业机器人、机械手等智能装备、五金模具机械、自动化设备及自动供料、混合计量、除湿干燥、粉碎回收等塑胶机械设备、制冷设备等的研发、设计、产销；自动化控制系统软、硬件开发、销售；货物进出口、技术进出口；快速成型领域内的技术开发，打印设备、打印设备耗材等橡胶制品、塑料制品的研发、生产、加工与销售；从事机电安装工程，空气净化工程，管道工程，容器安装工程的设计，施工，咨询。从事无尘，无菌净化系统、设备及周边机电、仪控产品的生产组装（依法须经批准的项目，经相关部门批准后方可开展经营活动）。</w:t>
      </w:r>
    </w:p>
    <w:p w14:paraId="46AA159D"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主要产品名称：工业机器人（包括直角坐标机器人和多关节机器人）及自动化应用系统、注塑机配套设备及自动供料系统、智能能源及环境管理系统。</w:t>
      </w:r>
    </w:p>
    <w:p w14:paraId="060C0E17"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该公司近三年经营业务指标及主营业务占全部经营业务的比重及相关数据如下：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534"/>
        <w:gridCol w:w="1663"/>
        <w:gridCol w:w="1663"/>
        <w:gridCol w:w="1662"/>
      </w:tblGrid>
      <w:tr w:rsidR="000A0ACD" w14:paraId="0739AB14" w14:textId="77777777">
        <w:trPr>
          <w:trHeight w:val="397"/>
          <w:tblHeader/>
        </w:trPr>
        <w:tc>
          <w:tcPr>
            <w:tcW w:w="2073" w:type="pct"/>
            <w:shd w:val="clear" w:color="auto" w:fill="auto"/>
            <w:noWrap/>
            <w:vAlign w:val="center"/>
          </w:tcPr>
          <w:p w14:paraId="17854AF8"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报告期</w:t>
            </w:r>
          </w:p>
        </w:tc>
        <w:tc>
          <w:tcPr>
            <w:tcW w:w="976" w:type="pct"/>
            <w:shd w:val="clear" w:color="auto" w:fill="auto"/>
            <w:noWrap/>
            <w:vAlign w:val="center"/>
          </w:tcPr>
          <w:p w14:paraId="6F99D1ED"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w:t>
            </w:r>
          </w:p>
        </w:tc>
        <w:tc>
          <w:tcPr>
            <w:tcW w:w="976" w:type="pct"/>
            <w:shd w:val="clear" w:color="auto" w:fill="auto"/>
            <w:noWrap/>
            <w:vAlign w:val="center"/>
          </w:tcPr>
          <w:p w14:paraId="7B175606"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w:t>
            </w:r>
          </w:p>
        </w:tc>
        <w:tc>
          <w:tcPr>
            <w:tcW w:w="976" w:type="pct"/>
            <w:shd w:val="clear" w:color="auto" w:fill="auto"/>
            <w:noWrap/>
            <w:vAlign w:val="center"/>
          </w:tcPr>
          <w:p w14:paraId="494C17CB"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2017</w:t>
            </w:r>
            <w:r>
              <w:rPr>
                <w:rFonts w:ascii="Times New Roman" w:hAnsi="Times New Roman" w:cs="Times New Roman" w:hint="eastAsia"/>
                <w:b/>
                <w:bCs/>
                <w:sz w:val="21"/>
                <w:szCs w:val="21"/>
              </w:rPr>
              <w:t>年</w:t>
            </w:r>
          </w:p>
        </w:tc>
      </w:tr>
      <w:tr w:rsidR="000A0ACD" w14:paraId="1A0E4958" w14:textId="77777777">
        <w:trPr>
          <w:trHeight w:val="397"/>
        </w:trPr>
        <w:tc>
          <w:tcPr>
            <w:tcW w:w="5000" w:type="pct"/>
            <w:gridSpan w:val="4"/>
            <w:shd w:val="clear" w:color="auto" w:fill="auto"/>
            <w:noWrap/>
            <w:vAlign w:val="center"/>
          </w:tcPr>
          <w:p w14:paraId="4A64DA0F"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盈利能力</w:t>
            </w:r>
          </w:p>
        </w:tc>
      </w:tr>
      <w:tr w:rsidR="000A0ACD" w14:paraId="17CB34F3" w14:textId="77777777">
        <w:trPr>
          <w:trHeight w:val="397"/>
        </w:trPr>
        <w:tc>
          <w:tcPr>
            <w:tcW w:w="2073" w:type="pct"/>
            <w:shd w:val="clear" w:color="auto" w:fill="auto"/>
            <w:noWrap/>
            <w:vAlign w:val="center"/>
          </w:tcPr>
          <w:p w14:paraId="31206AEB"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净资产收益率年化（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43B28AD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14.44</w:t>
            </w:r>
          </w:p>
        </w:tc>
        <w:tc>
          <w:tcPr>
            <w:tcW w:w="976" w:type="pct"/>
            <w:shd w:val="clear" w:color="auto" w:fill="auto"/>
            <w:noWrap/>
            <w:vAlign w:val="center"/>
          </w:tcPr>
          <w:p w14:paraId="33845EC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20.50</w:t>
            </w:r>
          </w:p>
        </w:tc>
        <w:tc>
          <w:tcPr>
            <w:tcW w:w="976" w:type="pct"/>
            <w:shd w:val="clear" w:color="auto" w:fill="auto"/>
            <w:noWrap/>
            <w:vAlign w:val="center"/>
          </w:tcPr>
          <w:p w14:paraId="7834AC8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25.05</w:t>
            </w:r>
          </w:p>
        </w:tc>
      </w:tr>
      <w:tr w:rsidR="000A0ACD" w14:paraId="3CB06007" w14:textId="77777777">
        <w:trPr>
          <w:trHeight w:val="397"/>
        </w:trPr>
        <w:tc>
          <w:tcPr>
            <w:tcW w:w="2073" w:type="pct"/>
            <w:shd w:val="clear" w:color="auto" w:fill="auto"/>
            <w:noWrap/>
            <w:vAlign w:val="center"/>
          </w:tcPr>
          <w:p w14:paraId="69BAFE74"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总资产报酬率年化（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45C0A07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10.60</w:t>
            </w:r>
          </w:p>
        </w:tc>
        <w:tc>
          <w:tcPr>
            <w:tcW w:w="976" w:type="pct"/>
            <w:shd w:val="clear" w:color="auto" w:fill="auto"/>
            <w:noWrap/>
            <w:vAlign w:val="center"/>
          </w:tcPr>
          <w:p w14:paraId="09D9373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14.19</w:t>
            </w:r>
          </w:p>
        </w:tc>
        <w:tc>
          <w:tcPr>
            <w:tcW w:w="976" w:type="pct"/>
            <w:shd w:val="clear" w:color="auto" w:fill="auto"/>
            <w:noWrap/>
            <w:vAlign w:val="center"/>
          </w:tcPr>
          <w:p w14:paraId="6D28437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17.83</w:t>
            </w:r>
          </w:p>
        </w:tc>
      </w:tr>
      <w:tr w:rsidR="000A0ACD" w14:paraId="11605A3D" w14:textId="77777777">
        <w:trPr>
          <w:trHeight w:val="397"/>
        </w:trPr>
        <w:tc>
          <w:tcPr>
            <w:tcW w:w="2073" w:type="pct"/>
            <w:shd w:val="clear" w:color="auto" w:fill="auto"/>
            <w:noWrap/>
            <w:vAlign w:val="center"/>
          </w:tcPr>
          <w:p w14:paraId="5560D0DF"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总资产净利率年化（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7E39DD2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8.59</w:t>
            </w:r>
          </w:p>
        </w:tc>
        <w:tc>
          <w:tcPr>
            <w:tcW w:w="976" w:type="pct"/>
            <w:shd w:val="clear" w:color="auto" w:fill="auto"/>
            <w:noWrap/>
            <w:vAlign w:val="center"/>
          </w:tcPr>
          <w:p w14:paraId="0CE6928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11.87</w:t>
            </w:r>
          </w:p>
        </w:tc>
        <w:tc>
          <w:tcPr>
            <w:tcW w:w="976" w:type="pct"/>
            <w:shd w:val="clear" w:color="auto" w:fill="auto"/>
            <w:noWrap/>
            <w:vAlign w:val="center"/>
          </w:tcPr>
          <w:p w14:paraId="048F87F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15.80</w:t>
            </w:r>
          </w:p>
        </w:tc>
      </w:tr>
      <w:tr w:rsidR="000A0ACD" w14:paraId="0D27F53E" w14:textId="77777777">
        <w:trPr>
          <w:trHeight w:val="397"/>
        </w:trPr>
        <w:tc>
          <w:tcPr>
            <w:tcW w:w="2073" w:type="pct"/>
            <w:shd w:val="clear" w:color="auto" w:fill="auto"/>
            <w:noWrap/>
            <w:vAlign w:val="center"/>
          </w:tcPr>
          <w:p w14:paraId="38729686"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销售净利率（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1F056DA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11.33</w:t>
            </w:r>
          </w:p>
        </w:tc>
        <w:tc>
          <w:tcPr>
            <w:tcW w:w="976" w:type="pct"/>
            <w:shd w:val="clear" w:color="auto" w:fill="auto"/>
            <w:noWrap/>
            <w:vAlign w:val="center"/>
          </w:tcPr>
          <w:p w14:paraId="2E4C1A0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14.22</w:t>
            </w:r>
          </w:p>
        </w:tc>
        <w:tc>
          <w:tcPr>
            <w:tcW w:w="976" w:type="pct"/>
            <w:shd w:val="clear" w:color="auto" w:fill="auto"/>
            <w:noWrap/>
            <w:vAlign w:val="center"/>
          </w:tcPr>
          <w:p w14:paraId="389026A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17.97</w:t>
            </w:r>
          </w:p>
        </w:tc>
      </w:tr>
      <w:tr w:rsidR="000A0ACD" w14:paraId="46B2B309" w14:textId="77777777">
        <w:trPr>
          <w:trHeight w:val="397"/>
        </w:trPr>
        <w:tc>
          <w:tcPr>
            <w:tcW w:w="2073" w:type="pct"/>
            <w:shd w:val="clear" w:color="auto" w:fill="auto"/>
            <w:noWrap/>
            <w:vAlign w:val="center"/>
          </w:tcPr>
          <w:p w14:paraId="50F808D0"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销售毛利率（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567703B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34.04</w:t>
            </w:r>
          </w:p>
        </w:tc>
        <w:tc>
          <w:tcPr>
            <w:tcW w:w="976" w:type="pct"/>
            <w:shd w:val="clear" w:color="auto" w:fill="auto"/>
            <w:noWrap/>
            <w:vAlign w:val="center"/>
          </w:tcPr>
          <w:p w14:paraId="2ED6F38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36.11</w:t>
            </w:r>
          </w:p>
        </w:tc>
        <w:tc>
          <w:tcPr>
            <w:tcW w:w="976" w:type="pct"/>
            <w:shd w:val="clear" w:color="auto" w:fill="auto"/>
            <w:noWrap/>
            <w:vAlign w:val="center"/>
          </w:tcPr>
          <w:p w14:paraId="074A412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36.78</w:t>
            </w:r>
          </w:p>
        </w:tc>
      </w:tr>
      <w:tr w:rsidR="000A0ACD" w14:paraId="09D9437C" w14:textId="77777777">
        <w:trPr>
          <w:trHeight w:val="397"/>
        </w:trPr>
        <w:tc>
          <w:tcPr>
            <w:tcW w:w="5000" w:type="pct"/>
            <w:gridSpan w:val="4"/>
            <w:shd w:val="clear" w:color="auto" w:fill="auto"/>
            <w:noWrap/>
            <w:vAlign w:val="center"/>
          </w:tcPr>
          <w:p w14:paraId="508B44BF"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主营收入构成</w:t>
            </w:r>
          </w:p>
        </w:tc>
      </w:tr>
      <w:tr w:rsidR="000A0ACD" w14:paraId="4B3DDEB2" w14:textId="77777777">
        <w:trPr>
          <w:trHeight w:val="397"/>
        </w:trPr>
        <w:tc>
          <w:tcPr>
            <w:tcW w:w="2073" w:type="pct"/>
            <w:shd w:val="clear" w:color="auto" w:fill="auto"/>
            <w:noWrap/>
            <w:vAlign w:val="center"/>
          </w:tcPr>
          <w:p w14:paraId="6EFE9554"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营业收入</w:t>
            </w:r>
            <w:r>
              <w:rPr>
                <w:rFonts w:ascii="Times New Roman" w:hAnsi="Times New Roman" w:cs="Times New Roman" w:hint="eastAsia"/>
                <w:sz w:val="21"/>
                <w:szCs w:val="21"/>
              </w:rPr>
              <w:t>-</w:t>
            </w:r>
            <w:r>
              <w:rPr>
                <w:rFonts w:ascii="Times New Roman" w:hAnsi="Times New Roman" w:cs="Times New Roman" w:hint="eastAsia"/>
                <w:sz w:val="21"/>
                <w:szCs w:val="21"/>
              </w:rPr>
              <w:t>工业自动化制造（万元）</w:t>
            </w:r>
          </w:p>
        </w:tc>
        <w:tc>
          <w:tcPr>
            <w:tcW w:w="976" w:type="pct"/>
            <w:shd w:val="clear" w:color="auto" w:fill="auto"/>
            <w:noWrap/>
            <w:vAlign w:val="center"/>
          </w:tcPr>
          <w:p w14:paraId="37B3BAF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162,141.46</w:t>
            </w:r>
          </w:p>
        </w:tc>
        <w:tc>
          <w:tcPr>
            <w:tcW w:w="976" w:type="pct"/>
            <w:shd w:val="clear" w:color="auto" w:fill="auto"/>
            <w:noWrap/>
            <w:vAlign w:val="center"/>
          </w:tcPr>
          <w:p w14:paraId="05177A1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117,019.73</w:t>
            </w:r>
          </w:p>
        </w:tc>
        <w:tc>
          <w:tcPr>
            <w:tcW w:w="976" w:type="pct"/>
            <w:shd w:val="clear" w:color="auto" w:fill="auto"/>
            <w:noWrap/>
            <w:vAlign w:val="center"/>
          </w:tcPr>
          <w:p w14:paraId="70B42D6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74,534.15</w:t>
            </w:r>
          </w:p>
        </w:tc>
      </w:tr>
      <w:tr w:rsidR="000A0ACD" w14:paraId="746759A9" w14:textId="77777777">
        <w:trPr>
          <w:trHeight w:val="397"/>
        </w:trPr>
        <w:tc>
          <w:tcPr>
            <w:tcW w:w="2073" w:type="pct"/>
            <w:shd w:val="clear" w:color="auto" w:fill="auto"/>
            <w:noWrap/>
            <w:vAlign w:val="center"/>
          </w:tcPr>
          <w:p w14:paraId="1F952144"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毛利率</w:t>
            </w:r>
            <w:r>
              <w:rPr>
                <w:rFonts w:ascii="Times New Roman" w:hAnsi="Times New Roman" w:cs="Times New Roman" w:hint="eastAsia"/>
                <w:sz w:val="21"/>
                <w:szCs w:val="21"/>
              </w:rPr>
              <w:t>-</w:t>
            </w:r>
            <w:r>
              <w:rPr>
                <w:rFonts w:ascii="Times New Roman" w:hAnsi="Times New Roman" w:cs="Times New Roman" w:hint="eastAsia"/>
                <w:sz w:val="21"/>
                <w:szCs w:val="21"/>
              </w:rPr>
              <w:t>工业自动化制（</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3729F5E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33.9</w:t>
            </w:r>
          </w:p>
        </w:tc>
        <w:tc>
          <w:tcPr>
            <w:tcW w:w="976" w:type="pct"/>
            <w:shd w:val="clear" w:color="auto" w:fill="auto"/>
            <w:noWrap/>
            <w:vAlign w:val="center"/>
          </w:tcPr>
          <w:p w14:paraId="5FCCAF8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35.6</w:t>
            </w:r>
          </w:p>
        </w:tc>
        <w:tc>
          <w:tcPr>
            <w:tcW w:w="976" w:type="pct"/>
            <w:shd w:val="clear" w:color="auto" w:fill="auto"/>
            <w:noWrap/>
            <w:vAlign w:val="center"/>
          </w:tcPr>
          <w:p w14:paraId="4A77E3B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38.5</w:t>
            </w:r>
          </w:p>
        </w:tc>
      </w:tr>
      <w:tr w:rsidR="000A0ACD" w14:paraId="2CE2D85B" w14:textId="77777777">
        <w:trPr>
          <w:trHeight w:val="397"/>
        </w:trPr>
        <w:tc>
          <w:tcPr>
            <w:tcW w:w="2073" w:type="pct"/>
            <w:shd w:val="clear" w:color="auto" w:fill="auto"/>
            <w:noWrap/>
            <w:vAlign w:val="center"/>
          </w:tcPr>
          <w:p w14:paraId="3BE7B077"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收入构成</w:t>
            </w:r>
            <w:r>
              <w:rPr>
                <w:rFonts w:ascii="Times New Roman" w:hAnsi="Times New Roman" w:cs="Times New Roman" w:hint="eastAsia"/>
                <w:sz w:val="21"/>
                <w:szCs w:val="21"/>
              </w:rPr>
              <w:t>-</w:t>
            </w:r>
            <w:r>
              <w:rPr>
                <w:rFonts w:ascii="Times New Roman" w:hAnsi="Times New Roman" w:cs="Times New Roman" w:hint="eastAsia"/>
                <w:sz w:val="21"/>
                <w:szCs w:val="21"/>
              </w:rPr>
              <w:t>工业自动化制（</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426999A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97.65</w:t>
            </w:r>
          </w:p>
        </w:tc>
        <w:tc>
          <w:tcPr>
            <w:tcW w:w="976" w:type="pct"/>
            <w:shd w:val="clear" w:color="auto" w:fill="auto"/>
            <w:noWrap/>
            <w:vAlign w:val="center"/>
          </w:tcPr>
          <w:p w14:paraId="6839508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97.67</w:t>
            </w:r>
          </w:p>
        </w:tc>
        <w:tc>
          <w:tcPr>
            <w:tcW w:w="976" w:type="pct"/>
            <w:shd w:val="clear" w:color="auto" w:fill="auto"/>
            <w:noWrap/>
            <w:vAlign w:val="center"/>
          </w:tcPr>
          <w:p w14:paraId="79D2F3E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97.50</w:t>
            </w:r>
          </w:p>
        </w:tc>
      </w:tr>
    </w:tbl>
    <w:p w14:paraId="1592D7D4"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数据来源：同花顺</w:t>
      </w:r>
      <w:r>
        <w:rPr>
          <w:rFonts w:ascii="Times New Roman" w:hAnsi="Times New Roman" w:cs="Times New Roman"/>
          <w:bCs/>
          <w:color w:val="000000"/>
          <w:sz w:val="21"/>
          <w:szCs w:val="21"/>
          <w:lang w:val="en-GB"/>
        </w:rPr>
        <w:t>iFinD</w:t>
      </w:r>
    </w:p>
    <w:p w14:paraId="3D6E9F68"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）对比公司三：杭州永创智能设备股份有限公司</w:t>
      </w:r>
    </w:p>
    <w:p w14:paraId="57E625E2"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证券代码：</w:t>
      </w:r>
      <w:r>
        <w:rPr>
          <w:rFonts w:ascii="Times New Roman" w:hAnsi="Times New Roman" w:cs="Times New Roman" w:hint="eastAsia"/>
        </w:rPr>
        <w:t>603901.SH</w:t>
      </w:r>
    </w:p>
    <w:p w14:paraId="3348256C"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证券简称：永创智能</w:t>
      </w:r>
    </w:p>
    <w:p w14:paraId="71D05D4C"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上市日期：</w:t>
      </w:r>
      <w:r>
        <w:rPr>
          <w:rFonts w:ascii="Times New Roman" w:hAnsi="Times New Roman" w:cs="Times New Roman" w:hint="eastAsia"/>
        </w:rPr>
        <w:t>2015-05-29</w:t>
      </w:r>
    </w:p>
    <w:p w14:paraId="61982E3C"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成立日期：</w:t>
      </w:r>
      <w:r>
        <w:rPr>
          <w:rFonts w:ascii="Times New Roman" w:hAnsi="Times New Roman" w:cs="Times New Roman" w:hint="eastAsia"/>
        </w:rPr>
        <w:t>2002-11-07</w:t>
      </w:r>
    </w:p>
    <w:p w14:paraId="263296EE"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注册资本：</w:t>
      </w:r>
      <w:r>
        <w:rPr>
          <w:rFonts w:ascii="Times New Roman" w:hAnsi="Times New Roman" w:cs="Times New Roman" w:hint="eastAsia"/>
        </w:rPr>
        <w:t>43,938.9506</w:t>
      </w:r>
      <w:r>
        <w:rPr>
          <w:rFonts w:ascii="Times New Roman" w:hAnsi="Times New Roman" w:cs="Times New Roman" w:hint="eastAsia"/>
        </w:rPr>
        <w:t>万元</w:t>
      </w:r>
    </w:p>
    <w:p w14:paraId="7DD4E7D9"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注册地址：浙江省杭州市西湖区三墩镇西园九路</w:t>
      </w:r>
      <w:r>
        <w:rPr>
          <w:rFonts w:ascii="Times New Roman" w:hAnsi="Times New Roman" w:cs="Times New Roman" w:hint="eastAsia"/>
        </w:rPr>
        <w:t>1</w:t>
      </w:r>
      <w:r>
        <w:rPr>
          <w:rFonts w:ascii="Times New Roman" w:hAnsi="Times New Roman" w:cs="Times New Roman" w:hint="eastAsia"/>
        </w:rPr>
        <w:t>号</w:t>
      </w:r>
    </w:p>
    <w:p w14:paraId="6BCF634B"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公司简介：杭州永创智能设备股份有限公司一直从事包装设备及配套包装材料的研发设计、生产制造、安装调试与技术服务</w:t>
      </w:r>
      <w:r>
        <w:rPr>
          <w:rFonts w:ascii="Times New Roman" w:hAnsi="Times New Roman" w:cs="Times New Roman" w:hint="eastAsia"/>
        </w:rPr>
        <w:t>,</w:t>
      </w:r>
      <w:r>
        <w:rPr>
          <w:rFonts w:ascii="Times New Roman" w:hAnsi="Times New Roman" w:cs="Times New Roman" w:hint="eastAsia"/>
        </w:rPr>
        <w:t>以技术为依托为客户提供包装设备解决方案。公司包装设备、软件及配套包装材料主要应用于液态食品、固态食品、医药、化工、家用电器、造币印钞、仓储物流、建筑材料、造纸印刷、图书出版等众多领域。为国家火炬计划重点高新技术企业</w:t>
      </w:r>
      <w:r>
        <w:rPr>
          <w:rFonts w:ascii="Times New Roman" w:hAnsi="Times New Roman" w:cs="Times New Roman" w:hint="eastAsia"/>
        </w:rPr>
        <w:t>,</w:t>
      </w:r>
      <w:r>
        <w:rPr>
          <w:rFonts w:ascii="Times New Roman" w:hAnsi="Times New Roman" w:cs="Times New Roman" w:hint="eastAsia"/>
        </w:rPr>
        <w:t>拥有机械系统设计、电气自动化控制设计等方面的大量专业人才</w:t>
      </w:r>
      <w:r>
        <w:rPr>
          <w:rFonts w:ascii="Times New Roman" w:hAnsi="Times New Roman" w:cs="Times New Roman" w:hint="eastAsia"/>
        </w:rPr>
        <w:t>,</w:t>
      </w:r>
      <w:r>
        <w:rPr>
          <w:rFonts w:ascii="Times New Roman" w:hAnsi="Times New Roman" w:cs="Times New Roman" w:hint="eastAsia"/>
        </w:rPr>
        <w:t>已形成覆盖智能单机、包装机器人、智能包装生产线、智慧工厂工业软件四大产品系列的专利体系</w:t>
      </w:r>
      <w:r>
        <w:rPr>
          <w:rFonts w:ascii="Times New Roman" w:hAnsi="Times New Roman" w:cs="Times New Roman" w:hint="eastAsia"/>
        </w:rPr>
        <w:t>,</w:t>
      </w:r>
      <w:r>
        <w:rPr>
          <w:rFonts w:ascii="Times New Roman" w:hAnsi="Times New Roman" w:cs="Times New Roman" w:hint="eastAsia"/>
        </w:rPr>
        <w:t>拥有的专利授权数量位居行业前列。</w:t>
      </w:r>
    </w:p>
    <w:p w14:paraId="0E213101"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营范围：包装机械及其零配件、工业机器人及其成套系统、精密仪器、非金属制品模具、包装材料的研发、设计、制造、加工，计算机软件、自动化信息系统的研发、设计、制作及工程承包、技术转让、技术咨询、技术服务，培训服务（不含办班培训），包装机械的维护、修理，本企业生产所需的废旧打包带、塑料颗粒的回收（限企业内经营，废旧金属除外），从事进出口业务。</w:t>
      </w:r>
    </w:p>
    <w:p w14:paraId="2A61B77A"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该公司近三年经营业务指标及主营业务占全部经营业务的比重及相关数据如下：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906"/>
        <w:gridCol w:w="1161"/>
        <w:gridCol w:w="1202"/>
        <w:gridCol w:w="1253"/>
      </w:tblGrid>
      <w:tr w:rsidR="000A0ACD" w14:paraId="198B9D92" w14:textId="77777777">
        <w:trPr>
          <w:trHeight w:val="397"/>
          <w:tblHeader/>
        </w:trPr>
        <w:tc>
          <w:tcPr>
            <w:tcW w:w="2808" w:type="pct"/>
            <w:shd w:val="clear" w:color="auto" w:fill="auto"/>
            <w:noWrap/>
            <w:vAlign w:val="center"/>
          </w:tcPr>
          <w:p w14:paraId="01C87B12"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报告期</w:t>
            </w:r>
          </w:p>
        </w:tc>
        <w:tc>
          <w:tcPr>
            <w:tcW w:w="567" w:type="pct"/>
            <w:shd w:val="clear" w:color="auto" w:fill="auto"/>
            <w:noWrap/>
            <w:vAlign w:val="center"/>
          </w:tcPr>
          <w:p w14:paraId="03261A6A"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w:t>
            </w:r>
          </w:p>
        </w:tc>
        <w:tc>
          <w:tcPr>
            <w:tcW w:w="798" w:type="pct"/>
            <w:shd w:val="clear" w:color="auto" w:fill="auto"/>
            <w:noWrap/>
            <w:vAlign w:val="center"/>
          </w:tcPr>
          <w:p w14:paraId="67D002D0"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w:t>
            </w:r>
          </w:p>
        </w:tc>
        <w:tc>
          <w:tcPr>
            <w:tcW w:w="827" w:type="pct"/>
            <w:shd w:val="clear" w:color="auto" w:fill="auto"/>
            <w:noWrap/>
            <w:vAlign w:val="center"/>
          </w:tcPr>
          <w:p w14:paraId="3208E024"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2017</w:t>
            </w:r>
            <w:r>
              <w:rPr>
                <w:rFonts w:ascii="Times New Roman" w:hAnsi="Times New Roman" w:cs="Times New Roman" w:hint="eastAsia"/>
                <w:b/>
                <w:bCs/>
                <w:sz w:val="21"/>
                <w:szCs w:val="21"/>
              </w:rPr>
              <w:t>年</w:t>
            </w:r>
          </w:p>
        </w:tc>
      </w:tr>
      <w:tr w:rsidR="000A0ACD" w14:paraId="6029605A" w14:textId="77777777">
        <w:trPr>
          <w:trHeight w:val="397"/>
        </w:trPr>
        <w:tc>
          <w:tcPr>
            <w:tcW w:w="5000" w:type="pct"/>
            <w:gridSpan w:val="4"/>
            <w:shd w:val="clear" w:color="auto" w:fill="auto"/>
            <w:noWrap/>
            <w:vAlign w:val="center"/>
          </w:tcPr>
          <w:p w14:paraId="1C28B160"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b/>
                <w:bCs/>
                <w:sz w:val="21"/>
                <w:szCs w:val="21"/>
              </w:rPr>
              <w:t>盈利能力</w:t>
            </w:r>
          </w:p>
        </w:tc>
      </w:tr>
      <w:tr w:rsidR="000A0ACD" w14:paraId="59D49311" w14:textId="77777777">
        <w:trPr>
          <w:trHeight w:val="397"/>
        </w:trPr>
        <w:tc>
          <w:tcPr>
            <w:tcW w:w="2808" w:type="pct"/>
            <w:shd w:val="clear" w:color="auto" w:fill="auto"/>
            <w:noWrap/>
            <w:vAlign w:val="center"/>
          </w:tcPr>
          <w:p w14:paraId="2E624A8B"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净资产收益率年化（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0BD274E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7.21</w:t>
            </w:r>
          </w:p>
        </w:tc>
        <w:tc>
          <w:tcPr>
            <w:tcW w:w="798" w:type="pct"/>
            <w:shd w:val="clear" w:color="auto" w:fill="auto"/>
            <w:noWrap/>
            <w:vAlign w:val="center"/>
          </w:tcPr>
          <w:p w14:paraId="23DBF44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6.63</w:t>
            </w:r>
          </w:p>
        </w:tc>
        <w:tc>
          <w:tcPr>
            <w:tcW w:w="827" w:type="pct"/>
            <w:shd w:val="clear" w:color="auto" w:fill="auto"/>
            <w:noWrap/>
            <w:vAlign w:val="center"/>
          </w:tcPr>
          <w:p w14:paraId="4835FA6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7.16</w:t>
            </w:r>
          </w:p>
        </w:tc>
      </w:tr>
      <w:tr w:rsidR="000A0ACD" w14:paraId="4A5590A8" w14:textId="77777777">
        <w:trPr>
          <w:trHeight w:val="397"/>
        </w:trPr>
        <w:tc>
          <w:tcPr>
            <w:tcW w:w="2808" w:type="pct"/>
            <w:shd w:val="clear" w:color="auto" w:fill="auto"/>
            <w:noWrap/>
            <w:vAlign w:val="center"/>
          </w:tcPr>
          <w:p w14:paraId="4B1AD5DB"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总资产报酬率年化（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5F8B14D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4.04</w:t>
            </w:r>
          </w:p>
        </w:tc>
        <w:tc>
          <w:tcPr>
            <w:tcW w:w="798" w:type="pct"/>
            <w:shd w:val="clear" w:color="auto" w:fill="auto"/>
            <w:noWrap/>
            <w:vAlign w:val="center"/>
          </w:tcPr>
          <w:p w14:paraId="75AC481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3.92</w:t>
            </w:r>
          </w:p>
        </w:tc>
        <w:tc>
          <w:tcPr>
            <w:tcW w:w="827" w:type="pct"/>
            <w:shd w:val="clear" w:color="auto" w:fill="auto"/>
            <w:noWrap/>
            <w:vAlign w:val="center"/>
          </w:tcPr>
          <w:p w14:paraId="6D57549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4.59</w:t>
            </w:r>
          </w:p>
        </w:tc>
      </w:tr>
      <w:tr w:rsidR="000A0ACD" w14:paraId="58D86CE8" w14:textId="77777777">
        <w:trPr>
          <w:trHeight w:val="397"/>
        </w:trPr>
        <w:tc>
          <w:tcPr>
            <w:tcW w:w="2808" w:type="pct"/>
            <w:shd w:val="clear" w:color="auto" w:fill="auto"/>
            <w:noWrap/>
            <w:vAlign w:val="center"/>
          </w:tcPr>
          <w:p w14:paraId="4F9B487C"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总资产净利率年化（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1338938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3.14</w:t>
            </w:r>
          </w:p>
        </w:tc>
        <w:tc>
          <w:tcPr>
            <w:tcW w:w="798" w:type="pct"/>
            <w:shd w:val="clear" w:color="auto" w:fill="auto"/>
            <w:noWrap/>
            <w:vAlign w:val="center"/>
          </w:tcPr>
          <w:p w14:paraId="7C7FF9F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2.74</w:t>
            </w:r>
          </w:p>
        </w:tc>
        <w:tc>
          <w:tcPr>
            <w:tcW w:w="827" w:type="pct"/>
            <w:shd w:val="clear" w:color="auto" w:fill="auto"/>
            <w:noWrap/>
            <w:vAlign w:val="center"/>
          </w:tcPr>
          <w:p w14:paraId="54A4FF0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3.20</w:t>
            </w:r>
          </w:p>
        </w:tc>
      </w:tr>
      <w:tr w:rsidR="000A0ACD" w14:paraId="70FA4494" w14:textId="77777777">
        <w:trPr>
          <w:trHeight w:val="397"/>
        </w:trPr>
        <w:tc>
          <w:tcPr>
            <w:tcW w:w="2808" w:type="pct"/>
            <w:shd w:val="clear" w:color="auto" w:fill="auto"/>
            <w:noWrap/>
            <w:vAlign w:val="center"/>
          </w:tcPr>
          <w:p w14:paraId="01D6F76C"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销售净利率（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2EDE965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5.42</w:t>
            </w:r>
          </w:p>
        </w:tc>
        <w:tc>
          <w:tcPr>
            <w:tcW w:w="798" w:type="pct"/>
            <w:shd w:val="clear" w:color="auto" w:fill="auto"/>
            <w:noWrap/>
            <w:vAlign w:val="center"/>
          </w:tcPr>
          <w:p w14:paraId="2C3B6D7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4.36</w:t>
            </w:r>
          </w:p>
        </w:tc>
        <w:tc>
          <w:tcPr>
            <w:tcW w:w="827" w:type="pct"/>
            <w:shd w:val="clear" w:color="auto" w:fill="auto"/>
            <w:noWrap/>
            <w:vAlign w:val="center"/>
          </w:tcPr>
          <w:p w14:paraId="7EE34C7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4.71</w:t>
            </w:r>
          </w:p>
        </w:tc>
      </w:tr>
      <w:tr w:rsidR="000A0ACD" w14:paraId="6BA322B0" w14:textId="77777777">
        <w:trPr>
          <w:trHeight w:val="397"/>
        </w:trPr>
        <w:tc>
          <w:tcPr>
            <w:tcW w:w="2808" w:type="pct"/>
            <w:shd w:val="clear" w:color="auto" w:fill="auto"/>
            <w:noWrap/>
            <w:vAlign w:val="center"/>
          </w:tcPr>
          <w:p w14:paraId="4C25D4A1"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销售毛利率（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625B0FD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29.23</w:t>
            </w:r>
          </w:p>
        </w:tc>
        <w:tc>
          <w:tcPr>
            <w:tcW w:w="798" w:type="pct"/>
            <w:shd w:val="clear" w:color="auto" w:fill="auto"/>
            <w:noWrap/>
            <w:vAlign w:val="center"/>
          </w:tcPr>
          <w:p w14:paraId="5A7C4FE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29.77</w:t>
            </w:r>
          </w:p>
        </w:tc>
        <w:tc>
          <w:tcPr>
            <w:tcW w:w="827" w:type="pct"/>
            <w:shd w:val="clear" w:color="auto" w:fill="auto"/>
            <w:noWrap/>
            <w:vAlign w:val="center"/>
          </w:tcPr>
          <w:p w14:paraId="6E130B3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28.88</w:t>
            </w:r>
          </w:p>
        </w:tc>
      </w:tr>
      <w:tr w:rsidR="000A0ACD" w14:paraId="1CF600B2" w14:textId="77777777">
        <w:trPr>
          <w:trHeight w:val="397"/>
        </w:trPr>
        <w:tc>
          <w:tcPr>
            <w:tcW w:w="5000" w:type="pct"/>
            <w:gridSpan w:val="4"/>
            <w:shd w:val="clear" w:color="auto" w:fill="auto"/>
            <w:noWrap/>
            <w:vAlign w:val="center"/>
          </w:tcPr>
          <w:p w14:paraId="6C7699C5"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b/>
                <w:bCs/>
                <w:sz w:val="21"/>
                <w:szCs w:val="21"/>
              </w:rPr>
              <w:t>主营收入构成</w:t>
            </w:r>
          </w:p>
        </w:tc>
      </w:tr>
      <w:tr w:rsidR="000A0ACD" w14:paraId="3B5F4D50" w14:textId="77777777">
        <w:trPr>
          <w:trHeight w:val="397"/>
        </w:trPr>
        <w:tc>
          <w:tcPr>
            <w:tcW w:w="2808" w:type="pct"/>
            <w:shd w:val="clear" w:color="auto" w:fill="auto"/>
            <w:noWrap/>
            <w:vAlign w:val="center"/>
          </w:tcPr>
          <w:p w14:paraId="24857652"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营业收入</w:t>
            </w:r>
            <w:r>
              <w:rPr>
                <w:rFonts w:ascii="Times New Roman" w:hAnsi="Times New Roman" w:cs="Times New Roman" w:hint="eastAsia"/>
                <w:sz w:val="21"/>
                <w:szCs w:val="21"/>
              </w:rPr>
              <w:t>-</w:t>
            </w:r>
            <w:r>
              <w:rPr>
                <w:rFonts w:ascii="Times New Roman" w:hAnsi="Times New Roman" w:cs="Times New Roman" w:hint="eastAsia"/>
                <w:sz w:val="21"/>
                <w:szCs w:val="21"/>
              </w:rPr>
              <w:t>智能包装生产线、码垛、封口等（万元）</w:t>
            </w:r>
          </w:p>
        </w:tc>
        <w:tc>
          <w:tcPr>
            <w:tcW w:w="567" w:type="pct"/>
            <w:shd w:val="clear" w:color="auto" w:fill="auto"/>
            <w:noWrap/>
            <w:vAlign w:val="center"/>
          </w:tcPr>
          <w:p w14:paraId="2F18F07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140,161.01</w:t>
            </w:r>
          </w:p>
        </w:tc>
        <w:tc>
          <w:tcPr>
            <w:tcW w:w="798" w:type="pct"/>
            <w:shd w:val="clear" w:color="auto" w:fill="auto"/>
            <w:noWrap/>
            <w:vAlign w:val="center"/>
          </w:tcPr>
          <w:p w14:paraId="6ACE0CC6"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22,249.73</w:t>
            </w:r>
          </w:p>
        </w:tc>
        <w:tc>
          <w:tcPr>
            <w:tcW w:w="827" w:type="pct"/>
            <w:shd w:val="clear" w:color="auto" w:fill="auto"/>
            <w:noWrap/>
            <w:vAlign w:val="center"/>
          </w:tcPr>
          <w:p w14:paraId="7DCCF85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103,745.55</w:t>
            </w:r>
          </w:p>
        </w:tc>
      </w:tr>
      <w:tr w:rsidR="000A0ACD" w14:paraId="71A4EA57" w14:textId="77777777">
        <w:trPr>
          <w:trHeight w:val="397"/>
        </w:trPr>
        <w:tc>
          <w:tcPr>
            <w:tcW w:w="2808" w:type="pct"/>
            <w:shd w:val="clear" w:color="auto" w:fill="auto"/>
            <w:noWrap/>
            <w:vAlign w:val="center"/>
          </w:tcPr>
          <w:p w14:paraId="5225C2B7"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毛利率</w:t>
            </w:r>
            <w:r>
              <w:rPr>
                <w:rFonts w:ascii="Times New Roman" w:hAnsi="Times New Roman" w:cs="Times New Roman" w:hint="eastAsia"/>
                <w:sz w:val="21"/>
                <w:szCs w:val="21"/>
              </w:rPr>
              <w:t>-</w:t>
            </w:r>
            <w:r>
              <w:rPr>
                <w:rFonts w:ascii="Times New Roman" w:hAnsi="Times New Roman" w:cs="Times New Roman" w:hint="eastAsia"/>
                <w:sz w:val="21"/>
                <w:szCs w:val="21"/>
              </w:rPr>
              <w:t>智能包装生产线、码垛、封口等（</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0DABB95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30.42</w:t>
            </w:r>
          </w:p>
        </w:tc>
        <w:tc>
          <w:tcPr>
            <w:tcW w:w="798" w:type="pct"/>
            <w:shd w:val="clear" w:color="auto" w:fill="auto"/>
            <w:noWrap/>
            <w:vAlign w:val="center"/>
          </w:tcPr>
          <w:p w14:paraId="0FF2877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31.36</w:t>
            </w:r>
          </w:p>
        </w:tc>
        <w:tc>
          <w:tcPr>
            <w:tcW w:w="827" w:type="pct"/>
            <w:shd w:val="clear" w:color="auto" w:fill="auto"/>
            <w:noWrap/>
            <w:vAlign w:val="center"/>
          </w:tcPr>
          <w:p w14:paraId="66449F6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30.98</w:t>
            </w:r>
          </w:p>
        </w:tc>
      </w:tr>
      <w:tr w:rsidR="000A0ACD" w14:paraId="68AF0D33" w14:textId="77777777">
        <w:trPr>
          <w:trHeight w:val="397"/>
        </w:trPr>
        <w:tc>
          <w:tcPr>
            <w:tcW w:w="2808" w:type="pct"/>
            <w:shd w:val="clear" w:color="auto" w:fill="auto"/>
            <w:noWrap/>
            <w:vAlign w:val="center"/>
          </w:tcPr>
          <w:p w14:paraId="5EBF1253"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收入构成</w:t>
            </w:r>
            <w:r>
              <w:rPr>
                <w:rFonts w:ascii="Times New Roman" w:hAnsi="Times New Roman" w:cs="Times New Roman" w:hint="eastAsia"/>
                <w:sz w:val="21"/>
                <w:szCs w:val="21"/>
              </w:rPr>
              <w:t>-</w:t>
            </w:r>
            <w:r>
              <w:rPr>
                <w:rFonts w:ascii="Times New Roman" w:hAnsi="Times New Roman" w:cs="Times New Roman" w:hint="eastAsia"/>
                <w:sz w:val="21"/>
                <w:szCs w:val="21"/>
              </w:rPr>
              <w:t>智能包装生产线、码垛、封口等（</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632EEAC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74.91</w:t>
            </w:r>
          </w:p>
        </w:tc>
        <w:tc>
          <w:tcPr>
            <w:tcW w:w="798" w:type="pct"/>
            <w:shd w:val="clear" w:color="auto" w:fill="auto"/>
            <w:noWrap/>
            <w:vAlign w:val="center"/>
          </w:tcPr>
          <w:p w14:paraId="19F161A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74.05</w:t>
            </w:r>
          </w:p>
        </w:tc>
        <w:tc>
          <w:tcPr>
            <w:tcW w:w="827" w:type="pct"/>
            <w:shd w:val="clear" w:color="auto" w:fill="auto"/>
            <w:noWrap/>
            <w:vAlign w:val="center"/>
          </w:tcPr>
          <w:p w14:paraId="5C3B441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75.36</w:t>
            </w:r>
          </w:p>
        </w:tc>
      </w:tr>
    </w:tbl>
    <w:p w14:paraId="1E9A533E" w14:textId="77777777" w:rsidR="000A0ACD" w:rsidRDefault="00362A99">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数据来源：同花顺</w:t>
      </w:r>
      <w:r>
        <w:rPr>
          <w:rFonts w:ascii="Times New Roman" w:hAnsi="Times New Roman" w:cs="Times New Roman"/>
          <w:bCs/>
          <w:color w:val="000000"/>
          <w:sz w:val="21"/>
          <w:szCs w:val="21"/>
          <w:lang w:val="en-GB"/>
        </w:rPr>
        <w:t>iFinD</w:t>
      </w:r>
    </w:p>
    <w:p w14:paraId="217832B7"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上述对比公司股票价格波动率与沪深</w:t>
      </w:r>
      <w:r>
        <w:rPr>
          <w:rFonts w:ascii="Times New Roman" w:hAnsi="Times New Roman" w:cs="Times New Roman" w:hint="eastAsia"/>
        </w:rPr>
        <w:t>300</w:t>
      </w:r>
      <w:r>
        <w:rPr>
          <w:rFonts w:ascii="Times New Roman" w:hAnsi="Times New Roman" w:cs="Times New Roman" w:hint="eastAsia"/>
        </w:rPr>
        <w:t>指数波动率</w:t>
      </w:r>
      <w:r>
        <w:rPr>
          <w:rFonts w:ascii="Times New Roman" w:hAnsi="Times New Roman" w:cs="Times New Roman" w:hint="eastAsia"/>
        </w:rPr>
        <w:t>t</w:t>
      </w:r>
      <w:r>
        <w:rPr>
          <w:rFonts w:ascii="Times New Roman" w:hAnsi="Times New Roman" w:cs="Times New Roman" w:hint="eastAsia"/>
        </w:rPr>
        <w:t>检验统计数据如下：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08"/>
        <w:gridCol w:w="1777"/>
        <w:gridCol w:w="1445"/>
        <w:gridCol w:w="1687"/>
        <w:gridCol w:w="1805"/>
      </w:tblGrid>
      <w:tr w:rsidR="000A0ACD" w14:paraId="43740183" w14:textId="77777777">
        <w:trPr>
          <w:trHeight w:val="397"/>
          <w:tblHeader/>
        </w:trPr>
        <w:tc>
          <w:tcPr>
            <w:tcW w:w="1060" w:type="pct"/>
            <w:shd w:val="clear" w:color="auto" w:fill="auto"/>
            <w:vAlign w:val="center"/>
          </w:tcPr>
          <w:p w14:paraId="1B3E4B02"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对比公司名称</w:t>
            </w:r>
          </w:p>
        </w:tc>
        <w:tc>
          <w:tcPr>
            <w:tcW w:w="1042" w:type="pct"/>
            <w:shd w:val="clear" w:color="auto" w:fill="auto"/>
            <w:vAlign w:val="center"/>
          </w:tcPr>
          <w:p w14:paraId="3FD04BDE"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股票代码</w:t>
            </w:r>
          </w:p>
        </w:tc>
        <w:tc>
          <w:tcPr>
            <w:tcW w:w="848" w:type="pct"/>
            <w:shd w:val="clear" w:color="auto" w:fill="auto"/>
            <w:vAlign w:val="center"/>
          </w:tcPr>
          <w:p w14:paraId="34FB49B5"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自由度</w:t>
            </w:r>
            <w:r>
              <w:rPr>
                <w:rFonts w:ascii="Times New Roman" w:hAnsi="Times New Roman" w:cs="Times New Roman" w:hint="eastAsia"/>
                <w:b/>
                <w:bCs/>
                <w:sz w:val="21"/>
                <w:szCs w:val="21"/>
              </w:rPr>
              <w:t>(n-2)</w:t>
            </w:r>
          </w:p>
        </w:tc>
        <w:tc>
          <w:tcPr>
            <w:tcW w:w="990" w:type="pct"/>
            <w:shd w:val="clear" w:color="auto" w:fill="auto"/>
            <w:vAlign w:val="center"/>
          </w:tcPr>
          <w:p w14:paraId="2747783A"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t</w:t>
            </w:r>
            <w:r>
              <w:rPr>
                <w:rFonts w:ascii="Times New Roman" w:hAnsi="Times New Roman" w:cs="Times New Roman" w:hint="eastAsia"/>
                <w:b/>
                <w:bCs/>
                <w:sz w:val="21"/>
                <w:szCs w:val="21"/>
              </w:rPr>
              <w:t>检验统计量</w:t>
            </w:r>
          </w:p>
        </w:tc>
        <w:tc>
          <w:tcPr>
            <w:tcW w:w="1059" w:type="pct"/>
            <w:shd w:val="clear" w:color="auto" w:fill="auto"/>
            <w:vAlign w:val="center"/>
          </w:tcPr>
          <w:p w14:paraId="7BDC09E1"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t</w:t>
            </w:r>
            <w:r>
              <w:rPr>
                <w:rFonts w:ascii="Times New Roman" w:hAnsi="Times New Roman" w:cs="Times New Roman" w:hint="eastAsia"/>
                <w:b/>
                <w:bCs/>
                <w:sz w:val="21"/>
                <w:szCs w:val="21"/>
              </w:rPr>
              <w:t>检验结论</w:t>
            </w:r>
          </w:p>
        </w:tc>
      </w:tr>
      <w:tr w:rsidR="000A0ACD" w14:paraId="48D15534" w14:textId="77777777">
        <w:trPr>
          <w:trHeight w:val="397"/>
        </w:trPr>
        <w:tc>
          <w:tcPr>
            <w:tcW w:w="1060" w:type="pct"/>
            <w:shd w:val="clear" w:color="auto" w:fill="auto"/>
            <w:vAlign w:val="center"/>
          </w:tcPr>
          <w:p w14:paraId="546AD355"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永创智能</w:t>
            </w:r>
          </w:p>
        </w:tc>
        <w:tc>
          <w:tcPr>
            <w:tcW w:w="1042" w:type="pct"/>
            <w:shd w:val="clear" w:color="auto" w:fill="auto"/>
            <w:vAlign w:val="center"/>
          </w:tcPr>
          <w:p w14:paraId="213A4E6E"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603901.SH</w:t>
            </w:r>
          </w:p>
        </w:tc>
        <w:tc>
          <w:tcPr>
            <w:tcW w:w="848" w:type="pct"/>
            <w:shd w:val="clear" w:color="auto" w:fill="auto"/>
            <w:vAlign w:val="center"/>
          </w:tcPr>
          <w:p w14:paraId="54DF90AD"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58</w:t>
            </w:r>
          </w:p>
        </w:tc>
        <w:tc>
          <w:tcPr>
            <w:tcW w:w="990" w:type="pct"/>
            <w:shd w:val="clear" w:color="auto" w:fill="auto"/>
            <w:vAlign w:val="center"/>
          </w:tcPr>
          <w:p w14:paraId="1FBE17F6"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3.51</w:t>
            </w:r>
          </w:p>
        </w:tc>
        <w:tc>
          <w:tcPr>
            <w:tcW w:w="1059" w:type="pct"/>
            <w:shd w:val="clear" w:color="auto" w:fill="auto"/>
            <w:vAlign w:val="center"/>
          </w:tcPr>
          <w:p w14:paraId="5AAA0D69"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通过</w:t>
            </w:r>
          </w:p>
        </w:tc>
      </w:tr>
      <w:tr w:rsidR="000A0ACD" w14:paraId="1916CBC1" w14:textId="77777777">
        <w:trPr>
          <w:trHeight w:val="397"/>
        </w:trPr>
        <w:tc>
          <w:tcPr>
            <w:tcW w:w="1060" w:type="pct"/>
            <w:shd w:val="clear" w:color="auto" w:fill="auto"/>
            <w:vAlign w:val="center"/>
          </w:tcPr>
          <w:p w14:paraId="21BE807D"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快克股份</w:t>
            </w:r>
          </w:p>
        </w:tc>
        <w:tc>
          <w:tcPr>
            <w:tcW w:w="1042" w:type="pct"/>
            <w:shd w:val="clear" w:color="auto" w:fill="auto"/>
            <w:vAlign w:val="center"/>
          </w:tcPr>
          <w:p w14:paraId="2453F1A9"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603203.</w:t>
            </w:r>
            <w:r>
              <w:rPr>
                <w:rFonts w:ascii="Times New Roman" w:hAnsi="Times New Roman" w:cs="Times New Roman" w:hint="eastAsia"/>
                <w:sz w:val="21"/>
                <w:szCs w:val="21"/>
              </w:rPr>
              <w:t>SH</w:t>
            </w:r>
          </w:p>
        </w:tc>
        <w:tc>
          <w:tcPr>
            <w:tcW w:w="848" w:type="pct"/>
            <w:shd w:val="clear" w:color="auto" w:fill="auto"/>
            <w:vAlign w:val="center"/>
          </w:tcPr>
          <w:p w14:paraId="436AA75A"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41</w:t>
            </w:r>
          </w:p>
        </w:tc>
        <w:tc>
          <w:tcPr>
            <w:tcW w:w="990" w:type="pct"/>
            <w:shd w:val="clear" w:color="auto" w:fill="auto"/>
            <w:vAlign w:val="center"/>
          </w:tcPr>
          <w:p w14:paraId="6DA3020E"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4.96</w:t>
            </w:r>
          </w:p>
        </w:tc>
        <w:tc>
          <w:tcPr>
            <w:tcW w:w="1059" w:type="pct"/>
            <w:shd w:val="clear" w:color="auto" w:fill="auto"/>
            <w:vAlign w:val="center"/>
          </w:tcPr>
          <w:p w14:paraId="2192D58A"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通过</w:t>
            </w:r>
          </w:p>
        </w:tc>
      </w:tr>
      <w:tr w:rsidR="000A0ACD" w14:paraId="301A5C53" w14:textId="77777777">
        <w:trPr>
          <w:trHeight w:val="397"/>
        </w:trPr>
        <w:tc>
          <w:tcPr>
            <w:tcW w:w="1060" w:type="pct"/>
            <w:shd w:val="clear" w:color="auto" w:fill="auto"/>
            <w:vAlign w:val="center"/>
          </w:tcPr>
          <w:p w14:paraId="1A935C92"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拓斯达</w:t>
            </w:r>
          </w:p>
        </w:tc>
        <w:tc>
          <w:tcPr>
            <w:tcW w:w="1042" w:type="pct"/>
            <w:shd w:val="clear" w:color="auto" w:fill="auto"/>
            <w:vAlign w:val="center"/>
          </w:tcPr>
          <w:p w14:paraId="2252FC05"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300607.SZ</w:t>
            </w:r>
          </w:p>
        </w:tc>
        <w:tc>
          <w:tcPr>
            <w:tcW w:w="848" w:type="pct"/>
            <w:shd w:val="clear" w:color="auto" w:fill="auto"/>
            <w:vAlign w:val="center"/>
          </w:tcPr>
          <w:p w14:paraId="649B2162"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38</w:t>
            </w:r>
          </w:p>
        </w:tc>
        <w:tc>
          <w:tcPr>
            <w:tcW w:w="990" w:type="pct"/>
            <w:shd w:val="clear" w:color="auto" w:fill="auto"/>
            <w:vAlign w:val="center"/>
          </w:tcPr>
          <w:p w14:paraId="2E5C9713" w14:textId="77777777" w:rsidR="000A0ACD" w:rsidRDefault="00362A99">
            <w:pPr>
              <w:jc w:val="center"/>
              <w:rPr>
                <w:rFonts w:ascii="Times New Roman" w:hAnsi="Times New Roman" w:cs="Times New Roman"/>
                <w:sz w:val="21"/>
                <w:szCs w:val="21"/>
              </w:rPr>
            </w:pPr>
            <w:r>
              <w:rPr>
                <w:rFonts w:ascii="Times New Roman" w:hAnsi="Times New Roman" w:cs="Times New Roman"/>
                <w:sz w:val="21"/>
                <w:szCs w:val="21"/>
              </w:rPr>
              <w:t>2.30</w:t>
            </w:r>
          </w:p>
        </w:tc>
        <w:tc>
          <w:tcPr>
            <w:tcW w:w="1059" w:type="pct"/>
            <w:shd w:val="clear" w:color="auto" w:fill="auto"/>
            <w:vAlign w:val="center"/>
          </w:tcPr>
          <w:p w14:paraId="311C9203"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通过</w:t>
            </w:r>
          </w:p>
        </w:tc>
      </w:tr>
    </w:tbl>
    <w:p w14:paraId="7E54B0D1" w14:textId="77777777" w:rsidR="000A0ACD" w:rsidRDefault="00362A99">
      <w:pPr>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w:t>
      </w:r>
      <w:r>
        <w:rPr>
          <w:rFonts w:ascii="Times New Roman" w:hAnsi="Times New Roman" w:cs="Times New Roman"/>
          <w:lang w:bidi="ar"/>
        </w:rPr>
        <w:t>2</w:t>
      </w:r>
      <w:r>
        <w:rPr>
          <w:rFonts w:ascii="Times New Roman" w:hAnsi="Times New Roman" w:cs="Times New Roman" w:hint="eastAsia"/>
          <w:lang w:bidi="ar"/>
        </w:rPr>
        <w:t>）加权资金成本的确定（</w:t>
      </w:r>
      <w:r>
        <w:rPr>
          <w:rFonts w:ascii="Times New Roman" w:hAnsi="Times New Roman" w:cs="Times New Roman"/>
          <w:lang w:bidi="ar"/>
        </w:rPr>
        <w:t>WACC</w:t>
      </w:r>
      <w:r>
        <w:rPr>
          <w:rFonts w:ascii="Times New Roman" w:hAnsi="Times New Roman" w:cs="Times New Roman" w:hint="eastAsia"/>
          <w:lang w:bidi="ar"/>
        </w:rPr>
        <w:t>）</w:t>
      </w:r>
      <w:bookmarkEnd w:id="138"/>
      <w:bookmarkEnd w:id="139"/>
    </w:p>
    <w:p w14:paraId="12104BDF"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WACC</w:t>
      </w:r>
      <w:r>
        <w:rPr>
          <w:rFonts w:ascii="Times New Roman" w:hAnsi="Times New Roman" w:cs="Times New Roman" w:hint="eastAsia"/>
        </w:rPr>
        <w:t>代表期望的总投资回报率。它是期望的股权回报率和所得税调整后的债权回报率的加权平均值。</w:t>
      </w:r>
    </w:p>
    <w:p w14:paraId="163B6CED"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在计算总投资回报率时，第一步需要计算，截至评估基准日，股权资金回报率和利用公开的市场数据计算债权资金回报率。第二步，计算加权平均股权回报率和债权回报率。</w:t>
      </w:r>
    </w:p>
    <w:p w14:paraId="00CE7B72" w14:textId="77777777" w:rsidR="000A0ACD" w:rsidRDefault="00362A99">
      <w:pPr>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1</w:t>
      </w:r>
      <w:r>
        <w:rPr>
          <w:rFonts w:ascii="Times New Roman" w:hAnsi="Times New Roman" w:cs="Times New Roman" w:hint="eastAsia"/>
          <w:lang w:bidi="ar"/>
        </w:rPr>
        <w:t>）股权回报率的确定</w:t>
      </w:r>
    </w:p>
    <w:p w14:paraId="0C627280"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为了确定股权回报率，评估机构利用资本定价模型（</w:t>
      </w:r>
      <w:r>
        <w:rPr>
          <w:rFonts w:ascii="Times New Roman" w:hAnsi="Times New Roman" w:cs="Times New Roman" w:hint="eastAsia"/>
        </w:rPr>
        <w:t>Capital</w:t>
      </w:r>
      <w:r>
        <w:rPr>
          <w:rFonts w:ascii="Times New Roman" w:hAnsi="Times New Roman" w:cs="Times New Roman"/>
        </w:rPr>
        <w:t xml:space="preserve"> Asset Pricing Model or </w:t>
      </w:r>
      <w:r>
        <w:rPr>
          <w:rFonts w:ascii="Times New Roman" w:hAnsi="Times New Roman" w:cs="Times New Roman" w:hint="eastAsia"/>
        </w:rPr>
        <w:t>“</w:t>
      </w:r>
      <w:r>
        <w:rPr>
          <w:rFonts w:ascii="Times New Roman" w:hAnsi="Times New Roman" w:cs="Times New Roman" w:hint="eastAsia"/>
        </w:rPr>
        <w:t>CAPM</w:t>
      </w:r>
      <w:r>
        <w:rPr>
          <w:rFonts w:ascii="Times New Roman" w:hAnsi="Times New Roman" w:cs="Times New Roman" w:hint="eastAsia"/>
        </w:rPr>
        <w:t>”）。</w:t>
      </w:r>
      <w:r>
        <w:rPr>
          <w:rFonts w:ascii="Times New Roman" w:hAnsi="Times New Roman" w:cs="Times New Roman" w:hint="eastAsia"/>
        </w:rPr>
        <w:t>CAPM</w:t>
      </w:r>
      <w:r>
        <w:rPr>
          <w:rFonts w:ascii="Times New Roman" w:hAnsi="Times New Roman" w:cs="Times New Roman" w:hint="eastAsia"/>
        </w:rPr>
        <w:t>是通常估算投资者收益要求并进而求取公司股权收益率的方法。它可以用下列公式表述：</w:t>
      </w:r>
    </w:p>
    <w:p w14:paraId="37CF40D0"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e</w:t>
      </w:r>
      <w:r>
        <w:rPr>
          <w:rFonts w:ascii="Times New Roman" w:hAnsi="Times New Roman" w:cs="Times New Roman" w:hint="eastAsia"/>
        </w:rPr>
        <w:t>＝</w:t>
      </w:r>
      <w:r>
        <w:rPr>
          <w:rFonts w:ascii="Times New Roman" w:hAnsi="Times New Roman" w:cs="Times New Roman" w:hint="eastAsia"/>
        </w:rPr>
        <w:t>R</w:t>
      </w:r>
      <w:r>
        <w:rPr>
          <w:rFonts w:ascii="Times New Roman" w:hAnsi="Times New Roman" w:cs="Times New Roman"/>
          <w:vertAlign w:val="subscript"/>
        </w:rPr>
        <w:t>f</w:t>
      </w:r>
      <w:r>
        <w:rPr>
          <w:rFonts w:ascii="Times New Roman" w:hAnsi="Times New Roman" w:cs="Times New Roman" w:hint="eastAsia"/>
        </w:rPr>
        <w:t>＋β×</w:t>
      </w:r>
      <w:r>
        <w:rPr>
          <w:rFonts w:ascii="Times New Roman" w:hAnsi="Times New Roman" w:cs="Times New Roman" w:hint="eastAsia"/>
        </w:rPr>
        <w:t>ERP</w:t>
      </w:r>
      <w:r>
        <w:rPr>
          <w:rFonts w:ascii="Times New Roman" w:hAnsi="Times New Roman" w:cs="Times New Roman" w:hint="eastAsia"/>
        </w:rPr>
        <w:t>＋</w:t>
      </w:r>
      <w:r>
        <w:rPr>
          <w:rFonts w:ascii="Times New Roman" w:hAnsi="Times New Roman" w:cs="Times New Roman" w:hint="eastAsia"/>
        </w:rPr>
        <w:t>R</w:t>
      </w:r>
      <w:r>
        <w:rPr>
          <w:rFonts w:ascii="Times New Roman" w:hAnsi="Times New Roman" w:cs="Times New Roman"/>
          <w:vertAlign w:val="subscript"/>
        </w:rPr>
        <w:t>s</w:t>
      </w:r>
    </w:p>
    <w:p w14:paraId="24F64644"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其中：</w:t>
      </w:r>
      <w:r>
        <w:rPr>
          <w:rFonts w:ascii="Times New Roman" w:hAnsi="Times New Roman" w:cs="Times New Roman" w:hint="eastAsia"/>
        </w:rPr>
        <w:t>R</w:t>
      </w:r>
      <w:r>
        <w:rPr>
          <w:rFonts w:ascii="Times New Roman" w:hAnsi="Times New Roman" w:cs="Times New Roman"/>
          <w:vertAlign w:val="subscript"/>
        </w:rPr>
        <w:t>e</w:t>
      </w:r>
      <w:r>
        <w:rPr>
          <w:rFonts w:ascii="Times New Roman" w:hAnsi="Times New Roman" w:cs="Times New Roman" w:hint="eastAsia"/>
        </w:rPr>
        <w:t>为股权回报率；</w:t>
      </w:r>
      <w:r>
        <w:rPr>
          <w:rFonts w:ascii="Times New Roman" w:hAnsi="Times New Roman" w:cs="Times New Roman" w:hint="eastAsia"/>
        </w:rPr>
        <w:t>R</w:t>
      </w:r>
      <w:r>
        <w:rPr>
          <w:rFonts w:ascii="Times New Roman" w:hAnsi="Times New Roman" w:cs="Times New Roman"/>
          <w:vertAlign w:val="subscript"/>
        </w:rPr>
        <w:t>f</w:t>
      </w:r>
      <w:r>
        <w:rPr>
          <w:rFonts w:ascii="Times New Roman" w:hAnsi="Times New Roman" w:cs="Times New Roman" w:hint="eastAsia"/>
        </w:rPr>
        <w:t>为无风险回报率；β为风险系数；</w:t>
      </w:r>
      <w:r>
        <w:rPr>
          <w:rFonts w:ascii="Times New Roman" w:hAnsi="Times New Roman" w:cs="Times New Roman" w:hint="eastAsia"/>
        </w:rPr>
        <w:t>ERP</w:t>
      </w:r>
      <w:r>
        <w:rPr>
          <w:rFonts w:ascii="Times New Roman" w:hAnsi="Times New Roman" w:cs="Times New Roman" w:hint="eastAsia"/>
        </w:rPr>
        <w:t>为市场风险超额回报率；</w:t>
      </w:r>
      <w:r>
        <w:rPr>
          <w:rFonts w:ascii="Times New Roman" w:hAnsi="Times New Roman" w:cs="Times New Roman" w:hint="eastAsia"/>
        </w:rPr>
        <w:t>R</w:t>
      </w:r>
      <w:r>
        <w:rPr>
          <w:rFonts w:ascii="Times New Roman" w:hAnsi="Times New Roman" w:cs="Times New Roman"/>
          <w:vertAlign w:val="subscript"/>
        </w:rPr>
        <w:t>s</w:t>
      </w:r>
      <w:r>
        <w:rPr>
          <w:rFonts w:ascii="Times New Roman" w:hAnsi="Times New Roman" w:cs="Times New Roman" w:hint="eastAsia"/>
        </w:rPr>
        <w:t>为公司特有风险超额回报率</w:t>
      </w:r>
    </w:p>
    <w:p w14:paraId="16F260A5" w14:textId="77777777" w:rsidR="000A0ACD" w:rsidRDefault="00362A99">
      <w:pPr>
        <w:spacing w:beforeLines="50" w:before="156" w:line="360" w:lineRule="auto"/>
        <w:ind w:firstLineChars="200" w:firstLine="480"/>
        <w:jc w:val="both"/>
        <w:rPr>
          <w:rFonts w:ascii="Times New Roman" w:hAnsi="Times New Roman" w:cs="Times New Roman"/>
        </w:rPr>
      </w:pPr>
      <w:r>
        <w:rPr>
          <w:rFonts w:hint="eastAsia"/>
        </w:rPr>
        <w:t>①</w:t>
      </w:r>
      <w:r>
        <w:rPr>
          <w:rFonts w:ascii="Times New Roman" w:hAnsi="Times New Roman" w:cs="Times New Roman" w:hint="eastAsia"/>
        </w:rPr>
        <w:t>确定无风险收益率</w:t>
      </w:r>
    </w:p>
    <w:p w14:paraId="6B72476C"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国债收益率通常被认为是无风险的，因为持有该债权到期不能兑付的风险很小，可以忽略不计。</w:t>
      </w:r>
    </w:p>
    <w:p w14:paraId="1A2ADDE4"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评估机构在沪、深两市选择从评估基准日到国债到期日剩余期限超过</w:t>
      </w:r>
      <w:r>
        <w:rPr>
          <w:rFonts w:ascii="Times New Roman" w:hAnsi="Times New Roman" w:cs="Times New Roman" w:hint="eastAsia"/>
        </w:rPr>
        <w:t>10</w:t>
      </w:r>
      <w:r>
        <w:rPr>
          <w:rFonts w:ascii="Times New Roman" w:hAnsi="Times New Roman" w:cs="Times New Roman" w:hint="eastAsia"/>
        </w:rPr>
        <w:t>年期的国债，并计算其到期收益率，选取所有国债到期收益率的平均值作为本次评估无风险收益率，详见具体如下：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3"/>
        <w:gridCol w:w="1689"/>
        <w:gridCol w:w="1367"/>
        <w:gridCol w:w="1943"/>
        <w:gridCol w:w="2850"/>
      </w:tblGrid>
      <w:tr w:rsidR="000A0ACD" w14:paraId="37D8FBE2" w14:textId="77777777">
        <w:trPr>
          <w:trHeight w:val="397"/>
          <w:tblHeader/>
        </w:trPr>
        <w:tc>
          <w:tcPr>
            <w:tcW w:w="395" w:type="pct"/>
            <w:noWrap/>
            <w:vAlign w:val="center"/>
          </w:tcPr>
          <w:p w14:paraId="798F3DC7"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序号</w:t>
            </w:r>
          </w:p>
        </w:tc>
        <w:tc>
          <w:tcPr>
            <w:tcW w:w="991" w:type="pct"/>
            <w:vAlign w:val="center"/>
          </w:tcPr>
          <w:p w14:paraId="07420637"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证券代码</w:t>
            </w:r>
          </w:p>
        </w:tc>
        <w:tc>
          <w:tcPr>
            <w:tcW w:w="802" w:type="pct"/>
            <w:vAlign w:val="center"/>
          </w:tcPr>
          <w:p w14:paraId="0AF51678"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证券名称</w:t>
            </w:r>
          </w:p>
        </w:tc>
        <w:tc>
          <w:tcPr>
            <w:tcW w:w="1140" w:type="pct"/>
            <w:vAlign w:val="center"/>
          </w:tcPr>
          <w:p w14:paraId="776BACB1"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剩余期限（年）</w:t>
            </w:r>
          </w:p>
          <w:p w14:paraId="78CCFDDB"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w:t>
            </w:r>
            <w:r>
              <w:rPr>
                <w:rFonts w:ascii="Times New Roman" w:hAnsi="Times New Roman" w:cs="Times New Roman"/>
                <w:b/>
                <w:bCs/>
                <w:color w:val="000000"/>
                <w:sz w:val="21"/>
                <w:szCs w:val="21"/>
              </w:rPr>
              <w:t>20200630</w:t>
            </w:r>
            <w:r>
              <w:rPr>
                <w:rFonts w:ascii="Times New Roman" w:hAnsi="Times New Roman" w:cs="Times New Roman" w:hint="eastAsia"/>
                <w:b/>
                <w:bCs/>
                <w:color w:val="000000"/>
                <w:sz w:val="21"/>
                <w:szCs w:val="21"/>
              </w:rPr>
              <w:t>）</w:t>
            </w:r>
          </w:p>
        </w:tc>
        <w:tc>
          <w:tcPr>
            <w:tcW w:w="1672" w:type="pct"/>
            <w:vAlign w:val="center"/>
          </w:tcPr>
          <w:p w14:paraId="6B33A8A0" w14:textId="77777777" w:rsidR="000A0ACD" w:rsidRDefault="00362A9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到期收益率（复利）（</w:t>
            </w:r>
            <w:r>
              <w:rPr>
                <w:rFonts w:ascii="Times New Roman" w:hAnsi="Times New Roman" w:cs="Times New Roman"/>
                <w:b/>
                <w:bCs/>
                <w:color w:val="000000"/>
                <w:sz w:val="21"/>
                <w:szCs w:val="21"/>
              </w:rPr>
              <w:t>20200630</w:t>
            </w:r>
            <w:r>
              <w:rPr>
                <w:rFonts w:ascii="Times New Roman" w:hAnsi="Times New Roman" w:cs="Times New Roman" w:hint="eastAsia"/>
                <w:b/>
                <w:bCs/>
                <w:color w:val="000000"/>
                <w:sz w:val="21"/>
                <w:szCs w:val="21"/>
              </w:rPr>
              <w:t>）（</w:t>
            </w:r>
            <w:r>
              <w:rPr>
                <w:rFonts w:ascii="Times New Roman" w:hAnsi="Times New Roman" w:cs="Times New Roman"/>
                <w:b/>
                <w:bCs/>
                <w:color w:val="000000"/>
                <w:sz w:val="21"/>
                <w:szCs w:val="21"/>
              </w:rPr>
              <w:t>%</w:t>
            </w:r>
            <w:r>
              <w:rPr>
                <w:rFonts w:ascii="Times New Roman" w:hAnsi="Times New Roman" w:cs="Times New Roman" w:hint="eastAsia"/>
                <w:b/>
                <w:bCs/>
                <w:color w:val="000000"/>
                <w:sz w:val="21"/>
                <w:szCs w:val="21"/>
              </w:rPr>
              <w:t>）</w:t>
            </w:r>
          </w:p>
        </w:tc>
      </w:tr>
      <w:tr w:rsidR="000A0ACD" w14:paraId="06FA3813" w14:textId="77777777">
        <w:trPr>
          <w:trHeight w:val="397"/>
        </w:trPr>
        <w:tc>
          <w:tcPr>
            <w:tcW w:w="395" w:type="pct"/>
            <w:noWrap/>
            <w:vAlign w:val="center"/>
          </w:tcPr>
          <w:p w14:paraId="1A43ED6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991" w:type="pct"/>
            <w:noWrap/>
            <w:vAlign w:val="center"/>
          </w:tcPr>
          <w:p w14:paraId="3AF6B21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010706.SH</w:t>
            </w:r>
          </w:p>
        </w:tc>
        <w:tc>
          <w:tcPr>
            <w:tcW w:w="802" w:type="pct"/>
            <w:noWrap/>
            <w:vAlign w:val="center"/>
          </w:tcPr>
          <w:p w14:paraId="251B5FB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06</w:t>
            </w:r>
          </w:p>
        </w:tc>
        <w:tc>
          <w:tcPr>
            <w:tcW w:w="1140" w:type="pct"/>
            <w:noWrap/>
            <w:vAlign w:val="center"/>
          </w:tcPr>
          <w:p w14:paraId="2632F7B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16.8795</w:t>
            </w:r>
          </w:p>
        </w:tc>
        <w:tc>
          <w:tcPr>
            <w:tcW w:w="1672" w:type="pct"/>
            <w:noWrap/>
            <w:vAlign w:val="center"/>
          </w:tcPr>
          <w:p w14:paraId="0C572A3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4.3138</w:t>
            </w:r>
          </w:p>
        </w:tc>
      </w:tr>
      <w:tr w:rsidR="000A0ACD" w14:paraId="6300D877" w14:textId="77777777">
        <w:trPr>
          <w:trHeight w:val="397"/>
        </w:trPr>
        <w:tc>
          <w:tcPr>
            <w:tcW w:w="395" w:type="pct"/>
            <w:noWrap/>
            <w:vAlign w:val="center"/>
          </w:tcPr>
          <w:p w14:paraId="4845F31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991" w:type="pct"/>
            <w:noWrap/>
            <w:vAlign w:val="center"/>
          </w:tcPr>
          <w:p w14:paraId="3E8A959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019003.SH</w:t>
            </w:r>
          </w:p>
        </w:tc>
        <w:tc>
          <w:tcPr>
            <w:tcW w:w="802" w:type="pct"/>
            <w:noWrap/>
            <w:vAlign w:val="center"/>
          </w:tcPr>
          <w:p w14:paraId="65988C9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03</w:t>
            </w:r>
          </w:p>
        </w:tc>
        <w:tc>
          <w:tcPr>
            <w:tcW w:w="1140" w:type="pct"/>
            <w:noWrap/>
            <w:vAlign w:val="center"/>
          </w:tcPr>
          <w:p w14:paraId="2856E13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19.6685</w:t>
            </w:r>
          </w:p>
        </w:tc>
        <w:tc>
          <w:tcPr>
            <w:tcW w:w="1672" w:type="pct"/>
            <w:noWrap/>
            <w:vAlign w:val="center"/>
          </w:tcPr>
          <w:p w14:paraId="280BAD3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4.1196</w:t>
            </w:r>
          </w:p>
        </w:tc>
      </w:tr>
      <w:tr w:rsidR="000A0ACD" w14:paraId="4E573A8E" w14:textId="77777777">
        <w:trPr>
          <w:trHeight w:val="397"/>
        </w:trPr>
        <w:tc>
          <w:tcPr>
            <w:tcW w:w="395" w:type="pct"/>
            <w:noWrap/>
            <w:vAlign w:val="center"/>
          </w:tcPr>
          <w:p w14:paraId="327D43F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991" w:type="pct"/>
            <w:noWrap/>
            <w:vAlign w:val="center"/>
          </w:tcPr>
          <w:p w14:paraId="0AA63D4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019014.SH</w:t>
            </w:r>
          </w:p>
        </w:tc>
        <w:tc>
          <w:tcPr>
            <w:tcW w:w="802" w:type="pct"/>
            <w:noWrap/>
            <w:vAlign w:val="center"/>
          </w:tcPr>
          <w:p w14:paraId="268A2DC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w:t>
            </w:r>
          </w:p>
        </w:tc>
        <w:tc>
          <w:tcPr>
            <w:tcW w:w="1140" w:type="pct"/>
            <w:noWrap/>
            <w:vAlign w:val="center"/>
          </w:tcPr>
          <w:p w14:paraId="1E0BFD3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39.8986</w:t>
            </w:r>
          </w:p>
        </w:tc>
        <w:tc>
          <w:tcPr>
            <w:tcW w:w="1672" w:type="pct"/>
            <w:noWrap/>
            <w:vAlign w:val="center"/>
          </w:tcPr>
          <w:p w14:paraId="4CFE2ED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4.0697</w:t>
            </w:r>
          </w:p>
        </w:tc>
      </w:tr>
      <w:tr w:rsidR="000A0ACD" w14:paraId="1F9FCB6C" w14:textId="77777777">
        <w:trPr>
          <w:trHeight w:val="397"/>
        </w:trPr>
        <w:tc>
          <w:tcPr>
            <w:tcW w:w="395" w:type="pct"/>
            <w:noWrap/>
            <w:vAlign w:val="center"/>
          </w:tcPr>
          <w:p w14:paraId="036E34A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991" w:type="pct"/>
            <w:noWrap/>
            <w:vAlign w:val="center"/>
          </w:tcPr>
          <w:p w14:paraId="35E5AC3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019018.SH</w:t>
            </w:r>
          </w:p>
        </w:tc>
        <w:tc>
          <w:tcPr>
            <w:tcW w:w="802" w:type="pct"/>
            <w:noWrap/>
            <w:vAlign w:val="center"/>
          </w:tcPr>
          <w:p w14:paraId="470C04B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w:t>
            </w:r>
          </w:p>
        </w:tc>
        <w:tc>
          <w:tcPr>
            <w:tcW w:w="1140" w:type="pct"/>
            <w:noWrap/>
            <w:vAlign w:val="center"/>
          </w:tcPr>
          <w:p w14:paraId="331D67F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19.9753</w:t>
            </w:r>
          </w:p>
        </w:tc>
        <w:tc>
          <w:tcPr>
            <w:tcW w:w="1672" w:type="pct"/>
            <w:noWrap/>
            <w:vAlign w:val="center"/>
          </w:tcPr>
          <w:p w14:paraId="0A2A9B9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4.0697</w:t>
            </w:r>
          </w:p>
        </w:tc>
      </w:tr>
      <w:tr w:rsidR="000A0ACD" w14:paraId="48CD855A" w14:textId="77777777">
        <w:trPr>
          <w:trHeight w:val="397"/>
        </w:trPr>
        <w:tc>
          <w:tcPr>
            <w:tcW w:w="395" w:type="pct"/>
            <w:noWrap/>
            <w:vAlign w:val="center"/>
          </w:tcPr>
          <w:p w14:paraId="504BA05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991" w:type="pct"/>
            <w:noWrap/>
            <w:vAlign w:val="center"/>
          </w:tcPr>
          <w:p w14:paraId="0053D71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019023.SH</w:t>
            </w:r>
          </w:p>
        </w:tc>
        <w:tc>
          <w:tcPr>
            <w:tcW w:w="802" w:type="pct"/>
            <w:noWrap/>
            <w:vAlign w:val="center"/>
          </w:tcPr>
          <w:p w14:paraId="2B7070B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23</w:t>
            </w:r>
          </w:p>
        </w:tc>
        <w:tc>
          <w:tcPr>
            <w:tcW w:w="1140" w:type="pct"/>
            <w:noWrap/>
            <w:vAlign w:val="center"/>
          </w:tcPr>
          <w:p w14:paraId="13A1F08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20.0792</w:t>
            </w:r>
          </w:p>
        </w:tc>
        <w:tc>
          <w:tcPr>
            <w:tcW w:w="1672" w:type="pct"/>
            <w:noWrap/>
            <w:vAlign w:val="center"/>
          </w:tcPr>
          <w:p w14:paraId="4694780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3.3362</w:t>
            </w:r>
          </w:p>
        </w:tc>
      </w:tr>
      <w:tr w:rsidR="000A0ACD" w14:paraId="244E3813" w14:textId="77777777">
        <w:trPr>
          <w:trHeight w:val="397"/>
        </w:trPr>
        <w:tc>
          <w:tcPr>
            <w:tcW w:w="395" w:type="pct"/>
            <w:noWrap/>
            <w:vAlign w:val="center"/>
          </w:tcPr>
          <w:p w14:paraId="0F819B4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991" w:type="pct"/>
            <w:noWrap/>
            <w:vAlign w:val="center"/>
          </w:tcPr>
          <w:p w14:paraId="7A2D99A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019026.SH</w:t>
            </w:r>
          </w:p>
        </w:tc>
        <w:tc>
          <w:tcPr>
            <w:tcW w:w="802" w:type="pct"/>
            <w:noWrap/>
            <w:vAlign w:val="center"/>
          </w:tcPr>
          <w:p w14:paraId="426C665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26</w:t>
            </w:r>
          </w:p>
        </w:tc>
        <w:tc>
          <w:tcPr>
            <w:tcW w:w="1140" w:type="pct"/>
            <w:noWrap/>
            <w:vAlign w:val="center"/>
          </w:tcPr>
          <w:p w14:paraId="53A0281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20.1284</w:t>
            </w:r>
          </w:p>
        </w:tc>
        <w:tc>
          <w:tcPr>
            <w:tcW w:w="1672" w:type="pct"/>
            <w:noWrap/>
            <w:vAlign w:val="center"/>
          </w:tcPr>
          <w:p w14:paraId="422F1BE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3.9992</w:t>
            </w:r>
          </w:p>
        </w:tc>
      </w:tr>
      <w:tr w:rsidR="000A0ACD" w14:paraId="6FDC72EA" w14:textId="77777777">
        <w:trPr>
          <w:trHeight w:val="397"/>
        </w:trPr>
        <w:tc>
          <w:tcPr>
            <w:tcW w:w="395" w:type="pct"/>
            <w:noWrap/>
            <w:vAlign w:val="center"/>
          </w:tcPr>
          <w:p w14:paraId="67C9EB7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991" w:type="pct"/>
            <w:noWrap/>
            <w:vAlign w:val="center"/>
          </w:tcPr>
          <w:p w14:paraId="485C42A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019029.SH</w:t>
            </w:r>
          </w:p>
        </w:tc>
        <w:tc>
          <w:tcPr>
            <w:tcW w:w="802" w:type="pct"/>
            <w:noWrap/>
            <w:vAlign w:val="center"/>
          </w:tcPr>
          <w:p w14:paraId="1674C5A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29</w:t>
            </w:r>
          </w:p>
        </w:tc>
        <w:tc>
          <w:tcPr>
            <w:tcW w:w="1140" w:type="pct"/>
            <w:noWrap/>
            <w:vAlign w:val="center"/>
          </w:tcPr>
          <w:p w14:paraId="18CF3CC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10.1749</w:t>
            </w:r>
          </w:p>
        </w:tc>
        <w:tc>
          <w:tcPr>
            <w:tcW w:w="1672" w:type="pct"/>
            <w:noWrap/>
            <w:vAlign w:val="center"/>
          </w:tcPr>
          <w:p w14:paraId="615AB4F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3.9010</w:t>
            </w:r>
          </w:p>
        </w:tc>
      </w:tr>
      <w:tr w:rsidR="000A0ACD" w14:paraId="484D35B7" w14:textId="77777777">
        <w:trPr>
          <w:trHeight w:val="397"/>
        </w:trPr>
        <w:tc>
          <w:tcPr>
            <w:tcW w:w="395" w:type="pct"/>
            <w:noWrap/>
            <w:vAlign w:val="center"/>
          </w:tcPr>
          <w:p w14:paraId="7731746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991" w:type="pct"/>
            <w:noWrap/>
            <w:vAlign w:val="center"/>
          </w:tcPr>
          <w:p w14:paraId="3F4B040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019037.SH</w:t>
            </w:r>
          </w:p>
        </w:tc>
        <w:tc>
          <w:tcPr>
            <w:tcW w:w="802" w:type="pct"/>
            <w:noWrap/>
            <w:vAlign w:val="center"/>
          </w:tcPr>
          <w:p w14:paraId="3BE7844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37</w:t>
            </w:r>
          </w:p>
        </w:tc>
        <w:tc>
          <w:tcPr>
            <w:tcW w:w="1140" w:type="pct"/>
            <w:noWrap/>
            <w:vAlign w:val="center"/>
          </w:tcPr>
          <w:p w14:paraId="3BCB311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40.3852</w:t>
            </w:r>
          </w:p>
        </w:tc>
        <w:tc>
          <w:tcPr>
            <w:tcW w:w="1672" w:type="pct"/>
            <w:noWrap/>
            <w:vAlign w:val="center"/>
          </w:tcPr>
          <w:p w14:paraId="7D267B1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4.4473</w:t>
            </w:r>
          </w:p>
        </w:tc>
      </w:tr>
      <w:tr w:rsidR="000A0ACD" w14:paraId="1EB868C3" w14:textId="77777777">
        <w:trPr>
          <w:trHeight w:val="397"/>
        </w:trPr>
        <w:tc>
          <w:tcPr>
            <w:tcW w:w="395" w:type="pct"/>
            <w:noWrap/>
            <w:vAlign w:val="center"/>
          </w:tcPr>
          <w:p w14:paraId="551279D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991" w:type="pct"/>
            <w:noWrap/>
            <w:vAlign w:val="center"/>
          </w:tcPr>
          <w:p w14:paraId="40D8BDB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019040.SH</w:t>
            </w:r>
          </w:p>
        </w:tc>
        <w:tc>
          <w:tcPr>
            <w:tcW w:w="802" w:type="pct"/>
            <w:noWrap/>
            <w:vAlign w:val="center"/>
          </w:tcPr>
          <w:p w14:paraId="55F3E1F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40</w:t>
            </w:r>
          </w:p>
        </w:tc>
        <w:tc>
          <w:tcPr>
            <w:tcW w:w="1140" w:type="pct"/>
            <w:noWrap/>
            <w:vAlign w:val="center"/>
          </w:tcPr>
          <w:p w14:paraId="082F8BB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20.4426</w:t>
            </w:r>
          </w:p>
        </w:tc>
        <w:tc>
          <w:tcPr>
            <w:tcW w:w="1672" w:type="pct"/>
            <w:noWrap/>
            <w:vAlign w:val="center"/>
          </w:tcPr>
          <w:p w14:paraId="230F583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4.2736</w:t>
            </w:r>
          </w:p>
        </w:tc>
      </w:tr>
      <w:tr w:rsidR="000A0ACD" w14:paraId="79F82B17" w14:textId="77777777">
        <w:trPr>
          <w:trHeight w:val="397"/>
        </w:trPr>
        <w:tc>
          <w:tcPr>
            <w:tcW w:w="395" w:type="pct"/>
            <w:noWrap/>
            <w:vAlign w:val="center"/>
          </w:tcPr>
          <w:p w14:paraId="2397C37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991" w:type="pct"/>
            <w:noWrap/>
            <w:vAlign w:val="center"/>
          </w:tcPr>
          <w:p w14:paraId="1031FEF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019105.SH</w:t>
            </w:r>
          </w:p>
        </w:tc>
        <w:tc>
          <w:tcPr>
            <w:tcW w:w="802" w:type="pct"/>
            <w:noWrap/>
            <w:vAlign w:val="center"/>
          </w:tcPr>
          <w:p w14:paraId="690F7B6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05</w:t>
            </w:r>
          </w:p>
        </w:tc>
        <w:tc>
          <w:tcPr>
            <w:tcW w:w="1140" w:type="pct"/>
            <w:noWrap/>
            <w:vAlign w:val="center"/>
          </w:tcPr>
          <w:p w14:paraId="11FD522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20.6530</w:t>
            </w:r>
          </w:p>
        </w:tc>
        <w:tc>
          <w:tcPr>
            <w:tcW w:w="1672" w:type="pct"/>
            <w:noWrap/>
            <w:vAlign w:val="center"/>
          </w:tcPr>
          <w:p w14:paraId="3E450C5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3.8741</w:t>
            </w:r>
          </w:p>
        </w:tc>
      </w:tr>
      <w:tr w:rsidR="000A0ACD" w14:paraId="3BD92B4C" w14:textId="77777777">
        <w:trPr>
          <w:trHeight w:val="397"/>
        </w:trPr>
        <w:tc>
          <w:tcPr>
            <w:tcW w:w="395" w:type="pct"/>
            <w:noWrap/>
            <w:vAlign w:val="center"/>
          </w:tcPr>
          <w:p w14:paraId="409A135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991" w:type="pct"/>
            <w:noWrap/>
            <w:vAlign w:val="center"/>
          </w:tcPr>
          <w:p w14:paraId="71E5699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019110.SH</w:t>
            </w:r>
          </w:p>
        </w:tc>
        <w:tc>
          <w:tcPr>
            <w:tcW w:w="802" w:type="pct"/>
            <w:noWrap/>
            <w:vAlign w:val="center"/>
          </w:tcPr>
          <w:p w14:paraId="0910B66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w:t>
            </w:r>
          </w:p>
        </w:tc>
        <w:tc>
          <w:tcPr>
            <w:tcW w:w="1140" w:type="pct"/>
            <w:noWrap/>
            <w:vAlign w:val="center"/>
          </w:tcPr>
          <w:p w14:paraId="61323A4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10.8274</w:t>
            </w:r>
          </w:p>
        </w:tc>
        <w:tc>
          <w:tcPr>
            <w:tcW w:w="1672" w:type="pct"/>
            <w:noWrap/>
            <w:vAlign w:val="center"/>
          </w:tcPr>
          <w:p w14:paraId="5EF36E3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2.7666</w:t>
            </w:r>
          </w:p>
        </w:tc>
      </w:tr>
      <w:tr w:rsidR="000A0ACD" w14:paraId="3CA1A204" w14:textId="77777777">
        <w:trPr>
          <w:trHeight w:val="397"/>
        </w:trPr>
        <w:tc>
          <w:tcPr>
            <w:tcW w:w="395" w:type="pct"/>
            <w:noWrap/>
            <w:vAlign w:val="center"/>
          </w:tcPr>
          <w:p w14:paraId="155ED63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991" w:type="pct"/>
            <w:noWrap/>
            <w:vAlign w:val="center"/>
          </w:tcPr>
          <w:p w14:paraId="724D642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019112.SH</w:t>
            </w:r>
          </w:p>
        </w:tc>
        <w:tc>
          <w:tcPr>
            <w:tcW w:w="802" w:type="pct"/>
            <w:noWrap/>
            <w:vAlign w:val="center"/>
          </w:tcPr>
          <w:p w14:paraId="1E09353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w:t>
            </w:r>
          </w:p>
        </w:tc>
        <w:tc>
          <w:tcPr>
            <w:tcW w:w="1140" w:type="pct"/>
            <w:noWrap/>
            <w:vAlign w:val="center"/>
          </w:tcPr>
          <w:p w14:paraId="624C612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40.9041</w:t>
            </w:r>
          </w:p>
        </w:tc>
        <w:tc>
          <w:tcPr>
            <w:tcW w:w="1672" w:type="pct"/>
            <w:noWrap/>
            <w:vAlign w:val="center"/>
          </w:tcPr>
          <w:p w14:paraId="273879B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4.5292</w:t>
            </w:r>
          </w:p>
        </w:tc>
      </w:tr>
      <w:tr w:rsidR="000A0ACD" w14:paraId="619FB73C" w14:textId="77777777">
        <w:trPr>
          <w:trHeight w:val="397"/>
        </w:trPr>
        <w:tc>
          <w:tcPr>
            <w:tcW w:w="395" w:type="pct"/>
            <w:noWrap/>
            <w:vAlign w:val="center"/>
          </w:tcPr>
          <w:p w14:paraId="1FD1531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991" w:type="pct"/>
            <w:noWrap/>
            <w:vAlign w:val="center"/>
          </w:tcPr>
          <w:p w14:paraId="3C6C5DF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019116.SH</w:t>
            </w:r>
          </w:p>
        </w:tc>
        <w:tc>
          <w:tcPr>
            <w:tcW w:w="802" w:type="pct"/>
            <w:noWrap/>
            <w:vAlign w:val="center"/>
          </w:tcPr>
          <w:p w14:paraId="245D755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w:t>
            </w:r>
          </w:p>
        </w:tc>
        <w:tc>
          <w:tcPr>
            <w:tcW w:w="1140" w:type="pct"/>
            <w:noWrap/>
            <w:vAlign w:val="center"/>
          </w:tcPr>
          <w:p w14:paraId="306B75A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20.9808</w:t>
            </w:r>
          </w:p>
        </w:tc>
        <w:tc>
          <w:tcPr>
            <w:tcW w:w="1672" w:type="pct"/>
            <w:noWrap/>
            <w:vAlign w:val="center"/>
          </w:tcPr>
          <w:p w14:paraId="258E5D5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4.1639</w:t>
            </w:r>
          </w:p>
        </w:tc>
      </w:tr>
      <w:tr w:rsidR="000A0ACD" w14:paraId="1B6D959F" w14:textId="77777777">
        <w:trPr>
          <w:trHeight w:val="397"/>
        </w:trPr>
        <w:tc>
          <w:tcPr>
            <w:tcW w:w="395" w:type="pct"/>
            <w:noWrap/>
            <w:vAlign w:val="center"/>
          </w:tcPr>
          <w:p w14:paraId="4745507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14</w:t>
            </w:r>
          </w:p>
        </w:tc>
        <w:tc>
          <w:tcPr>
            <w:tcW w:w="991" w:type="pct"/>
            <w:noWrap/>
            <w:vAlign w:val="center"/>
          </w:tcPr>
          <w:p w14:paraId="492CACA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019123.SH</w:t>
            </w:r>
          </w:p>
        </w:tc>
        <w:tc>
          <w:tcPr>
            <w:tcW w:w="802" w:type="pct"/>
            <w:noWrap/>
            <w:vAlign w:val="center"/>
          </w:tcPr>
          <w:p w14:paraId="51E7C70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23</w:t>
            </w:r>
          </w:p>
        </w:tc>
        <w:tc>
          <w:tcPr>
            <w:tcW w:w="1140" w:type="pct"/>
            <w:noWrap/>
            <w:vAlign w:val="center"/>
          </w:tcPr>
          <w:p w14:paraId="43CB1AE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41.3634</w:t>
            </w:r>
          </w:p>
        </w:tc>
        <w:tc>
          <w:tcPr>
            <w:tcW w:w="1672" w:type="pct"/>
            <w:noWrap/>
            <w:vAlign w:val="center"/>
          </w:tcPr>
          <w:p w14:paraId="61D3F51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4.3757</w:t>
            </w:r>
          </w:p>
        </w:tc>
      </w:tr>
      <w:tr w:rsidR="000A0ACD" w14:paraId="0226B002" w14:textId="77777777">
        <w:trPr>
          <w:trHeight w:val="397"/>
        </w:trPr>
        <w:tc>
          <w:tcPr>
            <w:tcW w:w="395" w:type="pct"/>
            <w:noWrap/>
            <w:vAlign w:val="center"/>
          </w:tcPr>
          <w:p w14:paraId="5611C5A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991" w:type="pct"/>
            <w:noWrap/>
            <w:vAlign w:val="center"/>
          </w:tcPr>
          <w:p w14:paraId="02D9AB0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019206.SH</w:t>
            </w:r>
          </w:p>
        </w:tc>
        <w:tc>
          <w:tcPr>
            <w:tcW w:w="802" w:type="pct"/>
            <w:noWrap/>
            <w:vAlign w:val="center"/>
          </w:tcPr>
          <w:p w14:paraId="73823CC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06</w:t>
            </w:r>
          </w:p>
        </w:tc>
        <w:tc>
          <w:tcPr>
            <w:tcW w:w="1140" w:type="pct"/>
            <w:noWrap/>
            <w:vAlign w:val="center"/>
          </w:tcPr>
          <w:p w14:paraId="66634C7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11.8137</w:t>
            </w:r>
          </w:p>
        </w:tc>
        <w:tc>
          <w:tcPr>
            <w:tcW w:w="1672" w:type="pct"/>
            <w:noWrap/>
            <w:vAlign w:val="center"/>
          </w:tcPr>
          <w:p w14:paraId="0A79EA8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4.0687</w:t>
            </w:r>
          </w:p>
        </w:tc>
      </w:tr>
      <w:tr w:rsidR="000A0ACD" w14:paraId="526C5247" w14:textId="77777777">
        <w:trPr>
          <w:trHeight w:val="397"/>
        </w:trPr>
        <w:tc>
          <w:tcPr>
            <w:tcW w:w="395" w:type="pct"/>
            <w:noWrap/>
            <w:vAlign w:val="center"/>
          </w:tcPr>
          <w:p w14:paraId="213AFF5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991" w:type="pct"/>
            <w:noWrap/>
            <w:vAlign w:val="center"/>
          </w:tcPr>
          <w:p w14:paraId="6F62727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019208.SH</w:t>
            </w:r>
          </w:p>
        </w:tc>
        <w:tc>
          <w:tcPr>
            <w:tcW w:w="802" w:type="pct"/>
            <w:noWrap/>
            <w:vAlign w:val="center"/>
          </w:tcPr>
          <w:p w14:paraId="2ECD2E9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w:t>
            </w:r>
          </w:p>
        </w:tc>
        <w:tc>
          <w:tcPr>
            <w:tcW w:w="1140" w:type="pct"/>
            <w:noWrap/>
            <w:vAlign w:val="center"/>
          </w:tcPr>
          <w:p w14:paraId="10824E0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41.8795</w:t>
            </w:r>
          </w:p>
        </w:tc>
        <w:tc>
          <w:tcPr>
            <w:tcW w:w="1672" w:type="pct"/>
            <w:noWrap/>
            <w:vAlign w:val="center"/>
          </w:tcPr>
          <w:p w14:paraId="71F801D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4.2941</w:t>
            </w:r>
          </w:p>
        </w:tc>
      </w:tr>
      <w:tr w:rsidR="000A0ACD" w14:paraId="7A831568" w14:textId="77777777">
        <w:trPr>
          <w:trHeight w:val="397"/>
        </w:trPr>
        <w:tc>
          <w:tcPr>
            <w:tcW w:w="395" w:type="pct"/>
            <w:noWrap/>
            <w:vAlign w:val="center"/>
          </w:tcPr>
          <w:p w14:paraId="209D434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17</w:t>
            </w:r>
          </w:p>
        </w:tc>
        <w:tc>
          <w:tcPr>
            <w:tcW w:w="991" w:type="pct"/>
            <w:noWrap/>
            <w:vAlign w:val="center"/>
          </w:tcPr>
          <w:p w14:paraId="4C2B2B0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019212.SH</w:t>
            </w:r>
          </w:p>
        </w:tc>
        <w:tc>
          <w:tcPr>
            <w:tcW w:w="802" w:type="pct"/>
            <w:noWrap/>
            <w:vAlign w:val="center"/>
          </w:tcPr>
          <w:p w14:paraId="2F1E676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w:t>
            </w:r>
          </w:p>
        </w:tc>
        <w:tc>
          <w:tcPr>
            <w:tcW w:w="1140" w:type="pct"/>
            <w:noWrap/>
            <w:vAlign w:val="center"/>
          </w:tcPr>
          <w:p w14:paraId="3C72060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21.9945</w:t>
            </w:r>
          </w:p>
        </w:tc>
        <w:tc>
          <w:tcPr>
            <w:tcW w:w="1672" w:type="pct"/>
            <w:noWrap/>
            <w:vAlign w:val="center"/>
          </w:tcPr>
          <w:p w14:paraId="7D5D2C8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3.9753</w:t>
            </w:r>
          </w:p>
        </w:tc>
      </w:tr>
      <w:tr w:rsidR="000A0ACD" w14:paraId="651EFEBB" w14:textId="77777777">
        <w:trPr>
          <w:trHeight w:val="397"/>
        </w:trPr>
        <w:tc>
          <w:tcPr>
            <w:tcW w:w="395" w:type="pct"/>
            <w:noWrap/>
            <w:vAlign w:val="center"/>
          </w:tcPr>
          <w:p w14:paraId="11D91E1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991" w:type="pct"/>
            <w:noWrap/>
            <w:vAlign w:val="center"/>
          </w:tcPr>
          <w:p w14:paraId="5164DE3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019213.SH</w:t>
            </w:r>
          </w:p>
        </w:tc>
        <w:tc>
          <w:tcPr>
            <w:tcW w:w="802" w:type="pct"/>
            <w:noWrap/>
            <w:vAlign w:val="center"/>
          </w:tcPr>
          <w:p w14:paraId="25AE50E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w:t>
            </w:r>
          </w:p>
        </w:tc>
        <w:tc>
          <w:tcPr>
            <w:tcW w:w="1140" w:type="pct"/>
            <w:noWrap/>
            <w:vAlign w:val="center"/>
          </w:tcPr>
          <w:p w14:paraId="2B62951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22.0902</w:t>
            </w:r>
          </w:p>
        </w:tc>
        <w:tc>
          <w:tcPr>
            <w:tcW w:w="1672" w:type="pct"/>
            <w:noWrap/>
            <w:vAlign w:val="center"/>
          </w:tcPr>
          <w:p w14:paraId="7FFE982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4.1625</w:t>
            </w:r>
          </w:p>
        </w:tc>
      </w:tr>
      <w:tr w:rsidR="000A0ACD" w14:paraId="499680C2" w14:textId="77777777">
        <w:trPr>
          <w:trHeight w:val="397"/>
        </w:trPr>
        <w:tc>
          <w:tcPr>
            <w:tcW w:w="395" w:type="pct"/>
            <w:noWrap/>
            <w:vAlign w:val="center"/>
          </w:tcPr>
          <w:p w14:paraId="711F368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991" w:type="pct"/>
            <w:noWrap/>
            <w:vAlign w:val="center"/>
          </w:tcPr>
          <w:p w14:paraId="557CD1A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019218.SH</w:t>
            </w:r>
          </w:p>
        </w:tc>
        <w:tc>
          <w:tcPr>
            <w:tcW w:w="802" w:type="pct"/>
            <w:noWrap/>
            <w:vAlign w:val="center"/>
          </w:tcPr>
          <w:p w14:paraId="30830AF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w:t>
            </w:r>
          </w:p>
        </w:tc>
        <w:tc>
          <w:tcPr>
            <w:tcW w:w="1140" w:type="pct"/>
            <w:noWrap/>
            <w:vAlign w:val="center"/>
          </w:tcPr>
          <w:p w14:paraId="2E4995A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12.2432</w:t>
            </w:r>
          </w:p>
        </w:tc>
        <w:tc>
          <w:tcPr>
            <w:tcW w:w="1672" w:type="pct"/>
            <w:noWrap/>
            <w:vAlign w:val="center"/>
          </w:tcPr>
          <w:p w14:paraId="57FE15C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3.3281</w:t>
            </w:r>
          </w:p>
        </w:tc>
      </w:tr>
      <w:tr w:rsidR="000A0ACD" w14:paraId="67AF5AFC" w14:textId="77777777">
        <w:trPr>
          <w:trHeight w:val="397"/>
        </w:trPr>
        <w:tc>
          <w:tcPr>
            <w:tcW w:w="395" w:type="pct"/>
            <w:noWrap/>
            <w:vAlign w:val="center"/>
          </w:tcPr>
          <w:p w14:paraId="2DD669E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991" w:type="pct"/>
            <w:noWrap/>
            <w:vAlign w:val="center"/>
          </w:tcPr>
          <w:p w14:paraId="15AA353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019220.SH</w:t>
            </w:r>
          </w:p>
        </w:tc>
        <w:tc>
          <w:tcPr>
            <w:tcW w:w="802" w:type="pct"/>
            <w:noWrap/>
            <w:vAlign w:val="center"/>
          </w:tcPr>
          <w:p w14:paraId="3DC928F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20</w:t>
            </w:r>
          </w:p>
        </w:tc>
        <w:tc>
          <w:tcPr>
            <w:tcW w:w="1140" w:type="pct"/>
            <w:noWrap/>
            <w:vAlign w:val="center"/>
          </w:tcPr>
          <w:p w14:paraId="69359AB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42.3770</w:t>
            </w:r>
          </w:p>
        </w:tc>
        <w:tc>
          <w:tcPr>
            <w:tcW w:w="1672" w:type="pct"/>
            <w:noWrap/>
            <w:vAlign w:val="center"/>
          </w:tcPr>
          <w:p w14:paraId="487C680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4.3962</w:t>
            </w:r>
          </w:p>
        </w:tc>
      </w:tr>
      <w:tr w:rsidR="000A0ACD" w14:paraId="1D5D43E8" w14:textId="77777777">
        <w:trPr>
          <w:trHeight w:val="397"/>
        </w:trPr>
        <w:tc>
          <w:tcPr>
            <w:tcW w:w="395" w:type="pct"/>
            <w:noWrap/>
            <w:vAlign w:val="center"/>
          </w:tcPr>
          <w:p w14:paraId="4D42673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21</w:t>
            </w:r>
          </w:p>
        </w:tc>
        <w:tc>
          <w:tcPr>
            <w:tcW w:w="991" w:type="pct"/>
            <w:noWrap/>
            <w:vAlign w:val="center"/>
          </w:tcPr>
          <w:p w14:paraId="077E718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019309.SH</w:t>
            </w:r>
          </w:p>
        </w:tc>
        <w:tc>
          <w:tcPr>
            <w:tcW w:w="802" w:type="pct"/>
            <w:noWrap/>
            <w:vAlign w:val="center"/>
          </w:tcPr>
          <w:p w14:paraId="18D581D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09</w:t>
            </w:r>
          </w:p>
        </w:tc>
        <w:tc>
          <w:tcPr>
            <w:tcW w:w="1140" w:type="pct"/>
            <w:noWrap/>
            <w:vAlign w:val="center"/>
          </w:tcPr>
          <w:p w14:paraId="51E2C10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12.8110</w:t>
            </w:r>
          </w:p>
        </w:tc>
        <w:tc>
          <w:tcPr>
            <w:tcW w:w="1672" w:type="pct"/>
            <w:noWrap/>
            <w:vAlign w:val="center"/>
          </w:tcPr>
          <w:p w14:paraId="03137AD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2.8737</w:t>
            </w:r>
          </w:p>
        </w:tc>
      </w:tr>
      <w:tr w:rsidR="000A0ACD" w14:paraId="63F13ED5" w14:textId="77777777">
        <w:trPr>
          <w:trHeight w:val="397"/>
        </w:trPr>
        <w:tc>
          <w:tcPr>
            <w:tcW w:w="395" w:type="pct"/>
            <w:noWrap/>
            <w:vAlign w:val="center"/>
          </w:tcPr>
          <w:p w14:paraId="1E02EA0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22</w:t>
            </w:r>
          </w:p>
        </w:tc>
        <w:tc>
          <w:tcPr>
            <w:tcW w:w="991" w:type="pct"/>
            <w:noWrap/>
            <w:vAlign w:val="center"/>
          </w:tcPr>
          <w:p w14:paraId="70D9221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019310.SH</w:t>
            </w:r>
          </w:p>
        </w:tc>
        <w:tc>
          <w:tcPr>
            <w:tcW w:w="802" w:type="pct"/>
            <w:noWrap/>
            <w:vAlign w:val="center"/>
          </w:tcPr>
          <w:p w14:paraId="54FD25B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w:t>
            </w:r>
          </w:p>
        </w:tc>
        <w:tc>
          <w:tcPr>
            <w:tcW w:w="1140" w:type="pct"/>
            <w:noWrap/>
            <w:vAlign w:val="center"/>
          </w:tcPr>
          <w:p w14:paraId="0E9BDBA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42.8877</w:t>
            </w:r>
          </w:p>
        </w:tc>
        <w:tc>
          <w:tcPr>
            <w:tcW w:w="1672" w:type="pct"/>
            <w:noWrap/>
            <w:vAlign w:val="center"/>
          </w:tcPr>
          <w:p w14:paraId="0C4591A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4.2839</w:t>
            </w:r>
          </w:p>
        </w:tc>
      </w:tr>
      <w:tr w:rsidR="000A0ACD" w14:paraId="575E2B8B" w14:textId="77777777">
        <w:trPr>
          <w:trHeight w:val="397"/>
        </w:trPr>
        <w:tc>
          <w:tcPr>
            <w:tcW w:w="395" w:type="pct"/>
            <w:noWrap/>
            <w:vAlign w:val="center"/>
          </w:tcPr>
          <w:p w14:paraId="39044DB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23</w:t>
            </w:r>
          </w:p>
        </w:tc>
        <w:tc>
          <w:tcPr>
            <w:tcW w:w="991" w:type="pct"/>
            <w:noWrap/>
            <w:vAlign w:val="center"/>
          </w:tcPr>
          <w:p w14:paraId="752550B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019316.SH</w:t>
            </w:r>
          </w:p>
        </w:tc>
        <w:tc>
          <w:tcPr>
            <w:tcW w:w="802" w:type="pct"/>
            <w:noWrap/>
            <w:vAlign w:val="center"/>
          </w:tcPr>
          <w:p w14:paraId="33979A3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w:t>
            </w:r>
          </w:p>
        </w:tc>
        <w:tc>
          <w:tcPr>
            <w:tcW w:w="1140" w:type="pct"/>
            <w:noWrap/>
            <w:vAlign w:val="center"/>
          </w:tcPr>
          <w:p w14:paraId="5A04CA8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13.1175</w:t>
            </w:r>
          </w:p>
        </w:tc>
        <w:tc>
          <w:tcPr>
            <w:tcW w:w="1672" w:type="pct"/>
            <w:noWrap/>
            <w:vAlign w:val="center"/>
          </w:tcPr>
          <w:p w14:paraId="04DAC25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2.8072</w:t>
            </w:r>
          </w:p>
        </w:tc>
      </w:tr>
      <w:tr w:rsidR="000A0ACD" w14:paraId="1034E183" w14:textId="77777777">
        <w:trPr>
          <w:trHeight w:val="397"/>
        </w:trPr>
        <w:tc>
          <w:tcPr>
            <w:tcW w:w="395" w:type="pct"/>
            <w:noWrap/>
            <w:vAlign w:val="center"/>
          </w:tcPr>
          <w:p w14:paraId="52B9463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24</w:t>
            </w:r>
          </w:p>
        </w:tc>
        <w:tc>
          <w:tcPr>
            <w:tcW w:w="991" w:type="pct"/>
            <w:noWrap/>
            <w:vAlign w:val="center"/>
          </w:tcPr>
          <w:p w14:paraId="28C79A3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019319.SH</w:t>
            </w:r>
          </w:p>
        </w:tc>
        <w:tc>
          <w:tcPr>
            <w:tcW w:w="802" w:type="pct"/>
            <w:noWrap/>
            <w:vAlign w:val="center"/>
          </w:tcPr>
          <w:p w14:paraId="0C7377C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19</w:t>
            </w:r>
          </w:p>
        </w:tc>
        <w:tc>
          <w:tcPr>
            <w:tcW w:w="1140" w:type="pct"/>
            <w:noWrap/>
            <w:vAlign w:val="center"/>
          </w:tcPr>
          <w:p w14:paraId="44C72B0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23.2131</w:t>
            </w:r>
          </w:p>
        </w:tc>
        <w:tc>
          <w:tcPr>
            <w:tcW w:w="1672" w:type="pct"/>
            <w:noWrap/>
            <w:vAlign w:val="center"/>
          </w:tcPr>
          <w:p w14:paraId="27CA1FD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3.5490</w:t>
            </w:r>
          </w:p>
        </w:tc>
      </w:tr>
      <w:tr w:rsidR="000A0ACD" w14:paraId="33BE15A4" w14:textId="77777777">
        <w:trPr>
          <w:trHeight w:val="397"/>
        </w:trPr>
        <w:tc>
          <w:tcPr>
            <w:tcW w:w="395" w:type="pct"/>
            <w:noWrap/>
            <w:vAlign w:val="center"/>
          </w:tcPr>
          <w:p w14:paraId="57BC26F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25</w:t>
            </w:r>
          </w:p>
        </w:tc>
        <w:tc>
          <w:tcPr>
            <w:tcW w:w="991" w:type="pct"/>
            <w:noWrap/>
            <w:vAlign w:val="center"/>
          </w:tcPr>
          <w:p w14:paraId="682FE3C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019324.SH</w:t>
            </w:r>
          </w:p>
        </w:tc>
        <w:tc>
          <w:tcPr>
            <w:tcW w:w="802" w:type="pct"/>
            <w:noWrap/>
            <w:vAlign w:val="center"/>
          </w:tcPr>
          <w:p w14:paraId="1041B0B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24</w:t>
            </w:r>
          </w:p>
        </w:tc>
        <w:tc>
          <w:tcPr>
            <w:tcW w:w="1140" w:type="pct"/>
            <w:noWrap/>
            <w:vAlign w:val="center"/>
          </w:tcPr>
          <w:p w14:paraId="4325468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43.3852</w:t>
            </w:r>
          </w:p>
        </w:tc>
        <w:tc>
          <w:tcPr>
            <w:tcW w:w="1672" w:type="pct"/>
            <w:noWrap/>
            <w:vAlign w:val="center"/>
          </w:tcPr>
          <w:p w14:paraId="080E9D8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5.3790</w:t>
            </w:r>
          </w:p>
        </w:tc>
      </w:tr>
      <w:tr w:rsidR="000A0ACD" w14:paraId="6D2B0253" w14:textId="77777777">
        <w:trPr>
          <w:trHeight w:val="397"/>
        </w:trPr>
        <w:tc>
          <w:tcPr>
            <w:tcW w:w="395" w:type="pct"/>
            <w:noWrap/>
            <w:vAlign w:val="center"/>
          </w:tcPr>
          <w:p w14:paraId="1E51070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26</w:t>
            </w:r>
          </w:p>
        </w:tc>
        <w:tc>
          <w:tcPr>
            <w:tcW w:w="991" w:type="pct"/>
            <w:noWrap/>
            <w:vAlign w:val="center"/>
          </w:tcPr>
          <w:p w14:paraId="25865D5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019325.SH</w:t>
            </w:r>
          </w:p>
        </w:tc>
        <w:tc>
          <w:tcPr>
            <w:tcW w:w="802" w:type="pct"/>
            <w:noWrap/>
            <w:vAlign w:val="center"/>
          </w:tcPr>
          <w:p w14:paraId="2EB7EAB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25</w:t>
            </w:r>
          </w:p>
        </w:tc>
        <w:tc>
          <w:tcPr>
            <w:tcW w:w="1140" w:type="pct"/>
            <w:noWrap/>
            <w:vAlign w:val="center"/>
          </w:tcPr>
          <w:p w14:paraId="60B4179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23.4426</w:t>
            </w:r>
          </w:p>
        </w:tc>
        <w:tc>
          <w:tcPr>
            <w:tcW w:w="1672" w:type="pct"/>
            <w:noWrap/>
            <w:vAlign w:val="center"/>
          </w:tcPr>
          <w:p w14:paraId="77FAD78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3.7354</w:t>
            </w:r>
          </w:p>
        </w:tc>
      </w:tr>
      <w:tr w:rsidR="000A0ACD" w14:paraId="621B11AE" w14:textId="77777777">
        <w:trPr>
          <w:trHeight w:val="397"/>
        </w:trPr>
        <w:tc>
          <w:tcPr>
            <w:tcW w:w="395" w:type="pct"/>
            <w:noWrap/>
            <w:vAlign w:val="center"/>
          </w:tcPr>
          <w:p w14:paraId="2605117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27</w:t>
            </w:r>
          </w:p>
        </w:tc>
        <w:tc>
          <w:tcPr>
            <w:tcW w:w="991" w:type="pct"/>
            <w:noWrap/>
            <w:vAlign w:val="center"/>
          </w:tcPr>
          <w:p w14:paraId="2B7C61B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019409.SH</w:t>
            </w:r>
          </w:p>
        </w:tc>
        <w:tc>
          <w:tcPr>
            <w:tcW w:w="802" w:type="pct"/>
            <w:noWrap/>
            <w:vAlign w:val="center"/>
          </w:tcPr>
          <w:p w14:paraId="5DBE897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09</w:t>
            </w:r>
          </w:p>
        </w:tc>
        <w:tc>
          <w:tcPr>
            <w:tcW w:w="1140" w:type="pct"/>
            <w:noWrap/>
            <w:vAlign w:val="center"/>
          </w:tcPr>
          <w:p w14:paraId="71AD8DF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13.8274</w:t>
            </w:r>
          </w:p>
        </w:tc>
        <w:tc>
          <w:tcPr>
            <w:tcW w:w="1672" w:type="pct"/>
            <w:noWrap/>
            <w:vAlign w:val="center"/>
          </w:tcPr>
          <w:p w14:paraId="2A2B81B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4.8246</w:t>
            </w:r>
          </w:p>
        </w:tc>
      </w:tr>
      <w:tr w:rsidR="000A0ACD" w14:paraId="7AD9E72C" w14:textId="77777777">
        <w:trPr>
          <w:trHeight w:val="397"/>
        </w:trPr>
        <w:tc>
          <w:tcPr>
            <w:tcW w:w="395" w:type="pct"/>
            <w:noWrap/>
            <w:vAlign w:val="center"/>
          </w:tcPr>
          <w:p w14:paraId="43822AC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28</w:t>
            </w:r>
          </w:p>
        </w:tc>
        <w:tc>
          <w:tcPr>
            <w:tcW w:w="991" w:type="pct"/>
            <w:noWrap/>
            <w:vAlign w:val="center"/>
          </w:tcPr>
          <w:p w14:paraId="73AF398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019410.SH</w:t>
            </w:r>
          </w:p>
        </w:tc>
        <w:tc>
          <w:tcPr>
            <w:tcW w:w="802" w:type="pct"/>
            <w:noWrap/>
            <w:vAlign w:val="center"/>
          </w:tcPr>
          <w:p w14:paraId="243FD7B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w:t>
            </w:r>
          </w:p>
        </w:tc>
        <w:tc>
          <w:tcPr>
            <w:tcW w:w="1140" w:type="pct"/>
            <w:noWrap/>
            <w:vAlign w:val="center"/>
          </w:tcPr>
          <w:p w14:paraId="4042C31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43.9041</w:t>
            </w:r>
          </w:p>
        </w:tc>
        <w:tc>
          <w:tcPr>
            <w:tcW w:w="1672" w:type="pct"/>
            <w:noWrap/>
            <w:vAlign w:val="center"/>
          </w:tcPr>
          <w:p w14:paraId="5C42699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4.7234</w:t>
            </w:r>
          </w:p>
        </w:tc>
      </w:tr>
      <w:tr w:rsidR="000A0ACD" w14:paraId="77A26AFB" w14:textId="77777777">
        <w:trPr>
          <w:trHeight w:val="397"/>
        </w:trPr>
        <w:tc>
          <w:tcPr>
            <w:tcW w:w="395" w:type="pct"/>
            <w:noWrap/>
            <w:vAlign w:val="center"/>
          </w:tcPr>
          <w:p w14:paraId="148685F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29</w:t>
            </w:r>
          </w:p>
        </w:tc>
        <w:tc>
          <w:tcPr>
            <w:tcW w:w="991" w:type="pct"/>
            <w:noWrap/>
            <w:vAlign w:val="center"/>
          </w:tcPr>
          <w:p w14:paraId="07CDF55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019416.SH</w:t>
            </w:r>
          </w:p>
        </w:tc>
        <w:tc>
          <w:tcPr>
            <w:tcW w:w="802" w:type="pct"/>
            <w:noWrap/>
            <w:vAlign w:val="center"/>
          </w:tcPr>
          <w:p w14:paraId="03494B8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w:t>
            </w:r>
          </w:p>
        </w:tc>
        <w:tc>
          <w:tcPr>
            <w:tcW w:w="1140" w:type="pct"/>
            <w:noWrap/>
            <w:vAlign w:val="center"/>
          </w:tcPr>
          <w:p w14:paraId="2DE2E30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24.0656</w:t>
            </w:r>
          </w:p>
        </w:tc>
        <w:tc>
          <w:tcPr>
            <w:tcW w:w="1672" w:type="pct"/>
            <w:noWrap/>
            <w:vAlign w:val="center"/>
          </w:tcPr>
          <w:p w14:paraId="742CD98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4.8168</w:t>
            </w:r>
          </w:p>
        </w:tc>
      </w:tr>
      <w:tr w:rsidR="000A0ACD" w14:paraId="5BB7FA68" w14:textId="77777777">
        <w:trPr>
          <w:trHeight w:val="397"/>
        </w:trPr>
        <w:tc>
          <w:tcPr>
            <w:tcW w:w="395" w:type="pct"/>
            <w:noWrap/>
            <w:vAlign w:val="center"/>
          </w:tcPr>
          <w:p w14:paraId="2CEF161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30</w:t>
            </w:r>
          </w:p>
        </w:tc>
        <w:tc>
          <w:tcPr>
            <w:tcW w:w="991" w:type="pct"/>
            <w:noWrap/>
            <w:vAlign w:val="center"/>
          </w:tcPr>
          <w:p w14:paraId="6B2F7AB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019417.SH</w:t>
            </w:r>
          </w:p>
        </w:tc>
        <w:tc>
          <w:tcPr>
            <w:tcW w:w="802" w:type="pct"/>
            <w:noWrap/>
            <w:vAlign w:val="center"/>
          </w:tcPr>
          <w:p w14:paraId="1784DE0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w:t>
            </w:r>
          </w:p>
        </w:tc>
        <w:tc>
          <w:tcPr>
            <w:tcW w:w="1140" w:type="pct"/>
            <w:noWrap/>
            <w:vAlign w:val="center"/>
          </w:tcPr>
          <w:p w14:paraId="5F46C16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14.1148</w:t>
            </w:r>
          </w:p>
        </w:tc>
        <w:tc>
          <w:tcPr>
            <w:tcW w:w="1672" w:type="pct"/>
            <w:noWrap/>
            <w:vAlign w:val="center"/>
          </w:tcPr>
          <w:p w14:paraId="387781B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4.6836</w:t>
            </w:r>
          </w:p>
        </w:tc>
      </w:tr>
      <w:tr w:rsidR="000A0ACD" w14:paraId="6CD946EB" w14:textId="77777777">
        <w:trPr>
          <w:trHeight w:val="397"/>
        </w:trPr>
        <w:tc>
          <w:tcPr>
            <w:tcW w:w="395" w:type="pct"/>
            <w:noWrap/>
            <w:vAlign w:val="center"/>
          </w:tcPr>
          <w:p w14:paraId="3C0E591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31</w:t>
            </w:r>
          </w:p>
        </w:tc>
        <w:tc>
          <w:tcPr>
            <w:tcW w:w="991" w:type="pct"/>
            <w:noWrap/>
            <w:vAlign w:val="center"/>
          </w:tcPr>
          <w:p w14:paraId="0D7BF9F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019425.SH</w:t>
            </w:r>
          </w:p>
        </w:tc>
        <w:tc>
          <w:tcPr>
            <w:tcW w:w="802" w:type="pct"/>
            <w:noWrap/>
            <w:vAlign w:val="center"/>
          </w:tcPr>
          <w:p w14:paraId="6830ED7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25</w:t>
            </w:r>
          </w:p>
        </w:tc>
        <w:tc>
          <w:tcPr>
            <w:tcW w:w="1140" w:type="pct"/>
            <w:noWrap/>
            <w:vAlign w:val="center"/>
          </w:tcPr>
          <w:p w14:paraId="3813CB2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24.3251</w:t>
            </w:r>
          </w:p>
        </w:tc>
        <w:tc>
          <w:tcPr>
            <w:tcW w:w="1672" w:type="pct"/>
            <w:noWrap/>
            <w:vAlign w:val="center"/>
          </w:tcPr>
          <w:p w14:paraId="6A662D0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4.3449</w:t>
            </w:r>
          </w:p>
        </w:tc>
      </w:tr>
      <w:tr w:rsidR="000A0ACD" w14:paraId="6B05875F" w14:textId="77777777">
        <w:trPr>
          <w:trHeight w:val="397"/>
        </w:trPr>
        <w:tc>
          <w:tcPr>
            <w:tcW w:w="395" w:type="pct"/>
            <w:noWrap/>
            <w:vAlign w:val="center"/>
          </w:tcPr>
          <w:p w14:paraId="6682911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32</w:t>
            </w:r>
          </w:p>
        </w:tc>
        <w:tc>
          <w:tcPr>
            <w:tcW w:w="991" w:type="pct"/>
            <w:noWrap/>
            <w:vAlign w:val="center"/>
          </w:tcPr>
          <w:p w14:paraId="3A060D8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019427.SH</w:t>
            </w:r>
          </w:p>
        </w:tc>
        <w:tc>
          <w:tcPr>
            <w:tcW w:w="802" w:type="pct"/>
            <w:noWrap/>
            <w:vAlign w:val="center"/>
          </w:tcPr>
          <w:p w14:paraId="1541E7E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27</w:t>
            </w:r>
          </w:p>
        </w:tc>
        <w:tc>
          <w:tcPr>
            <w:tcW w:w="1140" w:type="pct"/>
            <w:noWrap/>
            <w:vAlign w:val="center"/>
          </w:tcPr>
          <w:p w14:paraId="1C699BE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44.4016</w:t>
            </w:r>
          </w:p>
        </w:tc>
        <w:tc>
          <w:tcPr>
            <w:tcW w:w="1672" w:type="pct"/>
            <w:noWrap/>
            <w:vAlign w:val="center"/>
          </w:tcPr>
          <w:p w14:paraId="1A8E956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4.2631</w:t>
            </w:r>
          </w:p>
        </w:tc>
      </w:tr>
      <w:tr w:rsidR="000A0ACD" w14:paraId="5DE3E3BB" w14:textId="77777777">
        <w:trPr>
          <w:trHeight w:val="397"/>
        </w:trPr>
        <w:tc>
          <w:tcPr>
            <w:tcW w:w="395" w:type="pct"/>
            <w:noWrap/>
            <w:vAlign w:val="center"/>
          </w:tcPr>
          <w:p w14:paraId="4E273F3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33</w:t>
            </w:r>
          </w:p>
        </w:tc>
        <w:tc>
          <w:tcPr>
            <w:tcW w:w="991" w:type="pct"/>
            <w:noWrap/>
            <w:vAlign w:val="center"/>
          </w:tcPr>
          <w:p w14:paraId="52B237E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019508.SH</w:t>
            </w:r>
          </w:p>
        </w:tc>
        <w:tc>
          <w:tcPr>
            <w:tcW w:w="802" w:type="pct"/>
            <w:noWrap/>
            <w:vAlign w:val="center"/>
          </w:tcPr>
          <w:p w14:paraId="1A17F8A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w:t>
            </w:r>
          </w:p>
        </w:tc>
        <w:tc>
          <w:tcPr>
            <w:tcW w:w="1140" w:type="pct"/>
            <w:noWrap/>
            <w:vAlign w:val="center"/>
          </w:tcPr>
          <w:p w14:paraId="24AB070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14.8247</w:t>
            </w:r>
          </w:p>
        </w:tc>
        <w:tc>
          <w:tcPr>
            <w:tcW w:w="1672" w:type="pct"/>
            <w:noWrap/>
            <w:vAlign w:val="center"/>
          </w:tcPr>
          <w:p w14:paraId="503A0BC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3.3843</w:t>
            </w:r>
          </w:p>
        </w:tc>
      </w:tr>
      <w:tr w:rsidR="000A0ACD" w14:paraId="58D6E2F6" w14:textId="77777777">
        <w:trPr>
          <w:trHeight w:val="397"/>
        </w:trPr>
        <w:tc>
          <w:tcPr>
            <w:tcW w:w="395" w:type="pct"/>
            <w:noWrap/>
            <w:vAlign w:val="center"/>
          </w:tcPr>
          <w:p w14:paraId="0AA46D7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34</w:t>
            </w:r>
          </w:p>
        </w:tc>
        <w:tc>
          <w:tcPr>
            <w:tcW w:w="991" w:type="pct"/>
            <w:noWrap/>
            <w:vAlign w:val="center"/>
          </w:tcPr>
          <w:p w14:paraId="6108B46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019510.SH</w:t>
            </w:r>
          </w:p>
        </w:tc>
        <w:tc>
          <w:tcPr>
            <w:tcW w:w="802" w:type="pct"/>
            <w:noWrap/>
            <w:vAlign w:val="center"/>
          </w:tcPr>
          <w:p w14:paraId="25FE313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w:t>
            </w:r>
          </w:p>
        </w:tc>
        <w:tc>
          <w:tcPr>
            <w:tcW w:w="1140" w:type="pct"/>
            <w:noWrap/>
            <w:vAlign w:val="center"/>
          </w:tcPr>
          <w:p w14:paraId="23B28AE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44.9014</w:t>
            </w:r>
          </w:p>
        </w:tc>
        <w:tc>
          <w:tcPr>
            <w:tcW w:w="1672" w:type="pct"/>
            <w:noWrap/>
            <w:vAlign w:val="center"/>
          </w:tcPr>
          <w:p w14:paraId="1387B92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3.5113</w:t>
            </w:r>
          </w:p>
        </w:tc>
      </w:tr>
      <w:tr w:rsidR="000A0ACD" w14:paraId="1A2AAF1A" w14:textId="77777777">
        <w:trPr>
          <w:trHeight w:val="397"/>
        </w:trPr>
        <w:tc>
          <w:tcPr>
            <w:tcW w:w="395" w:type="pct"/>
            <w:noWrap/>
            <w:vAlign w:val="center"/>
          </w:tcPr>
          <w:p w14:paraId="46CDD06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35</w:t>
            </w:r>
          </w:p>
        </w:tc>
        <w:tc>
          <w:tcPr>
            <w:tcW w:w="991" w:type="pct"/>
            <w:noWrap/>
            <w:vAlign w:val="center"/>
          </w:tcPr>
          <w:p w14:paraId="60C0115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019517.SH</w:t>
            </w:r>
          </w:p>
        </w:tc>
        <w:tc>
          <w:tcPr>
            <w:tcW w:w="802" w:type="pct"/>
            <w:noWrap/>
            <w:vAlign w:val="center"/>
          </w:tcPr>
          <w:p w14:paraId="436663B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w:t>
            </w:r>
          </w:p>
        </w:tc>
        <w:tc>
          <w:tcPr>
            <w:tcW w:w="1140" w:type="pct"/>
            <w:noWrap/>
            <w:vAlign w:val="center"/>
          </w:tcPr>
          <w:p w14:paraId="4A0B476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25.0738</w:t>
            </w:r>
          </w:p>
        </w:tc>
        <w:tc>
          <w:tcPr>
            <w:tcW w:w="1672" w:type="pct"/>
            <w:noWrap/>
            <w:vAlign w:val="center"/>
          </w:tcPr>
          <w:p w14:paraId="2DBF2CE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3.6089</w:t>
            </w:r>
          </w:p>
        </w:tc>
      </w:tr>
      <w:tr w:rsidR="000A0ACD" w14:paraId="3F4EC0B9" w14:textId="77777777">
        <w:trPr>
          <w:trHeight w:val="397"/>
        </w:trPr>
        <w:tc>
          <w:tcPr>
            <w:tcW w:w="395" w:type="pct"/>
            <w:noWrap/>
            <w:vAlign w:val="center"/>
          </w:tcPr>
          <w:p w14:paraId="728C44B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36</w:t>
            </w:r>
          </w:p>
        </w:tc>
        <w:tc>
          <w:tcPr>
            <w:tcW w:w="991" w:type="pct"/>
            <w:noWrap/>
            <w:vAlign w:val="center"/>
          </w:tcPr>
          <w:p w14:paraId="0A35439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019521.SH</w:t>
            </w:r>
          </w:p>
        </w:tc>
        <w:tc>
          <w:tcPr>
            <w:tcW w:w="802" w:type="pct"/>
            <w:noWrap/>
            <w:vAlign w:val="center"/>
          </w:tcPr>
          <w:p w14:paraId="386F2F0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21</w:t>
            </w:r>
          </w:p>
        </w:tc>
        <w:tc>
          <w:tcPr>
            <w:tcW w:w="1140" w:type="pct"/>
            <w:noWrap/>
            <w:vAlign w:val="center"/>
          </w:tcPr>
          <w:p w14:paraId="1C6D0A3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15.2295</w:t>
            </w:r>
          </w:p>
        </w:tc>
        <w:tc>
          <w:tcPr>
            <w:tcW w:w="1672" w:type="pct"/>
            <w:noWrap/>
            <w:vAlign w:val="center"/>
          </w:tcPr>
          <w:p w14:paraId="1E2CFF6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3.3405</w:t>
            </w:r>
          </w:p>
        </w:tc>
      </w:tr>
      <w:tr w:rsidR="000A0ACD" w14:paraId="7AAFA0F3" w14:textId="77777777">
        <w:trPr>
          <w:trHeight w:val="397"/>
        </w:trPr>
        <w:tc>
          <w:tcPr>
            <w:tcW w:w="395" w:type="pct"/>
            <w:noWrap/>
            <w:vAlign w:val="center"/>
          </w:tcPr>
          <w:p w14:paraId="4B445CC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37</w:t>
            </w:r>
          </w:p>
        </w:tc>
        <w:tc>
          <w:tcPr>
            <w:tcW w:w="991" w:type="pct"/>
            <w:noWrap/>
            <w:vAlign w:val="center"/>
          </w:tcPr>
          <w:p w14:paraId="18A8743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019525.SH</w:t>
            </w:r>
          </w:p>
        </w:tc>
        <w:tc>
          <w:tcPr>
            <w:tcW w:w="802" w:type="pct"/>
            <w:noWrap/>
            <w:vAlign w:val="center"/>
          </w:tcPr>
          <w:p w14:paraId="117F631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25</w:t>
            </w:r>
          </w:p>
        </w:tc>
        <w:tc>
          <w:tcPr>
            <w:tcW w:w="1140" w:type="pct"/>
            <w:noWrap/>
            <w:vAlign w:val="center"/>
          </w:tcPr>
          <w:p w14:paraId="5F08F53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25.3060</w:t>
            </w:r>
          </w:p>
        </w:tc>
        <w:tc>
          <w:tcPr>
            <w:tcW w:w="1672" w:type="pct"/>
            <w:noWrap/>
            <w:vAlign w:val="center"/>
          </w:tcPr>
          <w:p w14:paraId="75B34D7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3.7740</w:t>
            </w:r>
          </w:p>
        </w:tc>
      </w:tr>
      <w:tr w:rsidR="000A0ACD" w14:paraId="62D09AB2" w14:textId="77777777">
        <w:trPr>
          <w:trHeight w:val="397"/>
        </w:trPr>
        <w:tc>
          <w:tcPr>
            <w:tcW w:w="395" w:type="pct"/>
            <w:noWrap/>
            <w:vAlign w:val="center"/>
          </w:tcPr>
          <w:p w14:paraId="3EBE787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38</w:t>
            </w:r>
          </w:p>
        </w:tc>
        <w:tc>
          <w:tcPr>
            <w:tcW w:w="991" w:type="pct"/>
            <w:noWrap/>
            <w:vAlign w:val="center"/>
          </w:tcPr>
          <w:p w14:paraId="2C21817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019528.SH</w:t>
            </w:r>
          </w:p>
        </w:tc>
        <w:tc>
          <w:tcPr>
            <w:tcW w:w="802" w:type="pct"/>
            <w:noWrap/>
            <w:vAlign w:val="center"/>
          </w:tcPr>
          <w:p w14:paraId="1C70B09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28</w:t>
            </w:r>
          </w:p>
        </w:tc>
        <w:tc>
          <w:tcPr>
            <w:tcW w:w="1140" w:type="pct"/>
            <w:noWrap/>
            <w:vAlign w:val="center"/>
          </w:tcPr>
          <w:p w14:paraId="2A32413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45.3989</w:t>
            </w:r>
          </w:p>
        </w:tc>
        <w:tc>
          <w:tcPr>
            <w:tcW w:w="1672" w:type="pct"/>
            <w:noWrap/>
            <w:vAlign w:val="center"/>
          </w:tcPr>
          <w:p w14:paraId="64FD41C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3.6782</w:t>
            </w:r>
          </w:p>
        </w:tc>
      </w:tr>
      <w:tr w:rsidR="000A0ACD" w14:paraId="32F1B532" w14:textId="77777777">
        <w:trPr>
          <w:trHeight w:val="397"/>
        </w:trPr>
        <w:tc>
          <w:tcPr>
            <w:tcW w:w="395" w:type="pct"/>
            <w:noWrap/>
            <w:vAlign w:val="center"/>
          </w:tcPr>
          <w:p w14:paraId="77CB9C1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39</w:t>
            </w:r>
          </w:p>
        </w:tc>
        <w:tc>
          <w:tcPr>
            <w:tcW w:w="991" w:type="pct"/>
            <w:noWrap/>
            <w:vAlign w:val="center"/>
          </w:tcPr>
          <w:p w14:paraId="5930211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019536.SH</w:t>
            </w:r>
          </w:p>
        </w:tc>
        <w:tc>
          <w:tcPr>
            <w:tcW w:w="802" w:type="pct"/>
            <w:noWrap/>
            <w:vAlign w:val="center"/>
          </w:tcPr>
          <w:p w14:paraId="2672E14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16</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w:t>
            </w:r>
          </w:p>
        </w:tc>
        <w:tc>
          <w:tcPr>
            <w:tcW w:w="1140" w:type="pct"/>
            <w:noWrap/>
            <w:vAlign w:val="center"/>
          </w:tcPr>
          <w:p w14:paraId="203A0E4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25.8192</w:t>
            </w:r>
          </w:p>
        </w:tc>
        <w:tc>
          <w:tcPr>
            <w:tcW w:w="1672" w:type="pct"/>
            <w:noWrap/>
            <w:vAlign w:val="center"/>
          </w:tcPr>
          <w:p w14:paraId="6E439D2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3.6612</w:t>
            </w:r>
          </w:p>
        </w:tc>
      </w:tr>
      <w:tr w:rsidR="000A0ACD" w14:paraId="5AA2D649" w14:textId="77777777">
        <w:trPr>
          <w:trHeight w:val="397"/>
        </w:trPr>
        <w:tc>
          <w:tcPr>
            <w:tcW w:w="395" w:type="pct"/>
            <w:noWrap/>
            <w:vAlign w:val="center"/>
          </w:tcPr>
          <w:p w14:paraId="7DC0FDB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40</w:t>
            </w:r>
          </w:p>
        </w:tc>
        <w:tc>
          <w:tcPr>
            <w:tcW w:w="991" w:type="pct"/>
            <w:noWrap/>
            <w:vAlign w:val="center"/>
          </w:tcPr>
          <w:p w14:paraId="6FD2BC1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019541.SH</w:t>
            </w:r>
          </w:p>
        </w:tc>
        <w:tc>
          <w:tcPr>
            <w:tcW w:w="802" w:type="pct"/>
            <w:noWrap/>
            <w:vAlign w:val="center"/>
          </w:tcPr>
          <w:p w14:paraId="02875B9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16</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w:t>
            </w:r>
          </w:p>
        </w:tc>
        <w:tc>
          <w:tcPr>
            <w:tcW w:w="1140" w:type="pct"/>
            <w:noWrap/>
            <w:vAlign w:val="center"/>
          </w:tcPr>
          <w:p w14:paraId="1DD236A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45.8959</w:t>
            </w:r>
          </w:p>
        </w:tc>
        <w:tc>
          <w:tcPr>
            <w:tcW w:w="1672" w:type="pct"/>
            <w:noWrap/>
            <w:vAlign w:val="center"/>
          </w:tcPr>
          <w:p w14:paraId="248698D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3.6798</w:t>
            </w:r>
          </w:p>
        </w:tc>
      </w:tr>
      <w:tr w:rsidR="000A0ACD" w14:paraId="274CC22E" w14:textId="77777777">
        <w:trPr>
          <w:trHeight w:val="397"/>
        </w:trPr>
        <w:tc>
          <w:tcPr>
            <w:tcW w:w="395" w:type="pct"/>
            <w:noWrap/>
            <w:vAlign w:val="center"/>
          </w:tcPr>
          <w:p w14:paraId="3403885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41</w:t>
            </w:r>
          </w:p>
        </w:tc>
        <w:tc>
          <w:tcPr>
            <w:tcW w:w="991" w:type="pct"/>
            <w:noWrap/>
            <w:vAlign w:val="center"/>
          </w:tcPr>
          <w:p w14:paraId="0693031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019547.SH</w:t>
            </w:r>
          </w:p>
        </w:tc>
        <w:tc>
          <w:tcPr>
            <w:tcW w:w="802" w:type="pct"/>
            <w:noWrap/>
            <w:vAlign w:val="center"/>
          </w:tcPr>
          <w:p w14:paraId="50EA891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16</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19</w:t>
            </w:r>
          </w:p>
        </w:tc>
        <w:tc>
          <w:tcPr>
            <w:tcW w:w="1140" w:type="pct"/>
            <w:noWrap/>
            <w:vAlign w:val="center"/>
          </w:tcPr>
          <w:p w14:paraId="509AC56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26.1448</w:t>
            </w:r>
          </w:p>
        </w:tc>
        <w:tc>
          <w:tcPr>
            <w:tcW w:w="1672" w:type="pct"/>
            <w:noWrap/>
            <w:vAlign w:val="center"/>
          </w:tcPr>
          <w:p w14:paraId="5C93A5C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3.6556</w:t>
            </w:r>
          </w:p>
        </w:tc>
      </w:tr>
      <w:tr w:rsidR="000A0ACD" w14:paraId="068E9CA7" w14:textId="77777777">
        <w:trPr>
          <w:trHeight w:val="397"/>
        </w:trPr>
        <w:tc>
          <w:tcPr>
            <w:tcW w:w="395" w:type="pct"/>
            <w:noWrap/>
            <w:vAlign w:val="center"/>
          </w:tcPr>
          <w:p w14:paraId="46C2193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42</w:t>
            </w:r>
          </w:p>
        </w:tc>
        <w:tc>
          <w:tcPr>
            <w:tcW w:w="991" w:type="pct"/>
            <w:noWrap/>
            <w:vAlign w:val="center"/>
          </w:tcPr>
          <w:p w14:paraId="1F4EC0F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019554.SH</w:t>
            </w:r>
          </w:p>
        </w:tc>
        <w:tc>
          <w:tcPr>
            <w:tcW w:w="802" w:type="pct"/>
            <w:noWrap/>
            <w:vAlign w:val="center"/>
          </w:tcPr>
          <w:p w14:paraId="2B4D264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16</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26</w:t>
            </w:r>
          </w:p>
        </w:tc>
        <w:tc>
          <w:tcPr>
            <w:tcW w:w="1140" w:type="pct"/>
            <w:noWrap/>
            <w:vAlign w:val="center"/>
          </w:tcPr>
          <w:p w14:paraId="49C2899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46.3934</w:t>
            </w:r>
          </w:p>
        </w:tc>
        <w:tc>
          <w:tcPr>
            <w:tcW w:w="1672" w:type="pct"/>
            <w:noWrap/>
            <w:vAlign w:val="center"/>
          </w:tcPr>
          <w:p w14:paraId="47258C9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3.6761</w:t>
            </w:r>
          </w:p>
        </w:tc>
      </w:tr>
      <w:tr w:rsidR="000A0ACD" w14:paraId="5E79601C" w14:textId="77777777">
        <w:trPr>
          <w:trHeight w:val="397"/>
        </w:trPr>
        <w:tc>
          <w:tcPr>
            <w:tcW w:w="395" w:type="pct"/>
            <w:noWrap/>
            <w:vAlign w:val="center"/>
          </w:tcPr>
          <w:p w14:paraId="281C5D7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43</w:t>
            </w:r>
          </w:p>
        </w:tc>
        <w:tc>
          <w:tcPr>
            <w:tcW w:w="991" w:type="pct"/>
            <w:noWrap/>
            <w:vAlign w:val="center"/>
          </w:tcPr>
          <w:p w14:paraId="6339FA1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019559.SH</w:t>
            </w:r>
          </w:p>
        </w:tc>
        <w:tc>
          <w:tcPr>
            <w:tcW w:w="802" w:type="pct"/>
            <w:noWrap/>
            <w:vAlign w:val="center"/>
          </w:tcPr>
          <w:p w14:paraId="423D159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05</w:t>
            </w:r>
          </w:p>
        </w:tc>
        <w:tc>
          <w:tcPr>
            <w:tcW w:w="1140" w:type="pct"/>
            <w:noWrap/>
            <w:vAlign w:val="center"/>
          </w:tcPr>
          <w:p w14:paraId="3C72CAC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26.6421</w:t>
            </w:r>
          </w:p>
        </w:tc>
        <w:tc>
          <w:tcPr>
            <w:tcW w:w="1672" w:type="pct"/>
            <w:noWrap/>
            <w:vAlign w:val="center"/>
          </w:tcPr>
          <w:p w14:paraId="1ADAFF1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3.9204</w:t>
            </w:r>
          </w:p>
        </w:tc>
      </w:tr>
      <w:tr w:rsidR="000A0ACD" w14:paraId="501C2CE5" w14:textId="77777777">
        <w:trPr>
          <w:trHeight w:val="397"/>
        </w:trPr>
        <w:tc>
          <w:tcPr>
            <w:tcW w:w="395" w:type="pct"/>
            <w:noWrap/>
            <w:vAlign w:val="center"/>
          </w:tcPr>
          <w:p w14:paraId="7168FFF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44</w:t>
            </w:r>
          </w:p>
        </w:tc>
        <w:tc>
          <w:tcPr>
            <w:tcW w:w="991" w:type="pct"/>
            <w:noWrap/>
            <w:vAlign w:val="center"/>
          </w:tcPr>
          <w:p w14:paraId="642F9E5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019565.SH</w:t>
            </w:r>
          </w:p>
        </w:tc>
        <w:tc>
          <w:tcPr>
            <w:tcW w:w="802" w:type="pct"/>
            <w:noWrap/>
            <w:vAlign w:val="center"/>
          </w:tcPr>
          <w:p w14:paraId="11DB192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w:t>
            </w:r>
          </w:p>
        </w:tc>
        <w:tc>
          <w:tcPr>
            <w:tcW w:w="1140" w:type="pct"/>
            <w:noWrap/>
            <w:vAlign w:val="center"/>
          </w:tcPr>
          <w:p w14:paraId="1D60859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46.8932</w:t>
            </w:r>
          </w:p>
        </w:tc>
        <w:tc>
          <w:tcPr>
            <w:tcW w:w="1672" w:type="pct"/>
            <w:noWrap/>
            <w:vAlign w:val="center"/>
          </w:tcPr>
          <w:p w14:paraId="1AF1FA4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4.1207</w:t>
            </w:r>
          </w:p>
        </w:tc>
      </w:tr>
      <w:tr w:rsidR="000A0ACD" w14:paraId="6C2A419E" w14:textId="77777777">
        <w:trPr>
          <w:trHeight w:val="397"/>
        </w:trPr>
        <w:tc>
          <w:tcPr>
            <w:tcW w:w="395" w:type="pct"/>
            <w:noWrap/>
            <w:vAlign w:val="center"/>
          </w:tcPr>
          <w:p w14:paraId="63F32D9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45</w:t>
            </w:r>
          </w:p>
        </w:tc>
        <w:tc>
          <w:tcPr>
            <w:tcW w:w="991" w:type="pct"/>
            <w:noWrap/>
            <w:vAlign w:val="center"/>
          </w:tcPr>
          <w:p w14:paraId="032A243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019569.SH</w:t>
            </w:r>
          </w:p>
        </w:tc>
        <w:tc>
          <w:tcPr>
            <w:tcW w:w="802" w:type="pct"/>
            <w:noWrap/>
            <w:vAlign w:val="center"/>
          </w:tcPr>
          <w:p w14:paraId="02BB808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w:t>
            </w:r>
          </w:p>
        </w:tc>
        <w:tc>
          <w:tcPr>
            <w:tcW w:w="1140" w:type="pct"/>
            <w:noWrap/>
            <w:vAlign w:val="center"/>
          </w:tcPr>
          <w:p w14:paraId="6E3ED09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27.0656</w:t>
            </w:r>
          </w:p>
        </w:tc>
        <w:tc>
          <w:tcPr>
            <w:tcW w:w="1672" w:type="pct"/>
            <w:noWrap/>
            <w:vAlign w:val="center"/>
          </w:tcPr>
          <w:p w14:paraId="7AD583B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3.6501</w:t>
            </w:r>
          </w:p>
        </w:tc>
      </w:tr>
      <w:tr w:rsidR="000A0ACD" w14:paraId="20069E92" w14:textId="77777777">
        <w:trPr>
          <w:trHeight w:val="397"/>
        </w:trPr>
        <w:tc>
          <w:tcPr>
            <w:tcW w:w="395" w:type="pct"/>
            <w:noWrap/>
            <w:vAlign w:val="center"/>
          </w:tcPr>
          <w:p w14:paraId="2C24314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46</w:t>
            </w:r>
          </w:p>
        </w:tc>
        <w:tc>
          <w:tcPr>
            <w:tcW w:w="991" w:type="pct"/>
            <w:noWrap/>
            <w:vAlign w:val="center"/>
          </w:tcPr>
          <w:p w14:paraId="0383336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019577.SH</w:t>
            </w:r>
          </w:p>
        </w:tc>
        <w:tc>
          <w:tcPr>
            <w:tcW w:w="802" w:type="pct"/>
            <w:noWrap/>
            <w:vAlign w:val="center"/>
          </w:tcPr>
          <w:p w14:paraId="5B57E29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22</w:t>
            </w:r>
          </w:p>
        </w:tc>
        <w:tc>
          <w:tcPr>
            <w:tcW w:w="1140" w:type="pct"/>
            <w:noWrap/>
            <w:vAlign w:val="center"/>
          </w:tcPr>
          <w:p w14:paraId="559D85F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27.3142</w:t>
            </w:r>
          </w:p>
        </w:tc>
        <w:tc>
          <w:tcPr>
            <w:tcW w:w="1672" w:type="pct"/>
            <w:noWrap/>
            <w:vAlign w:val="center"/>
          </w:tcPr>
          <w:p w14:paraId="172921E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3.9769</w:t>
            </w:r>
          </w:p>
        </w:tc>
      </w:tr>
      <w:tr w:rsidR="000A0ACD" w14:paraId="16C901BE" w14:textId="77777777">
        <w:trPr>
          <w:trHeight w:val="397"/>
        </w:trPr>
        <w:tc>
          <w:tcPr>
            <w:tcW w:w="395" w:type="pct"/>
            <w:noWrap/>
            <w:vAlign w:val="center"/>
          </w:tcPr>
          <w:p w14:paraId="38FDFFF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47</w:t>
            </w:r>
          </w:p>
        </w:tc>
        <w:tc>
          <w:tcPr>
            <w:tcW w:w="991" w:type="pct"/>
            <w:noWrap/>
            <w:vAlign w:val="center"/>
          </w:tcPr>
          <w:p w14:paraId="0352423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019581.SH</w:t>
            </w:r>
          </w:p>
        </w:tc>
        <w:tc>
          <w:tcPr>
            <w:tcW w:w="802" w:type="pct"/>
            <w:noWrap/>
            <w:vAlign w:val="center"/>
          </w:tcPr>
          <w:p w14:paraId="05C1E48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26</w:t>
            </w:r>
          </w:p>
        </w:tc>
        <w:tc>
          <w:tcPr>
            <w:tcW w:w="1140" w:type="pct"/>
            <w:noWrap/>
            <w:vAlign w:val="center"/>
          </w:tcPr>
          <w:p w14:paraId="7A691EF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47.3907</w:t>
            </w:r>
          </w:p>
        </w:tc>
        <w:tc>
          <w:tcPr>
            <w:tcW w:w="1672" w:type="pct"/>
            <w:noWrap/>
            <w:vAlign w:val="center"/>
          </w:tcPr>
          <w:p w14:paraId="2DD6716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4.4167</w:t>
            </w:r>
          </w:p>
        </w:tc>
      </w:tr>
      <w:tr w:rsidR="000A0ACD" w14:paraId="106D6677" w14:textId="77777777">
        <w:trPr>
          <w:trHeight w:val="397"/>
        </w:trPr>
        <w:tc>
          <w:tcPr>
            <w:tcW w:w="395" w:type="pct"/>
            <w:noWrap/>
            <w:vAlign w:val="center"/>
          </w:tcPr>
          <w:p w14:paraId="3854858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48</w:t>
            </w:r>
          </w:p>
        </w:tc>
        <w:tc>
          <w:tcPr>
            <w:tcW w:w="991" w:type="pct"/>
            <w:noWrap/>
            <w:vAlign w:val="center"/>
          </w:tcPr>
          <w:p w14:paraId="1D936C0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019588.SH</w:t>
            </w:r>
          </w:p>
        </w:tc>
        <w:tc>
          <w:tcPr>
            <w:tcW w:w="802" w:type="pct"/>
            <w:noWrap/>
            <w:vAlign w:val="center"/>
          </w:tcPr>
          <w:p w14:paraId="3BA4162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06</w:t>
            </w:r>
          </w:p>
        </w:tc>
        <w:tc>
          <w:tcPr>
            <w:tcW w:w="1140" w:type="pct"/>
            <w:noWrap/>
            <w:vAlign w:val="center"/>
          </w:tcPr>
          <w:p w14:paraId="20F3505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27.7178</w:t>
            </w:r>
          </w:p>
        </w:tc>
        <w:tc>
          <w:tcPr>
            <w:tcW w:w="1672" w:type="pct"/>
            <w:noWrap/>
            <w:vAlign w:val="center"/>
          </w:tcPr>
          <w:p w14:paraId="315E79A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4.2629</w:t>
            </w:r>
          </w:p>
        </w:tc>
      </w:tr>
      <w:tr w:rsidR="000A0ACD" w14:paraId="0272FCFC" w14:textId="77777777">
        <w:trPr>
          <w:trHeight w:val="397"/>
        </w:trPr>
        <w:tc>
          <w:tcPr>
            <w:tcW w:w="395" w:type="pct"/>
            <w:noWrap/>
            <w:vAlign w:val="center"/>
          </w:tcPr>
          <w:p w14:paraId="5000AD8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49</w:t>
            </w:r>
          </w:p>
        </w:tc>
        <w:tc>
          <w:tcPr>
            <w:tcW w:w="991" w:type="pct"/>
            <w:noWrap/>
            <w:vAlign w:val="center"/>
          </w:tcPr>
          <w:p w14:paraId="450F27F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019594.SH</w:t>
            </w:r>
          </w:p>
        </w:tc>
        <w:tc>
          <w:tcPr>
            <w:tcW w:w="802" w:type="pct"/>
            <w:noWrap/>
            <w:vAlign w:val="center"/>
          </w:tcPr>
          <w:p w14:paraId="717DAAA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w:t>
            </w:r>
          </w:p>
        </w:tc>
        <w:tc>
          <w:tcPr>
            <w:tcW w:w="1140" w:type="pct"/>
            <w:noWrap/>
            <w:vAlign w:val="center"/>
          </w:tcPr>
          <w:p w14:paraId="7D0822F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47.8904</w:t>
            </w:r>
          </w:p>
        </w:tc>
        <w:tc>
          <w:tcPr>
            <w:tcW w:w="1672" w:type="pct"/>
            <w:noWrap/>
            <w:vAlign w:val="center"/>
          </w:tcPr>
          <w:p w14:paraId="3C32C31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4.1717</w:t>
            </w:r>
          </w:p>
        </w:tc>
      </w:tr>
      <w:tr w:rsidR="000A0ACD" w14:paraId="57D177AE" w14:textId="77777777">
        <w:trPr>
          <w:trHeight w:val="397"/>
        </w:trPr>
        <w:tc>
          <w:tcPr>
            <w:tcW w:w="395" w:type="pct"/>
            <w:noWrap/>
            <w:vAlign w:val="center"/>
          </w:tcPr>
          <w:p w14:paraId="106008C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50</w:t>
            </w:r>
          </w:p>
        </w:tc>
        <w:tc>
          <w:tcPr>
            <w:tcW w:w="991" w:type="pct"/>
            <w:noWrap/>
            <w:vAlign w:val="center"/>
          </w:tcPr>
          <w:p w14:paraId="4F3E24E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019599.SH</w:t>
            </w:r>
          </w:p>
        </w:tc>
        <w:tc>
          <w:tcPr>
            <w:tcW w:w="802" w:type="pct"/>
            <w:noWrap/>
            <w:vAlign w:val="center"/>
          </w:tcPr>
          <w:p w14:paraId="1E1A4B2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w:t>
            </w:r>
          </w:p>
        </w:tc>
        <w:tc>
          <w:tcPr>
            <w:tcW w:w="1140" w:type="pct"/>
            <w:noWrap/>
            <w:vAlign w:val="center"/>
          </w:tcPr>
          <w:p w14:paraId="71C292A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28.0628</w:t>
            </w:r>
          </w:p>
        </w:tc>
        <w:tc>
          <w:tcPr>
            <w:tcW w:w="1672" w:type="pct"/>
            <w:noWrap/>
            <w:vAlign w:val="center"/>
          </w:tcPr>
          <w:p w14:paraId="507FF47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3.4426</w:t>
            </w:r>
          </w:p>
        </w:tc>
      </w:tr>
      <w:tr w:rsidR="000A0ACD" w14:paraId="65E2E09F" w14:textId="77777777">
        <w:trPr>
          <w:trHeight w:val="397"/>
        </w:trPr>
        <w:tc>
          <w:tcPr>
            <w:tcW w:w="395" w:type="pct"/>
            <w:noWrap/>
            <w:vAlign w:val="center"/>
          </w:tcPr>
          <w:p w14:paraId="19E925E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51</w:t>
            </w:r>
          </w:p>
        </w:tc>
        <w:tc>
          <w:tcPr>
            <w:tcW w:w="991" w:type="pct"/>
            <w:noWrap/>
            <w:vAlign w:val="center"/>
          </w:tcPr>
          <w:p w14:paraId="205EF02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019606.SH</w:t>
            </w:r>
          </w:p>
        </w:tc>
        <w:tc>
          <w:tcPr>
            <w:tcW w:w="802" w:type="pct"/>
            <w:noWrap/>
            <w:vAlign w:val="center"/>
          </w:tcPr>
          <w:p w14:paraId="752F994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24</w:t>
            </w:r>
          </w:p>
        </w:tc>
        <w:tc>
          <w:tcPr>
            <w:tcW w:w="1140" w:type="pct"/>
            <w:noWrap/>
            <w:vAlign w:val="center"/>
          </w:tcPr>
          <w:p w14:paraId="3E1715F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28.3115</w:t>
            </w:r>
          </w:p>
        </w:tc>
        <w:tc>
          <w:tcPr>
            <w:tcW w:w="1672" w:type="pct"/>
            <w:noWrap/>
            <w:vAlign w:val="center"/>
          </w:tcPr>
          <w:p w14:paraId="16B2D6B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3.5815</w:t>
            </w:r>
          </w:p>
        </w:tc>
      </w:tr>
      <w:tr w:rsidR="000A0ACD" w14:paraId="46A5FAF4" w14:textId="77777777">
        <w:trPr>
          <w:trHeight w:val="397"/>
        </w:trPr>
        <w:tc>
          <w:tcPr>
            <w:tcW w:w="395" w:type="pct"/>
            <w:noWrap/>
            <w:vAlign w:val="center"/>
          </w:tcPr>
          <w:p w14:paraId="4BD026E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52</w:t>
            </w:r>
          </w:p>
        </w:tc>
        <w:tc>
          <w:tcPr>
            <w:tcW w:w="991" w:type="pct"/>
            <w:noWrap/>
            <w:vAlign w:val="center"/>
          </w:tcPr>
          <w:p w14:paraId="0B7232E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019607.SH</w:t>
            </w:r>
          </w:p>
        </w:tc>
        <w:tc>
          <w:tcPr>
            <w:tcW w:w="802" w:type="pct"/>
            <w:noWrap/>
            <w:vAlign w:val="center"/>
          </w:tcPr>
          <w:p w14:paraId="3717BBD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25</w:t>
            </w:r>
          </w:p>
        </w:tc>
        <w:tc>
          <w:tcPr>
            <w:tcW w:w="1140" w:type="pct"/>
            <w:noWrap/>
            <w:vAlign w:val="center"/>
          </w:tcPr>
          <w:p w14:paraId="248DB42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48.3880</w:t>
            </w:r>
          </w:p>
        </w:tc>
        <w:tc>
          <w:tcPr>
            <w:tcW w:w="1672" w:type="pct"/>
            <w:noWrap/>
            <w:vAlign w:val="center"/>
          </w:tcPr>
          <w:p w14:paraId="6B44BA2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3.8557</w:t>
            </w:r>
          </w:p>
        </w:tc>
      </w:tr>
      <w:tr w:rsidR="000A0ACD" w14:paraId="525375D8" w14:textId="77777777">
        <w:trPr>
          <w:trHeight w:val="397"/>
        </w:trPr>
        <w:tc>
          <w:tcPr>
            <w:tcW w:w="395" w:type="pct"/>
            <w:noWrap/>
            <w:vAlign w:val="center"/>
          </w:tcPr>
          <w:p w14:paraId="6899307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53</w:t>
            </w:r>
          </w:p>
        </w:tc>
        <w:tc>
          <w:tcPr>
            <w:tcW w:w="991" w:type="pct"/>
            <w:noWrap/>
            <w:vAlign w:val="center"/>
          </w:tcPr>
          <w:p w14:paraId="57E6210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019618.SH</w:t>
            </w:r>
          </w:p>
        </w:tc>
        <w:tc>
          <w:tcPr>
            <w:tcW w:w="802" w:type="pct"/>
            <w:noWrap/>
            <w:vAlign w:val="center"/>
          </w:tcPr>
          <w:p w14:paraId="328EA9F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19</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w:t>
            </w:r>
          </w:p>
        </w:tc>
        <w:tc>
          <w:tcPr>
            <w:tcW w:w="1140" w:type="pct"/>
            <w:noWrap/>
            <w:vAlign w:val="center"/>
          </w:tcPr>
          <w:p w14:paraId="261A619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48.9836</w:t>
            </w:r>
          </w:p>
        </w:tc>
        <w:tc>
          <w:tcPr>
            <w:tcW w:w="1672" w:type="pct"/>
            <w:noWrap/>
            <w:vAlign w:val="center"/>
          </w:tcPr>
          <w:p w14:paraId="5D1D911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3.7022</w:t>
            </w:r>
          </w:p>
        </w:tc>
      </w:tr>
      <w:tr w:rsidR="000A0ACD" w14:paraId="6E612F5D" w14:textId="77777777">
        <w:trPr>
          <w:trHeight w:val="397"/>
        </w:trPr>
        <w:tc>
          <w:tcPr>
            <w:tcW w:w="395" w:type="pct"/>
            <w:noWrap/>
            <w:vAlign w:val="center"/>
          </w:tcPr>
          <w:p w14:paraId="66DCC78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54</w:t>
            </w:r>
          </w:p>
        </w:tc>
        <w:tc>
          <w:tcPr>
            <w:tcW w:w="991" w:type="pct"/>
            <w:noWrap/>
            <w:vAlign w:val="center"/>
          </w:tcPr>
          <w:p w14:paraId="3EE004C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019620.SH</w:t>
            </w:r>
          </w:p>
        </w:tc>
        <w:tc>
          <w:tcPr>
            <w:tcW w:w="802" w:type="pct"/>
            <w:noWrap/>
            <w:vAlign w:val="center"/>
          </w:tcPr>
          <w:p w14:paraId="3324F62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19</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w:t>
            </w:r>
          </w:p>
        </w:tc>
        <w:tc>
          <w:tcPr>
            <w:tcW w:w="1140" w:type="pct"/>
            <w:noWrap/>
            <w:vAlign w:val="center"/>
          </w:tcPr>
          <w:p w14:paraId="2C0318A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29.0601</w:t>
            </w:r>
          </w:p>
        </w:tc>
        <w:tc>
          <w:tcPr>
            <w:tcW w:w="1672" w:type="pct"/>
            <w:noWrap/>
            <w:vAlign w:val="center"/>
          </w:tcPr>
          <w:p w14:paraId="0DD6394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3.1834</w:t>
            </w:r>
          </w:p>
        </w:tc>
      </w:tr>
      <w:tr w:rsidR="000A0ACD" w14:paraId="161DEE13" w14:textId="77777777">
        <w:trPr>
          <w:trHeight w:val="397"/>
        </w:trPr>
        <w:tc>
          <w:tcPr>
            <w:tcW w:w="395" w:type="pct"/>
            <w:noWrap/>
            <w:vAlign w:val="center"/>
          </w:tcPr>
          <w:p w14:paraId="2162EE4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55</w:t>
            </w:r>
          </w:p>
        </w:tc>
        <w:tc>
          <w:tcPr>
            <w:tcW w:w="991" w:type="pct"/>
            <w:noWrap/>
            <w:vAlign w:val="center"/>
          </w:tcPr>
          <w:p w14:paraId="6B5D195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019630.SH</w:t>
            </w:r>
          </w:p>
        </w:tc>
        <w:tc>
          <w:tcPr>
            <w:tcW w:w="802" w:type="pct"/>
            <w:noWrap/>
            <w:vAlign w:val="center"/>
          </w:tcPr>
          <w:p w14:paraId="6DA2649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20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04</w:t>
            </w:r>
          </w:p>
        </w:tc>
        <w:tc>
          <w:tcPr>
            <w:tcW w:w="1140" w:type="pct"/>
            <w:noWrap/>
            <w:vAlign w:val="center"/>
          </w:tcPr>
          <w:p w14:paraId="09F8E49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29.7096</w:t>
            </w:r>
          </w:p>
        </w:tc>
        <w:tc>
          <w:tcPr>
            <w:tcW w:w="1672" w:type="pct"/>
            <w:noWrap/>
            <w:vAlign w:val="center"/>
          </w:tcPr>
          <w:p w14:paraId="2C67686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3.5125</w:t>
            </w:r>
          </w:p>
        </w:tc>
      </w:tr>
      <w:tr w:rsidR="000A0ACD" w14:paraId="61D95EE0" w14:textId="77777777">
        <w:trPr>
          <w:trHeight w:val="397"/>
        </w:trPr>
        <w:tc>
          <w:tcPr>
            <w:tcW w:w="395" w:type="pct"/>
            <w:noWrap/>
            <w:vAlign w:val="center"/>
          </w:tcPr>
          <w:p w14:paraId="1543058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56</w:t>
            </w:r>
          </w:p>
        </w:tc>
        <w:tc>
          <w:tcPr>
            <w:tcW w:w="991" w:type="pct"/>
            <w:noWrap/>
            <w:vAlign w:val="center"/>
          </w:tcPr>
          <w:p w14:paraId="4737CF7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019633.SH</w:t>
            </w:r>
          </w:p>
        </w:tc>
        <w:tc>
          <w:tcPr>
            <w:tcW w:w="802" w:type="pct"/>
            <w:noWrap/>
            <w:vAlign w:val="center"/>
          </w:tcPr>
          <w:p w14:paraId="431F677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20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07</w:t>
            </w:r>
          </w:p>
        </w:tc>
        <w:tc>
          <w:tcPr>
            <w:tcW w:w="1140" w:type="pct"/>
            <w:noWrap/>
            <w:vAlign w:val="center"/>
          </w:tcPr>
          <w:p w14:paraId="26D0380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49.9014</w:t>
            </w:r>
          </w:p>
        </w:tc>
        <w:tc>
          <w:tcPr>
            <w:tcW w:w="1672" w:type="pct"/>
            <w:noWrap/>
            <w:vAlign w:val="center"/>
          </w:tcPr>
          <w:p w14:paraId="1D019C6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3.7641</w:t>
            </w:r>
          </w:p>
        </w:tc>
      </w:tr>
      <w:tr w:rsidR="000A0ACD" w14:paraId="6B95C619" w14:textId="77777777">
        <w:trPr>
          <w:trHeight w:val="397"/>
        </w:trPr>
        <w:tc>
          <w:tcPr>
            <w:tcW w:w="395" w:type="pct"/>
            <w:noWrap/>
            <w:vAlign w:val="center"/>
          </w:tcPr>
          <w:p w14:paraId="6B199A3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57</w:t>
            </w:r>
          </w:p>
        </w:tc>
        <w:tc>
          <w:tcPr>
            <w:tcW w:w="991" w:type="pct"/>
            <w:noWrap/>
            <w:vAlign w:val="center"/>
          </w:tcPr>
          <w:p w14:paraId="503DAD2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019806.SH</w:t>
            </w:r>
          </w:p>
        </w:tc>
        <w:tc>
          <w:tcPr>
            <w:tcW w:w="802" w:type="pct"/>
            <w:noWrap/>
            <w:vAlign w:val="center"/>
          </w:tcPr>
          <w:p w14:paraId="6927CF1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06</w:t>
            </w:r>
          </w:p>
        </w:tc>
        <w:tc>
          <w:tcPr>
            <w:tcW w:w="1140" w:type="pct"/>
            <w:noWrap/>
            <w:vAlign w:val="center"/>
          </w:tcPr>
          <w:p w14:paraId="374061C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17.8548</w:t>
            </w:r>
          </w:p>
        </w:tc>
        <w:tc>
          <w:tcPr>
            <w:tcW w:w="1672" w:type="pct"/>
            <w:noWrap/>
            <w:vAlign w:val="center"/>
          </w:tcPr>
          <w:p w14:paraId="3BF2C5A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4.5487</w:t>
            </w:r>
          </w:p>
        </w:tc>
      </w:tr>
      <w:tr w:rsidR="000A0ACD" w14:paraId="029F53E6" w14:textId="77777777">
        <w:trPr>
          <w:trHeight w:val="397"/>
        </w:trPr>
        <w:tc>
          <w:tcPr>
            <w:tcW w:w="395" w:type="pct"/>
            <w:noWrap/>
            <w:vAlign w:val="center"/>
          </w:tcPr>
          <w:p w14:paraId="6BDDA7E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58</w:t>
            </w:r>
          </w:p>
        </w:tc>
        <w:tc>
          <w:tcPr>
            <w:tcW w:w="991" w:type="pct"/>
            <w:noWrap/>
            <w:vAlign w:val="center"/>
          </w:tcPr>
          <w:p w14:paraId="317EA49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019820.SH</w:t>
            </w:r>
          </w:p>
        </w:tc>
        <w:tc>
          <w:tcPr>
            <w:tcW w:w="802" w:type="pct"/>
            <w:noWrap/>
            <w:vAlign w:val="center"/>
          </w:tcPr>
          <w:p w14:paraId="627C980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20</w:t>
            </w:r>
          </w:p>
        </w:tc>
        <w:tc>
          <w:tcPr>
            <w:tcW w:w="1140" w:type="pct"/>
            <w:noWrap/>
            <w:vAlign w:val="center"/>
          </w:tcPr>
          <w:p w14:paraId="60E0613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18.3142</w:t>
            </w:r>
          </w:p>
        </w:tc>
        <w:tc>
          <w:tcPr>
            <w:tcW w:w="1672" w:type="pct"/>
            <w:noWrap/>
            <w:vAlign w:val="center"/>
          </w:tcPr>
          <w:p w14:paraId="1AFD4DD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3.9469</w:t>
            </w:r>
          </w:p>
        </w:tc>
      </w:tr>
      <w:tr w:rsidR="000A0ACD" w14:paraId="63912EF0" w14:textId="77777777">
        <w:trPr>
          <w:trHeight w:val="397"/>
        </w:trPr>
        <w:tc>
          <w:tcPr>
            <w:tcW w:w="395" w:type="pct"/>
            <w:noWrap/>
            <w:vAlign w:val="center"/>
          </w:tcPr>
          <w:p w14:paraId="3562538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59</w:t>
            </w:r>
          </w:p>
        </w:tc>
        <w:tc>
          <w:tcPr>
            <w:tcW w:w="991" w:type="pct"/>
            <w:noWrap/>
            <w:vAlign w:val="center"/>
          </w:tcPr>
          <w:p w14:paraId="182B4BF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019905.SH</w:t>
            </w:r>
          </w:p>
        </w:tc>
        <w:tc>
          <w:tcPr>
            <w:tcW w:w="802" w:type="pct"/>
            <w:noWrap/>
            <w:vAlign w:val="center"/>
          </w:tcPr>
          <w:p w14:paraId="500F39F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09</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05</w:t>
            </w:r>
          </w:p>
        </w:tc>
        <w:tc>
          <w:tcPr>
            <w:tcW w:w="1140" w:type="pct"/>
            <w:noWrap/>
            <w:vAlign w:val="center"/>
          </w:tcPr>
          <w:p w14:paraId="732FD21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18.7753</w:t>
            </w:r>
          </w:p>
        </w:tc>
        <w:tc>
          <w:tcPr>
            <w:tcW w:w="1672" w:type="pct"/>
            <w:noWrap/>
            <w:vAlign w:val="center"/>
          </w:tcPr>
          <w:p w14:paraId="0C9C4F0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4.0590</w:t>
            </w:r>
          </w:p>
        </w:tc>
      </w:tr>
      <w:tr w:rsidR="000A0ACD" w14:paraId="4F48B6FB" w14:textId="77777777">
        <w:trPr>
          <w:trHeight w:val="397"/>
        </w:trPr>
        <w:tc>
          <w:tcPr>
            <w:tcW w:w="395" w:type="pct"/>
            <w:noWrap/>
            <w:vAlign w:val="center"/>
          </w:tcPr>
          <w:p w14:paraId="53C2942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60</w:t>
            </w:r>
          </w:p>
        </w:tc>
        <w:tc>
          <w:tcPr>
            <w:tcW w:w="991" w:type="pct"/>
            <w:noWrap/>
            <w:vAlign w:val="center"/>
          </w:tcPr>
          <w:p w14:paraId="6AB9F29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019925.SH</w:t>
            </w:r>
          </w:p>
        </w:tc>
        <w:tc>
          <w:tcPr>
            <w:tcW w:w="802" w:type="pct"/>
            <w:noWrap/>
            <w:vAlign w:val="center"/>
          </w:tcPr>
          <w:p w14:paraId="7A9C1F3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09</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25</w:t>
            </w:r>
          </w:p>
        </w:tc>
        <w:tc>
          <w:tcPr>
            <w:tcW w:w="1140" w:type="pct"/>
            <w:noWrap/>
            <w:vAlign w:val="center"/>
          </w:tcPr>
          <w:p w14:paraId="52672A3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19.2923</w:t>
            </w:r>
          </w:p>
        </w:tc>
        <w:tc>
          <w:tcPr>
            <w:tcW w:w="1672" w:type="pct"/>
            <w:noWrap/>
            <w:vAlign w:val="center"/>
          </w:tcPr>
          <w:p w14:paraId="5ACB960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4.6227</w:t>
            </w:r>
          </w:p>
        </w:tc>
      </w:tr>
      <w:tr w:rsidR="000A0ACD" w14:paraId="55916FCF" w14:textId="77777777">
        <w:trPr>
          <w:trHeight w:val="397"/>
        </w:trPr>
        <w:tc>
          <w:tcPr>
            <w:tcW w:w="395" w:type="pct"/>
            <w:noWrap/>
            <w:vAlign w:val="center"/>
          </w:tcPr>
          <w:p w14:paraId="33A0ACD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61</w:t>
            </w:r>
          </w:p>
        </w:tc>
        <w:tc>
          <w:tcPr>
            <w:tcW w:w="991" w:type="pct"/>
            <w:noWrap/>
            <w:vAlign w:val="center"/>
          </w:tcPr>
          <w:p w14:paraId="3613EFB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019930.SH</w:t>
            </w:r>
          </w:p>
        </w:tc>
        <w:tc>
          <w:tcPr>
            <w:tcW w:w="802" w:type="pct"/>
            <w:noWrap/>
            <w:vAlign w:val="center"/>
          </w:tcPr>
          <w:p w14:paraId="35E085D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09</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30</w:t>
            </w:r>
          </w:p>
        </w:tc>
        <w:tc>
          <w:tcPr>
            <w:tcW w:w="1140" w:type="pct"/>
            <w:noWrap/>
            <w:vAlign w:val="center"/>
          </w:tcPr>
          <w:p w14:paraId="017A753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39.4180</w:t>
            </w:r>
          </w:p>
        </w:tc>
        <w:tc>
          <w:tcPr>
            <w:tcW w:w="1672" w:type="pct"/>
            <w:noWrap/>
            <w:vAlign w:val="center"/>
          </w:tcPr>
          <w:p w14:paraId="51EEE9F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4.3453</w:t>
            </w:r>
          </w:p>
        </w:tc>
      </w:tr>
      <w:tr w:rsidR="000A0ACD" w14:paraId="79F3EECB" w14:textId="77777777">
        <w:trPr>
          <w:trHeight w:val="397"/>
        </w:trPr>
        <w:tc>
          <w:tcPr>
            <w:tcW w:w="395" w:type="pct"/>
            <w:noWrap/>
            <w:vAlign w:val="center"/>
          </w:tcPr>
          <w:p w14:paraId="477B326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62</w:t>
            </w:r>
          </w:p>
        </w:tc>
        <w:tc>
          <w:tcPr>
            <w:tcW w:w="991" w:type="pct"/>
            <w:noWrap/>
            <w:vAlign w:val="center"/>
          </w:tcPr>
          <w:p w14:paraId="5C49DAA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100706.SZ</w:t>
            </w:r>
          </w:p>
        </w:tc>
        <w:tc>
          <w:tcPr>
            <w:tcW w:w="802" w:type="pct"/>
            <w:noWrap/>
            <w:vAlign w:val="center"/>
          </w:tcPr>
          <w:p w14:paraId="18564A2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0706</w:t>
            </w:r>
          </w:p>
        </w:tc>
        <w:tc>
          <w:tcPr>
            <w:tcW w:w="1140" w:type="pct"/>
            <w:noWrap/>
            <w:vAlign w:val="center"/>
          </w:tcPr>
          <w:p w14:paraId="416896C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16.8795</w:t>
            </w:r>
          </w:p>
        </w:tc>
        <w:tc>
          <w:tcPr>
            <w:tcW w:w="1672" w:type="pct"/>
            <w:noWrap/>
            <w:vAlign w:val="center"/>
          </w:tcPr>
          <w:p w14:paraId="646E63B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4.3138</w:t>
            </w:r>
          </w:p>
        </w:tc>
      </w:tr>
      <w:tr w:rsidR="000A0ACD" w14:paraId="6A68B21E" w14:textId="77777777">
        <w:trPr>
          <w:trHeight w:val="397"/>
        </w:trPr>
        <w:tc>
          <w:tcPr>
            <w:tcW w:w="395" w:type="pct"/>
            <w:noWrap/>
            <w:vAlign w:val="center"/>
          </w:tcPr>
          <w:p w14:paraId="1E1CCBF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63</w:t>
            </w:r>
          </w:p>
        </w:tc>
        <w:tc>
          <w:tcPr>
            <w:tcW w:w="991" w:type="pct"/>
            <w:noWrap/>
            <w:vAlign w:val="center"/>
          </w:tcPr>
          <w:p w14:paraId="51CABEF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100806.SZ</w:t>
            </w:r>
          </w:p>
        </w:tc>
        <w:tc>
          <w:tcPr>
            <w:tcW w:w="802" w:type="pct"/>
            <w:noWrap/>
            <w:vAlign w:val="center"/>
          </w:tcPr>
          <w:p w14:paraId="6A0DE97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0806</w:t>
            </w:r>
          </w:p>
        </w:tc>
        <w:tc>
          <w:tcPr>
            <w:tcW w:w="1140" w:type="pct"/>
            <w:noWrap/>
            <w:vAlign w:val="center"/>
          </w:tcPr>
          <w:p w14:paraId="32C185B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17.8548</w:t>
            </w:r>
          </w:p>
        </w:tc>
        <w:tc>
          <w:tcPr>
            <w:tcW w:w="1672" w:type="pct"/>
            <w:noWrap/>
            <w:vAlign w:val="center"/>
          </w:tcPr>
          <w:p w14:paraId="4533AC6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4.5487</w:t>
            </w:r>
          </w:p>
        </w:tc>
      </w:tr>
      <w:tr w:rsidR="000A0ACD" w14:paraId="22159479" w14:textId="77777777">
        <w:trPr>
          <w:trHeight w:val="397"/>
        </w:trPr>
        <w:tc>
          <w:tcPr>
            <w:tcW w:w="395" w:type="pct"/>
            <w:noWrap/>
            <w:vAlign w:val="center"/>
          </w:tcPr>
          <w:p w14:paraId="4D86218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64</w:t>
            </w:r>
          </w:p>
        </w:tc>
        <w:tc>
          <w:tcPr>
            <w:tcW w:w="991" w:type="pct"/>
            <w:noWrap/>
            <w:vAlign w:val="center"/>
          </w:tcPr>
          <w:p w14:paraId="2DC1492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100820.SZ</w:t>
            </w:r>
          </w:p>
        </w:tc>
        <w:tc>
          <w:tcPr>
            <w:tcW w:w="802" w:type="pct"/>
            <w:noWrap/>
            <w:vAlign w:val="center"/>
          </w:tcPr>
          <w:p w14:paraId="6B213D5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0820</w:t>
            </w:r>
          </w:p>
        </w:tc>
        <w:tc>
          <w:tcPr>
            <w:tcW w:w="1140" w:type="pct"/>
            <w:noWrap/>
            <w:vAlign w:val="center"/>
          </w:tcPr>
          <w:p w14:paraId="753AB4A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18.3142</w:t>
            </w:r>
          </w:p>
        </w:tc>
        <w:tc>
          <w:tcPr>
            <w:tcW w:w="1672" w:type="pct"/>
            <w:noWrap/>
            <w:vAlign w:val="center"/>
          </w:tcPr>
          <w:p w14:paraId="68305AB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3.9469</w:t>
            </w:r>
          </w:p>
        </w:tc>
      </w:tr>
      <w:tr w:rsidR="000A0ACD" w14:paraId="59282A24" w14:textId="77777777">
        <w:trPr>
          <w:trHeight w:val="397"/>
        </w:trPr>
        <w:tc>
          <w:tcPr>
            <w:tcW w:w="395" w:type="pct"/>
            <w:noWrap/>
            <w:vAlign w:val="center"/>
          </w:tcPr>
          <w:p w14:paraId="30EDA5F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65</w:t>
            </w:r>
          </w:p>
        </w:tc>
        <w:tc>
          <w:tcPr>
            <w:tcW w:w="991" w:type="pct"/>
            <w:noWrap/>
            <w:vAlign w:val="center"/>
          </w:tcPr>
          <w:p w14:paraId="2804136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100905.SZ</w:t>
            </w:r>
          </w:p>
        </w:tc>
        <w:tc>
          <w:tcPr>
            <w:tcW w:w="802" w:type="pct"/>
            <w:noWrap/>
            <w:vAlign w:val="center"/>
          </w:tcPr>
          <w:p w14:paraId="3F690BC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0905</w:t>
            </w:r>
          </w:p>
        </w:tc>
        <w:tc>
          <w:tcPr>
            <w:tcW w:w="1140" w:type="pct"/>
            <w:noWrap/>
            <w:vAlign w:val="center"/>
          </w:tcPr>
          <w:p w14:paraId="3BF544A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18.7753</w:t>
            </w:r>
          </w:p>
        </w:tc>
        <w:tc>
          <w:tcPr>
            <w:tcW w:w="1672" w:type="pct"/>
            <w:noWrap/>
            <w:vAlign w:val="center"/>
          </w:tcPr>
          <w:p w14:paraId="4B56B9F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4.0590</w:t>
            </w:r>
          </w:p>
        </w:tc>
      </w:tr>
      <w:tr w:rsidR="000A0ACD" w14:paraId="5BA269A7" w14:textId="77777777">
        <w:trPr>
          <w:trHeight w:val="397"/>
        </w:trPr>
        <w:tc>
          <w:tcPr>
            <w:tcW w:w="395" w:type="pct"/>
            <w:noWrap/>
            <w:vAlign w:val="center"/>
          </w:tcPr>
          <w:p w14:paraId="74E58DE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66</w:t>
            </w:r>
          </w:p>
        </w:tc>
        <w:tc>
          <w:tcPr>
            <w:tcW w:w="991" w:type="pct"/>
            <w:noWrap/>
            <w:vAlign w:val="center"/>
          </w:tcPr>
          <w:p w14:paraId="2580D2A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100925.SZ</w:t>
            </w:r>
          </w:p>
        </w:tc>
        <w:tc>
          <w:tcPr>
            <w:tcW w:w="802" w:type="pct"/>
            <w:noWrap/>
            <w:vAlign w:val="center"/>
          </w:tcPr>
          <w:p w14:paraId="5A1ED38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0925</w:t>
            </w:r>
          </w:p>
        </w:tc>
        <w:tc>
          <w:tcPr>
            <w:tcW w:w="1140" w:type="pct"/>
            <w:noWrap/>
            <w:vAlign w:val="center"/>
          </w:tcPr>
          <w:p w14:paraId="6BA66B2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19.2923</w:t>
            </w:r>
          </w:p>
        </w:tc>
        <w:tc>
          <w:tcPr>
            <w:tcW w:w="1672" w:type="pct"/>
            <w:noWrap/>
            <w:vAlign w:val="center"/>
          </w:tcPr>
          <w:p w14:paraId="6A69104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4.2223</w:t>
            </w:r>
          </w:p>
        </w:tc>
      </w:tr>
      <w:tr w:rsidR="000A0ACD" w14:paraId="2350401B" w14:textId="77777777">
        <w:trPr>
          <w:trHeight w:val="397"/>
        </w:trPr>
        <w:tc>
          <w:tcPr>
            <w:tcW w:w="395" w:type="pct"/>
            <w:noWrap/>
            <w:vAlign w:val="center"/>
          </w:tcPr>
          <w:p w14:paraId="00BC212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67</w:t>
            </w:r>
          </w:p>
        </w:tc>
        <w:tc>
          <w:tcPr>
            <w:tcW w:w="991" w:type="pct"/>
            <w:noWrap/>
            <w:vAlign w:val="center"/>
          </w:tcPr>
          <w:p w14:paraId="4C50CE2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100930.SZ</w:t>
            </w:r>
          </w:p>
        </w:tc>
        <w:tc>
          <w:tcPr>
            <w:tcW w:w="802" w:type="pct"/>
            <w:noWrap/>
            <w:vAlign w:val="center"/>
          </w:tcPr>
          <w:p w14:paraId="53027B9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0930</w:t>
            </w:r>
          </w:p>
        </w:tc>
        <w:tc>
          <w:tcPr>
            <w:tcW w:w="1140" w:type="pct"/>
            <w:noWrap/>
            <w:vAlign w:val="center"/>
          </w:tcPr>
          <w:p w14:paraId="214C8D6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39.4180</w:t>
            </w:r>
          </w:p>
        </w:tc>
        <w:tc>
          <w:tcPr>
            <w:tcW w:w="1672" w:type="pct"/>
            <w:noWrap/>
            <w:vAlign w:val="center"/>
          </w:tcPr>
          <w:p w14:paraId="10DA573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4.3453</w:t>
            </w:r>
          </w:p>
        </w:tc>
      </w:tr>
      <w:tr w:rsidR="000A0ACD" w14:paraId="59FFF247" w14:textId="77777777">
        <w:trPr>
          <w:trHeight w:val="397"/>
        </w:trPr>
        <w:tc>
          <w:tcPr>
            <w:tcW w:w="395" w:type="pct"/>
            <w:noWrap/>
            <w:vAlign w:val="center"/>
          </w:tcPr>
          <w:p w14:paraId="58B819F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68</w:t>
            </w:r>
          </w:p>
        </w:tc>
        <w:tc>
          <w:tcPr>
            <w:tcW w:w="991" w:type="pct"/>
            <w:noWrap/>
            <w:vAlign w:val="center"/>
          </w:tcPr>
          <w:p w14:paraId="29C8B72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101003.SZ</w:t>
            </w:r>
          </w:p>
        </w:tc>
        <w:tc>
          <w:tcPr>
            <w:tcW w:w="802" w:type="pct"/>
            <w:noWrap/>
            <w:vAlign w:val="center"/>
          </w:tcPr>
          <w:p w14:paraId="1427234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1003</w:t>
            </w:r>
          </w:p>
        </w:tc>
        <w:tc>
          <w:tcPr>
            <w:tcW w:w="1140" w:type="pct"/>
            <w:noWrap/>
            <w:vAlign w:val="center"/>
          </w:tcPr>
          <w:p w14:paraId="3C80C83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19.6685</w:t>
            </w:r>
          </w:p>
        </w:tc>
        <w:tc>
          <w:tcPr>
            <w:tcW w:w="1672" w:type="pct"/>
            <w:noWrap/>
            <w:vAlign w:val="center"/>
          </w:tcPr>
          <w:p w14:paraId="338D97A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4.1196</w:t>
            </w:r>
          </w:p>
        </w:tc>
      </w:tr>
      <w:tr w:rsidR="000A0ACD" w14:paraId="34F66897" w14:textId="77777777">
        <w:trPr>
          <w:trHeight w:val="397"/>
        </w:trPr>
        <w:tc>
          <w:tcPr>
            <w:tcW w:w="395" w:type="pct"/>
            <w:noWrap/>
            <w:vAlign w:val="center"/>
          </w:tcPr>
          <w:p w14:paraId="4AFE7D5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69</w:t>
            </w:r>
          </w:p>
        </w:tc>
        <w:tc>
          <w:tcPr>
            <w:tcW w:w="991" w:type="pct"/>
            <w:noWrap/>
            <w:vAlign w:val="center"/>
          </w:tcPr>
          <w:p w14:paraId="201C1E0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101014.SZ</w:t>
            </w:r>
          </w:p>
        </w:tc>
        <w:tc>
          <w:tcPr>
            <w:tcW w:w="802" w:type="pct"/>
            <w:noWrap/>
            <w:vAlign w:val="center"/>
          </w:tcPr>
          <w:p w14:paraId="71B8795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1014</w:t>
            </w:r>
          </w:p>
        </w:tc>
        <w:tc>
          <w:tcPr>
            <w:tcW w:w="1140" w:type="pct"/>
            <w:noWrap/>
            <w:vAlign w:val="center"/>
          </w:tcPr>
          <w:p w14:paraId="4D14AC9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39.8986</w:t>
            </w:r>
          </w:p>
        </w:tc>
        <w:tc>
          <w:tcPr>
            <w:tcW w:w="1672" w:type="pct"/>
            <w:noWrap/>
            <w:vAlign w:val="center"/>
          </w:tcPr>
          <w:p w14:paraId="2D2D111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4.0190</w:t>
            </w:r>
          </w:p>
        </w:tc>
      </w:tr>
      <w:tr w:rsidR="000A0ACD" w14:paraId="3538AB9F" w14:textId="77777777">
        <w:trPr>
          <w:trHeight w:val="397"/>
        </w:trPr>
        <w:tc>
          <w:tcPr>
            <w:tcW w:w="395" w:type="pct"/>
            <w:noWrap/>
            <w:vAlign w:val="center"/>
          </w:tcPr>
          <w:p w14:paraId="6C1747A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70</w:t>
            </w:r>
          </w:p>
        </w:tc>
        <w:tc>
          <w:tcPr>
            <w:tcW w:w="991" w:type="pct"/>
            <w:noWrap/>
            <w:vAlign w:val="center"/>
          </w:tcPr>
          <w:p w14:paraId="54242FC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101018.SZ</w:t>
            </w:r>
          </w:p>
        </w:tc>
        <w:tc>
          <w:tcPr>
            <w:tcW w:w="802" w:type="pct"/>
            <w:noWrap/>
            <w:vAlign w:val="center"/>
          </w:tcPr>
          <w:p w14:paraId="0B4AA16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1018</w:t>
            </w:r>
          </w:p>
        </w:tc>
        <w:tc>
          <w:tcPr>
            <w:tcW w:w="1140" w:type="pct"/>
            <w:noWrap/>
            <w:vAlign w:val="center"/>
          </w:tcPr>
          <w:p w14:paraId="491F467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19.9753</w:t>
            </w:r>
          </w:p>
        </w:tc>
        <w:tc>
          <w:tcPr>
            <w:tcW w:w="1672" w:type="pct"/>
            <w:noWrap/>
            <w:vAlign w:val="center"/>
          </w:tcPr>
          <w:p w14:paraId="4FDEE65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4.0697</w:t>
            </w:r>
          </w:p>
        </w:tc>
      </w:tr>
      <w:tr w:rsidR="000A0ACD" w14:paraId="21830405" w14:textId="77777777">
        <w:trPr>
          <w:trHeight w:val="397"/>
        </w:trPr>
        <w:tc>
          <w:tcPr>
            <w:tcW w:w="395" w:type="pct"/>
            <w:noWrap/>
            <w:vAlign w:val="center"/>
          </w:tcPr>
          <w:p w14:paraId="5A1CB5D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71</w:t>
            </w:r>
          </w:p>
        </w:tc>
        <w:tc>
          <w:tcPr>
            <w:tcW w:w="991" w:type="pct"/>
            <w:noWrap/>
            <w:vAlign w:val="center"/>
          </w:tcPr>
          <w:p w14:paraId="1A7828E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101023.SZ</w:t>
            </w:r>
          </w:p>
        </w:tc>
        <w:tc>
          <w:tcPr>
            <w:tcW w:w="802" w:type="pct"/>
            <w:noWrap/>
            <w:vAlign w:val="center"/>
          </w:tcPr>
          <w:p w14:paraId="0EC7250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1023</w:t>
            </w:r>
          </w:p>
        </w:tc>
        <w:tc>
          <w:tcPr>
            <w:tcW w:w="1140" w:type="pct"/>
            <w:noWrap/>
            <w:vAlign w:val="center"/>
          </w:tcPr>
          <w:p w14:paraId="08E44CF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20.0792</w:t>
            </w:r>
          </w:p>
        </w:tc>
        <w:tc>
          <w:tcPr>
            <w:tcW w:w="1672" w:type="pct"/>
            <w:noWrap/>
            <w:vAlign w:val="center"/>
          </w:tcPr>
          <w:p w14:paraId="39698E4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3.9993</w:t>
            </w:r>
          </w:p>
        </w:tc>
      </w:tr>
      <w:tr w:rsidR="000A0ACD" w14:paraId="22480D0D" w14:textId="77777777">
        <w:trPr>
          <w:trHeight w:val="397"/>
        </w:trPr>
        <w:tc>
          <w:tcPr>
            <w:tcW w:w="395" w:type="pct"/>
            <w:noWrap/>
            <w:vAlign w:val="center"/>
          </w:tcPr>
          <w:p w14:paraId="3A3DF45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72</w:t>
            </w:r>
          </w:p>
        </w:tc>
        <w:tc>
          <w:tcPr>
            <w:tcW w:w="991" w:type="pct"/>
            <w:noWrap/>
            <w:vAlign w:val="center"/>
          </w:tcPr>
          <w:p w14:paraId="75D3236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101026.SZ</w:t>
            </w:r>
          </w:p>
        </w:tc>
        <w:tc>
          <w:tcPr>
            <w:tcW w:w="802" w:type="pct"/>
            <w:noWrap/>
            <w:vAlign w:val="center"/>
          </w:tcPr>
          <w:p w14:paraId="40027EB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1026</w:t>
            </w:r>
          </w:p>
        </w:tc>
        <w:tc>
          <w:tcPr>
            <w:tcW w:w="1140" w:type="pct"/>
            <w:noWrap/>
            <w:vAlign w:val="center"/>
          </w:tcPr>
          <w:p w14:paraId="3AC4DB6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20.1284</w:t>
            </w:r>
          </w:p>
        </w:tc>
        <w:tc>
          <w:tcPr>
            <w:tcW w:w="1672" w:type="pct"/>
            <w:noWrap/>
            <w:vAlign w:val="center"/>
          </w:tcPr>
          <w:p w14:paraId="2D22920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3.9992</w:t>
            </w:r>
          </w:p>
        </w:tc>
      </w:tr>
      <w:tr w:rsidR="000A0ACD" w14:paraId="6BCBA0F9" w14:textId="77777777">
        <w:trPr>
          <w:trHeight w:val="397"/>
        </w:trPr>
        <w:tc>
          <w:tcPr>
            <w:tcW w:w="395" w:type="pct"/>
            <w:noWrap/>
            <w:vAlign w:val="center"/>
          </w:tcPr>
          <w:p w14:paraId="412979A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73</w:t>
            </w:r>
          </w:p>
        </w:tc>
        <w:tc>
          <w:tcPr>
            <w:tcW w:w="991" w:type="pct"/>
            <w:noWrap/>
            <w:vAlign w:val="center"/>
          </w:tcPr>
          <w:p w14:paraId="6F2CAB8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101029.SZ</w:t>
            </w:r>
          </w:p>
        </w:tc>
        <w:tc>
          <w:tcPr>
            <w:tcW w:w="802" w:type="pct"/>
            <w:noWrap/>
            <w:vAlign w:val="center"/>
          </w:tcPr>
          <w:p w14:paraId="1FBDF65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1029</w:t>
            </w:r>
          </w:p>
        </w:tc>
        <w:tc>
          <w:tcPr>
            <w:tcW w:w="1140" w:type="pct"/>
            <w:noWrap/>
            <w:vAlign w:val="center"/>
          </w:tcPr>
          <w:p w14:paraId="559F875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10.1749</w:t>
            </w:r>
          </w:p>
        </w:tc>
        <w:tc>
          <w:tcPr>
            <w:tcW w:w="1672" w:type="pct"/>
            <w:noWrap/>
            <w:vAlign w:val="center"/>
          </w:tcPr>
          <w:p w14:paraId="6417455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3.8534</w:t>
            </w:r>
          </w:p>
        </w:tc>
      </w:tr>
      <w:tr w:rsidR="000A0ACD" w14:paraId="2B94AB84" w14:textId="77777777">
        <w:trPr>
          <w:trHeight w:val="397"/>
        </w:trPr>
        <w:tc>
          <w:tcPr>
            <w:tcW w:w="395" w:type="pct"/>
            <w:noWrap/>
            <w:vAlign w:val="center"/>
          </w:tcPr>
          <w:p w14:paraId="7DEB5B2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74</w:t>
            </w:r>
          </w:p>
        </w:tc>
        <w:tc>
          <w:tcPr>
            <w:tcW w:w="991" w:type="pct"/>
            <w:noWrap/>
            <w:vAlign w:val="center"/>
          </w:tcPr>
          <w:p w14:paraId="4914DA2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101037.SZ</w:t>
            </w:r>
          </w:p>
        </w:tc>
        <w:tc>
          <w:tcPr>
            <w:tcW w:w="802" w:type="pct"/>
            <w:noWrap/>
            <w:vAlign w:val="center"/>
          </w:tcPr>
          <w:p w14:paraId="4003100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1037</w:t>
            </w:r>
          </w:p>
        </w:tc>
        <w:tc>
          <w:tcPr>
            <w:tcW w:w="1140" w:type="pct"/>
            <w:noWrap/>
            <w:vAlign w:val="center"/>
          </w:tcPr>
          <w:p w14:paraId="508A6C9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40.3852</w:t>
            </w:r>
          </w:p>
        </w:tc>
        <w:tc>
          <w:tcPr>
            <w:tcW w:w="1672" w:type="pct"/>
            <w:noWrap/>
            <w:vAlign w:val="center"/>
          </w:tcPr>
          <w:p w14:paraId="69743EA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4.4473</w:t>
            </w:r>
          </w:p>
        </w:tc>
      </w:tr>
      <w:tr w:rsidR="000A0ACD" w14:paraId="0FE14278" w14:textId="77777777">
        <w:trPr>
          <w:trHeight w:val="397"/>
        </w:trPr>
        <w:tc>
          <w:tcPr>
            <w:tcW w:w="395" w:type="pct"/>
            <w:noWrap/>
            <w:vAlign w:val="center"/>
          </w:tcPr>
          <w:p w14:paraId="0184C3C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75</w:t>
            </w:r>
          </w:p>
        </w:tc>
        <w:tc>
          <w:tcPr>
            <w:tcW w:w="991" w:type="pct"/>
            <w:noWrap/>
            <w:vAlign w:val="center"/>
          </w:tcPr>
          <w:p w14:paraId="5D57F83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101040.SZ</w:t>
            </w:r>
          </w:p>
        </w:tc>
        <w:tc>
          <w:tcPr>
            <w:tcW w:w="802" w:type="pct"/>
            <w:noWrap/>
            <w:vAlign w:val="center"/>
          </w:tcPr>
          <w:p w14:paraId="12DB56E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1040</w:t>
            </w:r>
          </w:p>
        </w:tc>
        <w:tc>
          <w:tcPr>
            <w:tcW w:w="1140" w:type="pct"/>
            <w:noWrap/>
            <w:vAlign w:val="center"/>
          </w:tcPr>
          <w:p w14:paraId="03A12B2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20.4426</w:t>
            </w:r>
          </w:p>
        </w:tc>
        <w:tc>
          <w:tcPr>
            <w:tcW w:w="1672" w:type="pct"/>
            <w:noWrap/>
            <w:vAlign w:val="center"/>
          </w:tcPr>
          <w:p w14:paraId="5900D46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4.2736</w:t>
            </w:r>
          </w:p>
        </w:tc>
      </w:tr>
      <w:tr w:rsidR="000A0ACD" w14:paraId="47371D99" w14:textId="77777777">
        <w:trPr>
          <w:trHeight w:val="397"/>
        </w:trPr>
        <w:tc>
          <w:tcPr>
            <w:tcW w:w="395" w:type="pct"/>
            <w:noWrap/>
            <w:vAlign w:val="center"/>
          </w:tcPr>
          <w:p w14:paraId="4FBFC14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76</w:t>
            </w:r>
          </w:p>
        </w:tc>
        <w:tc>
          <w:tcPr>
            <w:tcW w:w="991" w:type="pct"/>
            <w:noWrap/>
            <w:vAlign w:val="center"/>
          </w:tcPr>
          <w:p w14:paraId="0A665F7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101105.SZ</w:t>
            </w:r>
          </w:p>
        </w:tc>
        <w:tc>
          <w:tcPr>
            <w:tcW w:w="802" w:type="pct"/>
            <w:noWrap/>
            <w:vAlign w:val="center"/>
          </w:tcPr>
          <w:p w14:paraId="146830B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1105</w:t>
            </w:r>
          </w:p>
        </w:tc>
        <w:tc>
          <w:tcPr>
            <w:tcW w:w="1140" w:type="pct"/>
            <w:noWrap/>
            <w:vAlign w:val="center"/>
          </w:tcPr>
          <w:p w14:paraId="7C20CA7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20.6530</w:t>
            </w:r>
          </w:p>
        </w:tc>
        <w:tc>
          <w:tcPr>
            <w:tcW w:w="1672" w:type="pct"/>
            <w:noWrap/>
            <w:vAlign w:val="center"/>
          </w:tcPr>
          <w:p w14:paraId="1103509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4.3563</w:t>
            </w:r>
          </w:p>
        </w:tc>
      </w:tr>
      <w:tr w:rsidR="000A0ACD" w14:paraId="216552BE" w14:textId="77777777">
        <w:trPr>
          <w:trHeight w:val="397"/>
        </w:trPr>
        <w:tc>
          <w:tcPr>
            <w:tcW w:w="395" w:type="pct"/>
            <w:noWrap/>
            <w:vAlign w:val="center"/>
          </w:tcPr>
          <w:p w14:paraId="28775CA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77</w:t>
            </w:r>
          </w:p>
        </w:tc>
        <w:tc>
          <w:tcPr>
            <w:tcW w:w="991" w:type="pct"/>
            <w:noWrap/>
            <w:vAlign w:val="center"/>
          </w:tcPr>
          <w:p w14:paraId="06299BD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101110.SZ</w:t>
            </w:r>
          </w:p>
        </w:tc>
        <w:tc>
          <w:tcPr>
            <w:tcW w:w="802" w:type="pct"/>
            <w:noWrap/>
            <w:vAlign w:val="center"/>
          </w:tcPr>
          <w:p w14:paraId="054BD9D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1110</w:t>
            </w:r>
          </w:p>
        </w:tc>
        <w:tc>
          <w:tcPr>
            <w:tcW w:w="1140" w:type="pct"/>
            <w:noWrap/>
            <w:vAlign w:val="center"/>
          </w:tcPr>
          <w:p w14:paraId="49F13EC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10.8274</w:t>
            </w:r>
          </w:p>
        </w:tc>
        <w:tc>
          <w:tcPr>
            <w:tcW w:w="1672" w:type="pct"/>
            <w:noWrap/>
            <w:vAlign w:val="center"/>
          </w:tcPr>
          <w:p w14:paraId="47018C0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4.1909</w:t>
            </w:r>
          </w:p>
        </w:tc>
      </w:tr>
      <w:tr w:rsidR="000A0ACD" w14:paraId="52D63DAD" w14:textId="77777777">
        <w:trPr>
          <w:trHeight w:val="397"/>
        </w:trPr>
        <w:tc>
          <w:tcPr>
            <w:tcW w:w="395" w:type="pct"/>
            <w:noWrap/>
            <w:vAlign w:val="center"/>
          </w:tcPr>
          <w:p w14:paraId="4723FBF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78</w:t>
            </w:r>
          </w:p>
        </w:tc>
        <w:tc>
          <w:tcPr>
            <w:tcW w:w="991" w:type="pct"/>
            <w:noWrap/>
            <w:vAlign w:val="center"/>
          </w:tcPr>
          <w:p w14:paraId="4A8634B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101112.SZ</w:t>
            </w:r>
          </w:p>
        </w:tc>
        <w:tc>
          <w:tcPr>
            <w:tcW w:w="802" w:type="pct"/>
            <w:noWrap/>
            <w:vAlign w:val="center"/>
          </w:tcPr>
          <w:p w14:paraId="19A1C96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1112</w:t>
            </w:r>
          </w:p>
        </w:tc>
        <w:tc>
          <w:tcPr>
            <w:tcW w:w="1140" w:type="pct"/>
            <w:noWrap/>
            <w:vAlign w:val="center"/>
          </w:tcPr>
          <w:p w14:paraId="6EB7EAE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40.9041</w:t>
            </w:r>
          </w:p>
        </w:tc>
        <w:tc>
          <w:tcPr>
            <w:tcW w:w="1672" w:type="pct"/>
            <w:noWrap/>
            <w:vAlign w:val="center"/>
          </w:tcPr>
          <w:p w14:paraId="20BB772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4.5292</w:t>
            </w:r>
          </w:p>
        </w:tc>
      </w:tr>
      <w:tr w:rsidR="000A0ACD" w14:paraId="565B800B" w14:textId="77777777">
        <w:trPr>
          <w:trHeight w:val="397"/>
        </w:trPr>
        <w:tc>
          <w:tcPr>
            <w:tcW w:w="395" w:type="pct"/>
            <w:noWrap/>
            <w:vAlign w:val="center"/>
          </w:tcPr>
          <w:p w14:paraId="0008E60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79</w:t>
            </w:r>
          </w:p>
        </w:tc>
        <w:tc>
          <w:tcPr>
            <w:tcW w:w="991" w:type="pct"/>
            <w:noWrap/>
            <w:vAlign w:val="center"/>
          </w:tcPr>
          <w:p w14:paraId="706D354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101116.SZ</w:t>
            </w:r>
          </w:p>
        </w:tc>
        <w:tc>
          <w:tcPr>
            <w:tcW w:w="802" w:type="pct"/>
            <w:noWrap/>
            <w:vAlign w:val="center"/>
          </w:tcPr>
          <w:p w14:paraId="28A2522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1116</w:t>
            </w:r>
          </w:p>
        </w:tc>
        <w:tc>
          <w:tcPr>
            <w:tcW w:w="1140" w:type="pct"/>
            <w:noWrap/>
            <w:vAlign w:val="center"/>
          </w:tcPr>
          <w:p w14:paraId="76370DA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20.9808</w:t>
            </w:r>
          </w:p>
        </w:tc>
        <w:tc>
          <w:tcPr>
            <w:tcW w:w="1672" w:type="pct"/>
            <w:noWrap/>
            <w:vAlign w:val="center"/>
          </w:tcPr>
          <w:p w14:paraId="39142EF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4.5496</w:t>
            </w:r>
          </w:p>
        </w:tc>
      </w:tr>
      <w:tr w:rsidR="000A0ACD" w14:paraId="113FD8D8" w14:textId="77777777">
        <w:trPr>
          <w:trHeight w:val="397"/>
        </w:trPr>
        <w:tc>
          <w:tcPr>
            <w:tcW w:w="395" w:type="pct"/>
            <w:noWrap/>
            <w:vAlign w:val="center"/>
          </w:tcPr>
          <w:p w14:paraId="0F4C019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80</w:t>
            </w:r>
          </w:p>
        </w:tc>
        <w:tc>
          <w:tcPr>
            <w:tcW w:w="991" w:type="pct"/>
            <w:noWrap/>
            <w:vAlign w:val="center"/>
          </w:tcPr>
          <w:p w14:paraId="71E4A37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101123.SZ</w:t>
            </w:r>
          </w:p>
        </w:tc>
        <w:tc>
          <w:tcPr>
            <w:tcW w:w="802" w:type="pct"/>
            <w:noWrap/>
            <w:vAlign w:val="center"/>
          </w:tcPr>
          <w:p w14:paraId="6B5EED6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1123</w:t>
            </w:r>
          </w:p>
        </w:tc>
        <w:tc>
          <w:tcPr>
            <w:tcW w:w="1140" w:type="pct"/>
            <w:noWrap/>
            <w:vAlign w:val="center"/>
          </w:tcPr>
          <w:p w14:paraId="33C59F7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41.3634</w:t>
            </w:r>
          </w:p>
        </w:tc>
        <w:tc>
          <w:tcPr>
            <w:tcW w:w="1672" w:type="pct"/>
            <w:noWrap/>
            <w:vAlign w:val="center"/>
          </w:tcPr>
          <w:p w14:paraId="3F829FF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4.3757</w:t>
            </w:r>
          </w:p>
        </w:tc>
      </w:tr>
      <w:tr w:rsidR="000A0ACD" w14:paraId="66AC82CC" w14:textId="77777777">
        <w:trPr>
          <w:trHeight w:val="397"/>
        </w:trPr>
        <w:tc>
          <w:tcPr>
            <w:tcW w:w="395" w:type="pct"/>
            <w:noWrap/>
            <w:vAlign w:val="center"/>
          </w:tcPr>
          <w:p w14:paraId="596E919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81</w:t>
            </w:r>
          </w:p>
        </w:tc>
        <w:tc>
          <w:tcPr>
            <w:tcW w:w="991" w:type="pct"/>
            <w:noWrap/>
            <w:vAlign w:val="center"/>
          </w:tcPr>
          <w:p w14:paraId="01D40D6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101206.SZ</w:t>
            </w:r>
          </w:p>
        </w:tc>
        <w:tc>
          <w:tcPr>
            <w:tcW w:w="802" w:type="pct"/>
            <w:noWrap/>
            <w:vAlign w:val="center"/>
          </w:tcPr>
          <w:p w14:paraId="3F12B6B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1206</w:t>
            </w:r>
          </w:p>
        </w:tc>
        <w:tc>
          <w:tcPr>
            <w:tcW w:w="1140" w:type="pct"/>
            <w:noWrap/>
            <w:vAlign w:val="center"/>
          </w:tcPr>
          <w:p w14:paraId="4BF8F20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11.8137</w:t>
            </w:r>
          </w:p>
        </w:tc>
        <w:tc>
          <w:tcPr>
            <w:tcW w:w="1672" w:type="pct"/>
            <w:noWrap/>
            <w:vAlign w:val="center"/>
          </w:tcPr>
          <w:p w14:paraId="286931E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4.0687</w:t>
            </w:r>
          </w:p>
        </w:tc>
      </w:tr>
      <w:tr w:rsidR="000A0ACD" w14:paraId="50DBDB84" w14:textId="77777777">
        <w:trPr>
          <w:trHeight w:val="397"/>
        </w:trPr>
        <w:tc>
          <w:tcPr>
            <w:tcW w:w="395" w:type="pct"/>
            <w:noWrap/>
            <w:vAlign w:val="center"/>
          </w:tcPr>
          <w:p w14:paraId="0322AD1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82</w:t>
            </w:r>
          </w:p>
        </w:tc>
        <w:tc>
          <w:tcPr>
            <w:tcW w:w="991" w:type="pct"/>
            <w:noWrap/>
            <w:vAlign w:val="center"/>
          </w:tcPr>
          <w:p w14:paraId="645640A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101208.SZ</w:t>
            </w:r>
          </w:p>
        </w:tc>
        <w:tc>
          <w:tcPr>
            <w:tcW w:w="802" w:type="pct"/>
            <w:noWrap/>
            <w:vAlign w:val="center"/>
          </w:tcPr>
          <w:p w14:paraId="5BFB8B4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1208</w:t>
            </w:r>
          </w:p>
        </w:tc>
        <w:tc>
          <w:tcPr>
            <w:tcW w:w="1140" w:type="pct"/>
            <w:noWrap/>
            <w:vAlign w:val="center"/>
          </w:tcPr>
          <w:p w14:paraId="5C1B2B9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41.8795</w:t>
            </w:r>
          </w:p>
        </w:tc>
        <w:tc>
          <w:tcPr>
            <w:tcW w:w="1672" w:type="pct"/>
            <w:noWrap/>
            <w:vAlign w:val="center"/>
          </w:tcPr>
          <w:p w14:paraId="1964F37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4.2941</w:t>
            </w:r>
          </w:p>
        </w:tc>
      </w:tr>
      <w:tr w:rsidR="000A0ACD" w14:paraId="2C4B9370" w14:textId="77777777">
        <w:trPr>
          <w:trHeight w:val="397"/>
        </w:trPr>
        <w:tc>
          <w:tcPr>
            <w:tcW w:w="395" w:type="pct"/>
            <w:noWrap/>
            <w:vAlign w:val="center"/>
          </w:tcPr>
          <w:p w14:paraId="1D8129E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83</w:t>
            </w:r>
          </w:p>
        </w:tc>
        <w:tc>
          <w:tcPr>
            <w:tcW w:w="991" w:type="pct"/>
            <w:noWrap/>
            <w:vAlign w:val="center"/>
          </w:tcPr>
          <w:p w14:paraId="7F31395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101212.SZ</w:t>
            </w:r>
          </w:p>
        </w:tc>
        <w:tc>
          <w:tcPr>
            <w:tcW w:w="802" w:type="pct"/>
            <w:noWrap/>
            <w:vAlign w:val="center"/>
          </w:tcPr>
          <w:p w14:paraId="1E70AD5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1212</w:t>
            </w:r>
          </w:p>
        </w:tc>
        <w:tc>
          <w:tcPr>
            <w:tcW w:w="1140" w:type="pct"/>
            <w:noWrap/>
            <w:vAlign w:val="center"/>
          </w:tcPr>
          <w:p w14:paraId="63B5F4F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21.9945</w:t>
            </w:r>
          </w:p>
        </w:tc>
        <w:tc>
          <w:tcPr>
            <w:tcW w:w="1672" w:type="pct"/>
            <w:noWrap/>
            <w:vAlign w:val="center"/>
          </w:tcPr>
          <w:p w14:paraId="56844B5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4.1106</w:t>
            </w:r>
          </w:p>
        </w:tc>
      </w:tr>
      <w:tr w:rsidR="000A0ACD" w14:paraId="4E9BEE4D" w14:textId="77777777">
        <w:trPr>
          <w:trHeight w:val="397"/>
        </w:trPr>
        <w:tc>
          <w:tcPr>
            <w:tcW w:w="395" w:type="pct"/>
            <w:noWrap/>
            <w:vAlign w:val="center"/>
          </w:tcPr>
          <w:p w14:paraId="6A63FE0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84</w:t>
            </w:r>
          </w:p>
        </w:tc>
        <w:tc>
          <w:tcPr>
            <w:tcW w:w="991" w:type="pct"/>
            <w:noWrap/>
            <w:vAlign w:val="center"/>
          </w:tcPr>
          <w:p w14:paraId="1916858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101213.SZ</w:t>
            </w:r>
          </w:p>
        </w:tc>
        <w:tc>
          <w:tcPr>
            <w:tcW w:w="802" w:type="pct"/>
            <w:noWrap/>
            <w:vAlign w:val="center"/>
          </w:tcPr>
          <w:p w14:paraId="100C699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1213</w:t>
            </w:r>
          </w:p>
        </w:tc>
        <w:tc>
          <w:tcPr>
            <w:tcW w:w="1140" w:type="pct"/>
            <w:noWrap/>
            <w:vAlign w:val="center"/>
          </w:tcPr>
          <w:p w14:paraId="473BF43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22.0902</w:t>
            </w:r>
          </w:p>
        </w:tc>
        <w:tc>
          <w:tcPr>
            <w:tcW w:w="1672" w:type="pct"/>
            <w:noWrap/>
            <w:vAlign w:val="center"/>
          </w:tcPr>
          <w:p w14:paraId="6214AF7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4.1625</w:t>
            </w:r>
          </w:p>
        </w:tc>
      </w:tr>
      <w:tr w:rsidR="000A0ACD" w14:paraId="520BC31A" w14:textId="77777777">
        <w:trPr>
          <w:trHeight w:val="397"/>
        </w:trPr>
        <w:tc>
          <w:tcPr>
            <w:tcW w:w="395" w:type="pct"/>
            <w:noWrap/>
            <w:vAlign w:val="center"/>
          </w:tcPr>
          <w:p w14:paraId="4F11CEC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85</w:t>
            </w:r>
          </w:p>
        </w:tc>
        <w:tc>
          <w:tcPr>
            <w:tcW w:w="991" w:type="pct"/>
            <w:noWrap/>
            <w:vAlign w:val="center"/>
          </w:tcPr>
          <w:p w14:paraId="7937453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101218.SZ</w:t>
            </w:r>
          </w:p>
        </w:tc>
        <w:tc>
          <w:tcPr>
            <w:tcW w:w="802" w:type="pct"/>
            <w:noWrap/>
            <w:vAlign w:val="center"/>
          </w:tcPr>
          <w:p w14:paraId="5868534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1218</w:t>
            </w:r>
          </w:p>
        </w:tc>
        <w:tc>
          <w:tcPr>
            <w:tcW w:w="1140" w:type="pct"/>
            <w:noWrap/>
            <w:vAlign w:val="center"/>
          </w:tcPr>
          <w:p w14:paraId="354EEF0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12.2432</w:t>
            </w:r>
          </w:p>
        </w:tc>
        <w:tc>
          <w:tcPr>
            <w:tcW w:w="1672" w:type="pct"/>
            <w:noWrap/>
            <w:vAlign w:val="center"/>
          </w:tcPr>
          <w:p w14:paraId="3033E60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4.1394</w:t>
            </w:r>
          </w:p>
        </w:tc>
      </w:tr>
      <w:tr w:rsidR="000A0ACD" w14:paraId="52BC185F" w14:textId="77777777">
        <w:trPr>
          <w:trHeight w:val="397"/>
        </w:trPr>
        <w:tc>
          <w:tcPr>
            <w:tcW w:w="395" w:type="pct"/>
            <w:noWrap/>
            <w:vAlign w:val="center"/>
          </w:tcPr>
          <w:p w14:paraId="2848974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86</w:t>
            </w:r>
          </w:p>
        </w:tc>
        <w:tc>
          <w:tcPr>
            <w:tcW w:w="991" w:type="pct"/>
            <w:noWrap/>
            <w:vAlign w:val="center"/>
          </w:tcPr>
          <w:p w14:paraId="03DF9E8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101220.SZ</w:t>
            </w:r>
          </w:p>
        </w:tc>
        <w:tc>
          <w:tcPr>
            <w:tcW w:w="802" w:type="pct"/>
            <w:noWrap/>
            <w:vAlign w:val="center"/>
          </w:tcPr>
          <w:p w14:paraId="34D0D1C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1220</w:t>
            </w:r>
          </w:p>
        </w:tc>
        <w:tc>
          <w:tcPr>
            <w:tcW w:w="1140" w:type="pct"/>
            <w:noWrap/>
            <w:vAlign w:val="center"/>
          </w:tcPr>
          <w:p w14:paraId="4A0C45A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42.3770</w:t>
            </w:r>
          </w:p>
        </w:tc>
        <w:tc>
          <w:tcPr>
            <w:tcW w:w="1672" w:type="pct"/>
            <w:noWrap/>
            <w:vAlign w:val="center"/>
          </w:tcPr>
          <w:p w14:paraId="53D94F1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4.3962</w:t>
            </w:r>
          </w:p>
        </w:tc>
      </w:tr>
      <w:tr w:rsidR="000A0ACD" w14:paraId="77BDC806" w14:textId="77777777">
        <w:trPr>
          <w:trHeight w:val="397"/>
        </w:trPr>
        <w:tc>
          <w:tcPr>
            <w:tcW w:w="395" w:type="pct"/>
            <w:noWrap/>
            <w:vAlign w:val="center"/>
          </w:tcPr>
          <w:p w14:paraId="14FFC76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87</w:t>
            </w:r>
          </w:p>
        </w:tc>
        <w:tc>
          <w:tcPr>
            <w:tcW w:w="991" w:type="pct"/>
            <w:noWrap/>
            <w:vAlign w:val="center"/>
          </w:tcPr>
          <w:p w14:paraId="3390D06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101309.SZ</w:t>
            </w:r>
          </w:p>
        </w:tc>
        <w:tc>
          <w:tcPr>
            <w:tcW w:w="802" w:type="pct"/>
            <w:noWrap/>
            <w:vAlign w:val="center"/>
          </w:tcPr>
          <w:p w14:paraId="55978BB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1309</w:t>
            </w:r>
          </w:p>
        </w:tc>
        <w:tc>
          <w:tcPr>
            <w:tcW w:w="1140" w:type="pct"/>
            <w:noWrap/>
            <w:vAlign w:val="center"/>
          </w:tcPr>
          <w:p w14:paraId="31D7708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12.8110</w:t>
            </w:r>
          </w:p>
        </w:tc>
        <w:tc>
          <w:tcPr>
            <w:tcW w:w="1672" w:type="pct"/>
            <w:noWrap/>
            <w:vAlign w:val="center"/>
          </w:tcPr>
          <w:p w14:paraId="3103BED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4.0280</w:t>
            </w:r>
          </w:p>
        </w:tc>
      </w:tr>
      <w:tr w:rsidR="000A0ACD" w14:paraId="21F4E9DB" w14:textId="77777777">
        <w:trPr>
          <w:trHeight w:val="397"/>
        </w:trPr>
        <w:tc>
          <w:tcPr>
            <w:tcW w:w="395" w:type="pct"/>
            <w:noWrap/>
            <w:vAlign w:val="center"/>
          </w:tcPr>
          <w:p w14:paraId="46AF80A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88</w:t>
            </w:r>
          </w:p>
        </w:tc>
        <w:tc>
          <w:tcPr>
            <w:tcW w:w="991" w:type="pct"/>
            <w:noWrap/>
            <w:vAlign w:val="center"/>
          </w:tcPr>
          <w:p w14:paraId="55E80EF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101310.SZ</w:t>
            </w:r>
          </w:p>
        </w:tc>
        <w:tc>
          <w:tcPr>
            <w:tcW w:w="802" w:type="pct"/>
            <w:noWrap/>
            <w:vAlign w:val="center"/>
          </w:tcPr>
          <w:p w14:paraId="4291FFD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1310</w:t>
            </w:r>
          </w:p>
        </w:tc>
        <w:tc>
          <w:tcPr>
            <w:tcW w:w="1140" w:type="pct"/>
            <w:noWrap/>
            <w:vAlign w:val="center"/>
          </w:tcPr>
          <w:p w14:paraId="76103E6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42.8877</w:t>
            </w:r>
          </w:p>
        </w:tc>
        <w:tc>
          <w:tcPr>
            <w:tcW w:w="1672" w:type="pct"/>
            <w:noWrap/>
            <w:vAlign w:val="center"/>
          </w:tcPr>
          <w:p w14:paraId="6837062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4.2839</w:t>
            </w:r>
          </w:p>
        </w:tc>
      </w:tr>
      <w:tr w:rsidR="000A0ACD" w14:paraId="6F498C53" w14:textId="77777777">
        <w:trPr>
          <w:trHeight w:val="397"/>
        </w:trPr>
        <w:tc>
          <w:tcPr>
            <w:tcW w:w="395" w:type="pct"/>
            <w:noWrap/>
            <w:vAlign w:val="center"/>
          </w:tcPr>
          <w:p w14:paraId="4BBC338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89</w:t>
            </w:r>
          </w:p>
        </w:tc>
        <w:tc>
          <w:tcPr>
            <w:tcW w:w="991" w:type="pct"/>
            <w:noWrap/>
            <w:vAlign w:val="center"/>
          </w:tcPr>
          <w:p w14:paraId="0E127C8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101316.SZ</w:t>
            </w:r>
          </w:p>
        </w:tc>
        <w:tc>
          <w:tcPr>
            <w:tcW w:w="802" w:type="pct"/>
            <w:noWrap/>
            <w:vAlign w:val="center"/>
          </w:tcPr>
          <w:p w14:paraId="763FBB0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1316</w:t>
            </w:r>
          </w:p>
        </w:tc>
        <w:tc>
          <w:tcPr>
            <w:tcW w:w="1140" w:type="pct"/>
            <w:noWrap/>
            <w:vAlign w:val="center"/>
          </w:tcPr>
          <w:p w14:paraId="05F7DF8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13.1175</w:t>
            </w:r>
          </w:p>
        </w:tc>
        <w:tc>
          <w:tcPr>
            <w:tcW w:w="1672" w:type="pct"/>
            <w:noWrap/>
            <w:vAlign w:val="center"/>
          </w:tcPr>
          <w:p w14:paraId="114716F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4.3667</w:t>
            </w:r>
          </w:p>
        </w:tc>
      </w:tr>
      <w:tr w:rsidR="000A0ACD" w14:paraId="5D54ED70" w14:textId="77777777">
        <w:trPr>
          <w:trHeight w:val="397"/>
        </w:trPr>
        <w:tc>
          <w:tcPr>
            <w:tcW w:w="395" w:type="pct"/>
            <w:noWrap/>
            <w:vAlign w:val="center"/>
          </w:tcPr>
          <w:p w14:paraId="739930A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90</w:t>
            </w:r>
          </w:p>
        </w:tc>
        <w:tc>
          <w:tcPr>
            <w:tcW w:w="991" w:type="pct"/>
            <w:noWrap/>
            <w:vAlign w:val="center"/>
          </w:tcPr>
          <w:p w14:paraId="56EB80A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101319.SZ</w:t>
            </w:r>
          </w:p>
        </w:tc>
        <w:tc>
          <w:tcPr>
            <w:tcW w:w="802" w:type="pct"/>
            <w:noWrap/>
            <w:vAlign w:val="center"/>
          </w:tcPr>
          <w:p w14:paraId="23B383B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1319</w:t>
            </w:r>
          </w:p>
        </w:tc>
        <w:tc>
          <w:tcPr>
            <w:tcW w:w="1140" w:type="pct"/>
            <w:noWrap/>
            <w:vAlign w:val="center"/>
          </w:tcPr>
          <w:p w14:paraId="38D1301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23.2131</w:t>
            </w:r>
          </w:p>
        </w:tc>
        <w:tc>
          <w:tcPr>
            <w:tcW w:w="1672" w:type="pct"/>
            <w:noWrap/>
            <w:vAlign w:val="center"/>
          </w:tcPr>
          <w:p w14:paraId="4C2FB58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4.8144</w:t>
            </w:r>
          </w:p>
        </w:tc>
      </w:tr>
      <w:tr w:rsidR="000A0ACD" w14:paraId="6CA10B98" w14:textId="77777777">
        <w:trPr>
          <w:trHeight w:val="397"/>
        </w:trPr>
        <w:tc>
          <w:tcPr>
            <w:tcW w:w="395" w:type="pct"/>
            <w:noWrap/>
            <w:vAlign w:val="center"/>
          </w:tcPr>
          <w:p w14:paraId="1E25CE4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91</w:t>
            </w:r>
          </w:p>
        </w:tc>
        <w:tc>
          <w:tcPr>
            <w:tcW w:w="991" w:type="pct"/>
            <w:noWrap/>
            <w:vAlign w:val="center"/>
          </w:tcPr>
          <w:p w14:paraId="2B669B6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101324.SZ</w:t>
            </w:r>
          </w:p>
        </w:tc>
        <w:tc>
          <w:tcPr>
            <w:tcW w:w="802" w:type="pct"/>
            <w:noWrap/>
            <w:vAlign w:val="center"/>
          </w:tcPr>
          <w:p w14:paraId="1A63DD8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1324</w:t>
            </w:r>
          </w:p>
        </w:tc>
        <w:tc>
          <w:tcPr>
            <w:tcW w:w="1140" w:type="pct"/>
            <w:noWrap/>
            <w:vAlign w:val="center"/>
          </w:tcPr>
          <w:p w14:paraId="0436AFE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43.3852</w:t>
            </w:r>
          </w:p>
        </w:tc>
        <w:tc>
          <w:tcPr>
            <w:tcW w:w="1672" w:type="pct"/>
            <w:noWrap/>
            <w:vAlign w:val="center"/>
          </w:tcPr>
          <w:p w14:paraId="41080B2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5.3790</w:t>
            </w:r>
          </w:p>
        </w:tc>
      </w:tr>
      <w:tr w:rsidR="000A0ACD" w14:paraId="344C93C1" w14:textId="77777777">
        <w:trPr>
          <w:trHeight w:val="397"/>
        </w:trPr>
        <w:tc>
          <w:tcPr>
            <w:tcW w:w="395" w:type="pct"/>
            <w:noWrap/>
            <w:vAlign w:val="center"/>
          </w:tcPr>
          <w:p w14:paraId="7946AF0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92</w:t>
            </w:r>
          </w:p>
        </w:tc>
        <w:tc>
          <w:tcPr>
            <w:tcW w:w="991" w:type="pct"/>
            <w:noWrap/>
            <w:vAlign w:val="center"/>
          </w:tcPr>
          <w:p w14:paraId="27B6175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101325.SZ</w:t>
            </w:r>
          </w:p>
        </w:tc>
        <w:tc>
          <w:tcPr>
            <w:tcW w:w="802" w:type="pct"/>
            <w:noWrap/>
            <w:vAlign w:val="center"/>
          </w:tcPr>
          <w:p w14:paraId="0FA9E5B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1325</w:t>
            </w:r>
          </w:p>
        </w:tc>
        <w:tc>
          <w:tcPr>
            <w:tcW w:w="1140" w:type="pct"/>
            <w:noWrap/>
            <w:vAlign w:val="center"/>
          </w:tcPr>
          <w:p w14:paraId="03DF063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23.4426</w:t>
            </w:r>
          </w:p>
        </w:tc>
        <w:tc>
          <w:tcPr>
            <w:tcW w:w="1672" w:type="pct"/>
            <w:noWrap/>
            <w:vAlign w:val="center"/>
          </w:tcPr>
          <w:p w14:paraId="1DFDFFD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5.1124</w:t>
            </w:r>
          </w:p>
        </w:tc>
      </w:tr>
      <w:tr w:rsidR="000A0ACD" w14:paraId="6C05D9E6" w14:textId="77777777">
        <w:trPr>
          <w:trHeight w:val="397"/>
        </w:trPr>
        <w:tc>
          <w:tcPr>
            <w:tcW w:w="395" w:type="pct"/>
            <w:noWrap/>
            <w:vAlign w:val="center"/>
          </w:tcPr>
          <w:p w14:paraId="78CD12E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93</w:t>
            </w:r>
          </w:p>
        </w:tc>
        <w:tc>
          <w:tcPr>
            <w:tcW w:w="991" w:type="pct"/>
            <w:noWrap/>
            <w:vAlign w:val="center"/>
          </w:tcPr>
          <w:p w14:paraId="6E5A0B5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101409.SZ</w:t>
            </w:r>
          </w:p>
        </w:tc>
        <w:tc>
          <w:tcPr>
            <w:tcW w:w="802" w:type="pct"/>
            <w:noWrap/>
            <w:vAlign w:val="center"/>
          </w:tcPr>
          <w:p w14:paraId="0F710AA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1409</w:t>
            </w:r>
          </w:p>
        </w:tc>
        <w:tc>
          <w:tcPr>
            <w:tcW w:w="1140" w:type="pct"/>
            <w:noWrap/>
            <w:vAlign w:val="center"/>
          </w:tcPr>
          <w:p w14:paraId="7EB2759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13.8274</w:t>
            </w:r>
          </w:p>
        </w:tc>
        <w:tc>
          <w:tcPr>
            <w:tcW w:w="1672" w:type="pct"/>
            <w:noWrap/>
            <w:vAlign w:val="center"/>
          </w:tcPr>
          <w:p w14:paraId="1F571D2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4.8246</w:t>
            </w:r>
          </w:p>
        </w:tc>
      </w:tr>
      <w:tr w:rsidR="000A0ACD" w14:paraId="7C9F5200" w14:textId="77777777">
        <w:trPr>
          <w:trHeight w:val="397"/>
        </w:trPr>
        <w:tc>
          <w:tcPr>
            <w:tcW w:w="395" w:type="pct"/>
            <w:noWrap/>
            <w:vAlign w:val="center"/>
          </w:tcPr>
          <w:p w14:paraId="3785350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94</w:t>
            </w:r>
          </w:p>
        </w:tc>
        <w:tc>
          <w:tcPr>
            <w:tcW w:w="991" w:type="pct"/>
            <w:noWrap/>
            <w:vAlign w:val="center"/>
          </w:tcPr>
          <w:p w14:paraId="0C4F494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101410.SZ</w:t>
            </w:r>
          </w:p>
        </w:tc>
        <w:tc>
          <w:tcPr>
            <w:tcW w:w="802" w:type="pct"/>
            <w:noWrap/>
            <w:vAlign w:val="center"/>
          </w:tcPr>
          <w:p w14:paraId="58BBAB98"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1410</w:t>
            </w:r>
          </w:p>
        </w:tc>
        <w:tc>
          <w:tcPr>
            <w:tcW w:w="1140" w:type="pct"/>
            <w:noWrap/>
            <w:vAlign w:val="center"/>
          </w:tcPr>
          <w:p w14:paraId="32B2CEE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43.9041</w:t>
            </w:r>
          </w:p>
        </w:tc>
        <w:tc>
          <w:tcPr>
            <w:tcW w:w="1672" w:type="pct"/>
            <w:noWrap/>
            <w:vAlign w:val="center"/>
          </w:tcPr>
          <w:p w14:paraId="10B7F78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4.7234</w:t>
            </w:r>
          </w:p>
        </w:tc>
      </w:tr>
      <w:tr w:rsidR="000A0ACD" w14:paraId="1F8C6CC8" w14:textId="77777777">
        <w:trPr>
          <w:trHeight w:val="397"/>
        </w:trPr>
        <w:tc>
          <w:tcPr>
            <w:tcW w:w="395" w:type="pct"/>
            <w:noWrap/>
            <w:vAlign w:val="center"/>
          </w:tcPr>
          <w:p w14:paraId="0719BC0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95</w:t>
            </w:r>
          </w:p>
        </w:tc>
        <w:tc>
          <w:tcPr>
            <w:tcW w:w="991" w:type="pct"/>
            <w:noWrap/>
            <w:vAlign w:val="center"/>
          </w:tcPr>
          <w:p w14:paraId="014FB72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101416.SZ</w:t>
            </w:r>
          </w:p>
        </w:tc>
        <w:tc>
          <w:tcPr>
            <w:tcW w:w="802" w:type="pct"/>
            <w:noWrap/>
            <w:vAlign w:val="center"/>
          </w:tcPr>
          <w:p w14:paraId="6A32461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1416</w:t>
            </w:r>
          </w:p>
        </w:tc>
        <w:tc>
          <w:tcPr>
            <w:tcW w:w="1140" w:type="pct"/>
            <w:noWrap/>
            <w:vAlign w:val="center"/>
          </w:tcPr>
          <w:p w14:paraId="25B86C1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24.0656</w:t>
            </w:r>
          </w:p>
        </w:tc>
        <w:tc>
          <w:tcPr>
            <w:tcW w:w="1672" w:type="pct"/>
            <w:noWrap/>
            <w:vAlign w:val="center"/>
          </w:tcPr>
          <w:p w14:paraId="2F16FA4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4.8168</w:t>
            </w:r>
          </w:p>
        </w:tc>
      </w:tr>
      <w:tr w:rsidR="000A0ACD" w14:paraId="3EEC6B26" w14:textId="77777777">
        <w:trPr>
          <w:trHeight w:val="397"/>
        </w:trPr>
        <w:tc>
          <w:tcPr>
            <w:tcW w:w="395" w:type="pct"/>
            <w:noWrap/>
            <w:vAlign w:val="center"/>
          </w:tcPr>
          <w:p w14:paraId="6935F93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96</w:t>
            </w:r>
          </w:p>
        </w:tc>
        <w:tc>
          <w:tcPr>
            <w:tcW w:w="991" w:type="pct"/>
            <w:noWrap/>
            <w:vAlign w:val="center"/>
          </w:tcPr>
          <w:p w14:paraId="56A6948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101417.SZ</w:t>
            </w:r>
          </w:p>
        </w:tc>
        <w:tc>
          <w:tcPr>
            <w:tcW w:w="802" w:type="pct"/>
            <w:noWrap/>
            <w:vAlign w:val="center"/>
          </w:tcPr>
          <w:p w14:paraId="4F9D38A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1417</w:t>
            </w:r>
          </w:p>
        </w:tc>
        <w:tc>
          <w:tcPr>
            <w:tcW w:w="1140" w:type="pct"/>
            <w:noWrap/>
            <w:vAlign w:val="center"/>
          </w:tcPr>
          <w:p w14:paraId="5D92C27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14.1148</w:t>
            </w:r>
          </w:p>
        </w:tc>
        <w:tc>
          <w:tcPr>
            <w:tcW w:w="1672" w:type="pct"/>
            <w:noWrap/>
            <w:vAlign w:val="center"/>
          </w:tcPr>
          <w:p w14:paraId="623C509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4.6836</w:t>
            </w:r>
          </w:p>
        </w:tc>
      </w:tr>
      <w:tr w:rsidR="000A0ACD" w14:paraId="6D3D9C7D" w14:textId="77777777">
        <w:trPr>
          <w:trHeight w:val="397"/>
        </w:trPr>
        <w:tc>
          <w:tcPr>
            <w:tcW w:w="395" w:type="pct"/>
            <w:noWrap/>
            <w:vAlign w:val="center"/>
          </w:tcPr>
          <w:p w14:paraId="0ED776C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97</w:t>
            </w:r>
          </w:p>
        </w:tc>
        <w:tc>
          <w:tcPr>
            <w:tcW w:w="991" w:type="pct"/>
            <w:noWrap/>
            <w:vAlign w:val="center"/>
          </w:tcPr>
          <w:p w14:paraId="7AF4B8A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101425.SZ</w:t>
            </w:r>
          </w:p>
        </w:tc>
        <w:tc>
          <w:tcPr>
            <w:tcW w:w="802" w:type="pct"/>
            <w:noWrap/>
            <w:vAlign w:val="center"/>
          </w:tcPr>
          <w:p w14:paraId="195D1BB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1425</w:t>
            </w:r>
          </w:p>
        </w:tc>
        <w:tc>
          <w:tcPr>
            <w:tcW w:w="1140" w:type="pct"/>
            <w:noWrap/>
            <w:vAlign w:val="center"/>
          </w:tcPr>
          <w:p w14:paraId="23FCF9B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24.3251</w:t>
            </w:r>
          </w:p>
        </w:tc>
        <w:tc>
          <w:tcPr>
            <w:tcW w:w="1672" w:type="pct"/>
            <w:noWrap/>
            <w:vAlign w:val="center"/>
          </w:tcPr>
          <w:p w14:paraId="3B05EC0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3.2395</w:t>
            </w:r>
          </w:p>
        </w:tc>
      </w:tr>
      <w:tr w:rsidR="000A0ACD" w14:paraId="6F765798" w14:textId="77777777">
        <w:trPr>
          <w:trHeight w:val="397"/>
        </w:trPr>
        <w:tc>
          <w:tcPr>
            <w:tcW w:w="395" w:type="pct"/>
            <w:noWrap/>
            <w:vAlign w:val="center"/>
          </w:tcPr>
          <w:p w14:paraId="6FA96B9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98</w:t>
            </w:r>
          </w:p>
        </w:tc>
        <w:tc>
          <w:tcPr>
            <w:tcW w:w="991" w:type="pct"/>
            <w:noWrap/>
            <w:vAlign w:val="center"/>
          </w:tcPr>
          <w:p w14:paraId="51911CD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101427.SZ</w:t>
            </w:r>
          </w:p>
        </w:tc>
        <w:tc>
          <w:tcPr>
            <w:tcW w:w="802" w:type="pct"/>
            <w:noWrap/>
            <w:vAlign w:val="center"/>
          </w:tcPr>
          <w:p w14:paraId="470CBC6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1427</w:t>
            </w:r>
          </w:p>
        </w:tc>
        <w:tc>
          <w:tcPr>
            <w:tcW w:w="1140" w:type="pct"/>
            <w:noWrap/>
            <w:vAlign w:val="center"/>
          </w:tcPr>
          <w:p w14:paraId="4EA5644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44.4016</w:t>
            </w:r>
          </w:p>
        </w:tc>
        <w:tc>
          <w:tcPr>
            <w:tcW w:w="1672" w:type="pct"/>
            <w:noWrap/>
            <w:vAlign w:val="center"/>
          </w:tcPr>
          <w:p w14:paraId="3A05115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4.2840</w:t>
            </w:r>
          </w:p>
        </w:tc>
      </w:tr>
      <w:tr w:rsidR="000A0ACD" w14:paraId="1CB35DB4" w14:textId="77777777">
        <w:trPr>
          <w:trHeight w:val="397"/>
        </w:trPr>
        <w:tc>
          <w:tcPr>
            <w:tcW w:w="395" w:type="pct"/>
            <w:noWrap/>
            <w:vAlign w:val="center"/>
          </w:tcPr>
          <w:p w14:paraId="2A0B562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99</w:t>
            </w:r>
          </w:p>
        </w:tc>
        <w:tc>
          <w:tcPr>
            <w:tcW w:w="991" w:type="pct"/>
            <w:noWrap/>
            <w:vAlign w:val="center"/>
          </w:tcPr>
          <w:p w14:paraId="0FF4303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101508.SZ</w:t>
            </w:r>
          </w:p>
        </w:tc>
        <w:tc>
          <w:tcPr>
            <w:tcW w:w="802" w:type="pct"/>
            <w:noWrap/>
            <w:vAlign w:val="center"/>
          </w:tcPr>
          <w:p w14:paraId="25E9997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1508</w:t>
            </w:r>
          </w:p>
        </w:tc>
        <w:tc>
          <w:tcPr>
            <w:tcW w:w="1140" w:type="pct"/>
            <w:noWrap/>
            <w:vAlign w:val="center"/>
          </w:tcPr>
          <w:p w14:paraId="0DB1905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14.8247</w:t>
            </w:r>
          </w:p>
        </w:tc>
        <w:tc>
          <w:tcPr>
            <w:tcW w:w="1672" w:type="pct"/>
            <w:noWrap/>
            <w:vAlign w:val="center"/>
          </w:tcPr>
          <w:p w14:paraId="6FFB748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4.1302</w:t>
            </w:r>
          </w:p>
        </w:tc>
      </w:tr>
      <w:tr w:rsidR="000A0ACD" w14:paraId="1E07D4D8" w14:textId="77777777">
        <w:trPr>
          <w:trHeight w:val="397"/>
        </w:trPr>
        <w:tc>
          <w:tcPr>
            <w:tcW w:w="395" w:type="pct"/>
            <w:noWrap/>
            <w:vAlign w:val="center"/>
          </w:tcPr>
          <w:p w14:paraId="281E8E72"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991" w:type="pct"/>
            <w:noWrap/>
            <w:vAlign w:val="center"/>
          </w:tcPr>
          <w:p w14:paraId="374B6CE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101510.SZ</w:t>
            </w:r>
          </w:p>
        </w:tc>
        <w:tc>
          <w:tcPr>
            <w:tcW w:w="802" w:type="pct"/>
            <w:noWrap/>
            <w:vAlign w:val="center"/>
          </w:tcPr>
          <w:p w14:paraId="639DAA5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1510</w:t>
            </w:r>
          </w:p>
        </w:tc>
        <w:tc>
          <w:tcPr>
            <w:tcW w:w="1140" w:type="pct"/>
            <w:noWrap/>
            <w:vAlign w:val="center"/>
          </w:tcPr>
          <w:p w14:paraId="329BBB7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44.9014</w:t>
            </w:r>
          </w:p>
        </w:tc>
        <w:tc>
          <w:tcPr>
            <w:tcW w:w="1672" w:type="pct"/>
            <w:noWrap/>
            <w:vAlign w:val="center"/>
          </w:tcPr>
          <w:p w14:paraId="1B72CBF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3.7481</w:t>
            </w:r>
          </w:p>
        </w:tc>
      </w:tr>
      <w:tr w:rsidR="000A0ACD" w14:paraId="0B87663F" w14:textId="77777777">
        <w:trPr>
          <w:trHeight w:val="397"/>
        </w:trPr>
        <w:tc>
          <w:tcPr>
            <w:tcW w:w="395" w:type="pct"/>
            <w:noWrap/>
            <w:vAlign w:val="center"/>
          </w:tcPr>
          <w:p w14:paraId="2D7D1D9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w:t>
            </w:r>
          </w:p>
        </w:tc>
        <w:tc>
          <w:tcPr>
            <w:tcW w:w="991" w:type="pct"/>
            <w:noWrap/>
            <w:vAlign w:val="center"/>
          </w:tcPr>
          <w:p w14:paraId="33E4E96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101517.SZ</w:t>
            </w:r>
          </w:p>
        </w:tc>
        <w:tc>
          <w:tcPr>
            <w:tcW w:w="802" w:type="pct"/>
            <w:noWrap/>
            <w:vAlign w:val="center"/>
          </w:tcPr>
          <w:p w14:paraId="6FDAA2B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1517</w:t>
            </w:r>
          </w:p>
        </w:tc>
        <w:tc>
          <w:tcPr>
            <w:tcW w:w="1140" w:type="pct"/>
            <w:noWrap/>
            <w:vAlign w:val="center"/>
          </w:tcPr>
          <w:p w14:paraId="31A1AE0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25.0738</w:t>
            </w:r>
          </w:p>
        </w:tc>
        <w:tc>
          <w:tcPr>
            <w:tcW w:w="1672" w:type="pct"/>
            <w:noWrap/>
            <w:vAlign w:val="center"/>
          </w:tcPr>
          <w:p w14:paraId="229D670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3.9789</w:t>
            </w:r>
          </w:p>
        </w:tc>
      </w:tr>
      <w:tr w:rsidR="000A0ACD" w14:paraId="4E7C1589" w14:textId="77777777">
        <w:trPr>
          <w:trHeight w:val="397"/>
        </w:trPr>
        <w:tc>
          <w:tcPr>
            <w:tcW w:w="395" w:type="pct"/>
            <w:noWrap/>
            <w:vAlign w:val="center"/>
          </w:tcPr>
          <w:p w14:paraId="646A306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102</w:t>
            </w:r>
          </w:p>
        </w:tc>
        <w:tc>
          <w:tcPr>
            <w:tcW w:w="991" w:type="pct"/>
            <w:noWrap/>
            <w:vAlign w:val="center"/>
          </w:tcPr>
          <w:p w14:paraId="58D02ED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101521.SZ</w:t>
            </w:r>
          </w:p>
        </w:tc>
        <w:tc>
          <w:tcPr>
            <w:tcW w:w="802" w:type="pct"/>
            <w:noWrap/>
            <w:vAlign w:val="center"/>
          </w:tcPr>
          <w:p w14:paraId="45A0FFB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1521</w:t>
            </w:r>
          </w:p>
        </w:tc>
        <w:tc>
          <w:tcPr>
            <w:tcW w:w="1140" w:type="pct"/>
            <w:noWrap/>
            <w:vAlign w:val="center"/>
          </w:tcPr>
          <w:p w14:paraId="4C7FBA2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15.2295</w:t>
            </w:r>
          </w:p>
        </w:tc>
        <w:tc>
          <w:tcPr>
            <w:tcW w:w="1672" w:type="pct"/>
            <w:noWrap/>
            <w:vAlign w:val="center"/>
          </w:tcPr>
          <w:p w14:paraId="5B14F80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3.7729</w:t>
            </w:r>
          </w:p>
        </w:tc>
      </w:tr>
      <w:tr w:rsidR="000A0ACD" w14:paraId="65946F8B" w14:textId="77777777">
        <w:trPr>
          <w:trHeight w:val="397"/>
        </w:trPr>
        <w:tc>
          <w:tcPr>
            <w:tcW w:w="395" w:type="pct"/>
            <w:noWrap/>
            <w:vAlign w:val="center"/>
          </w:tcPr>
          <w:p w14:paraId="0952FF5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103</w:t>
            </w:r>
          </w:p>
        </w:tc>
        <w:tc>
          <w:tcPr>
            <w:tcW w:w="991" w:type="pct"/>
            <w:noWrap/>
            <w:vAlign w:val="center"/>
          </w:tcPr>
          <w:p w14:paraId="5019720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101525.SZ</w:t>
            </w:r>
          </w:p>
        </w:tc>
        <w:tc>
          <w:tcPr>
            <w:tcW w:w="802" w:type="pct"/>
            <w:noWrap/>
            <w:vAlign w:val="center"/>
          </w:tcPr>
          <w:p w14:paraId="7B38922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1525</w:t>
            </w:r>
          </w:p>
        </w:tc>
        <w:tc>
          <w:tcPr>
            <w:tcW w:w="1140" w:type="pct"/>
            <w:noWrap/>
            <w:vAlign w:val="center"/>
          </w:tcPr>
          <w:p w14:paraId="444C5FB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25.3060</w:t>
            </w:r>
          </w:p>
        </w:tc>
        <w:tc>
          <w:tcPr>
            <w:tcW w:w="1672" w:type="pct"/>
            <w:noWrap/>
            <w:vAlign w:val="center"/>
          </w:tcPr>
          <w:p w14:paraId="41012FD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3.7740</w:t>
            </w:r>
          </w:p>
        </w:tc>
      </w:tr>
      <w:tr w:rsidR="000A0ACD" w14:paraId="53EACDAE" w14:textId="77777777">
        <w:trPr>
          <w:trHeight w:val="397"/>
        </w:trPr>
        <w:tc>
          <w:tcPr>
            <w:tcW w:w="395" w:type="pct"/>
            <w:noWrap/>
            <w:vAlign w:val="center"/>
          </w:tcPr>
          <w:p w14:paraId="0A8802B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104</w:t>
            </w:r>
          </w:p>
        </w:tc>
        <w:tc>
          <w:tcPr>
            <w:tcW w:w="991" w:type="pct"/>
            <w:noWrap/>
            <w:vAlign w:val="center"/>
          </w:tcPr>
          <w:p w14:paraId="1EDBCF9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101528.SZ</w:t>
            </w:r>
          </w:p>
        </w:tc>
        <w:tc>
          <w:tcPr>
            <w:tcW w:w="802" w:type="pct"/>
            <w:noWrap/>
            <w:vAlign w:val="center"/>
          </w:tcPr>
          <w:p w14:paraId="71B7896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1528</w:t>
            </w:r>
          </w:p>
        </w:tc>
        <w:tc>
          <w:tcPr>
            <w:tcW w:w="1140" w:type="pct"/>
            <w:noWrap/>
            <w:vAlign w:val="center"/>
          </w:tcPr>
          <w:p w14:paraId="292015EE"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45.3989</w:t>
            </w:r>
          </w:p>
        </w:tc>
        <w:tc>
          <w:tcPr>
            <w:tcW w:w="1672" w:type="pct"/>
            <w:noWrap/>
            <w:vAlign w:val="center"/>
          </w:tcPr>
          <w:p w14:paraId="4EF624B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3.6960</w:t>
            </w:r>
          </w:p>
        </w:tc>
      </w:tr>
      <w:tr w:rsidR="000A0ACD" w14:paraId="5AEFE219" w14:textId="77777777">
        <w:trPr>
          <w:trHeight w:val="397"/>
        </w:trPr>
        <w:tc>
          <w:tcPr>
            <w:tcW w:w="395" w:type="pct"/>
            <w:noWrap/>
            <w:vAlign w:val="center"/>
          </w:tcPr>
          <w:p w14:paraId="71E1603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105</w:t>
            </w:r>
          </w:p>
        </w:tc>
        <w:tc>
          <w:tcPr>
            <w:tcW w:w="991" w:type="pct"/>
            <w:noWrap/>
            <w:vAlign w:val="center"/>
          </w:tcPr>
          <w:p w14:paraId="6E349C7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101608.SZ</w:t>
            </w:r>
          </w:p>
        </w:tc>
        <w:tc>
          <w:tcPr>
            <w:tcW w:w="802" w:type="pct"/>
            <w:noWrap/>
            <w:vAlign w:val="center"/>
          </w:tcPr>
          <w:p w14:paraId="7364029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1608</w:t>
            </w:r>
          </w:p>
        </w:tc>
        <w:tc>
          <w:tcPr>
            <w:tcW w:w="1140" w:type="pct"/>
            <w:noWrap/>
            <w:vAlign w:val="center"/>
          </w:tcPr>
          <w:p w14:paraId="5EC4F21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25.8192</w:t>
            </w:r>
          </w:p>
        </w:tc>
        <w:tc>
          <w:tcPr>
            <w:tcW w:w="1672" w:type="pct"/>
            <w:noWrap/>
            <w:vAlign w:val="center"/>
          </w:tcPr>
          <w:p w14:paraId="44891B7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3.5501</w:t>
            </w:r>
          </w:p>
        </w:tc>
      </w:tr>
      <w:tr w:rsidR="000A0ACD" w14:paraId="54350634" w14:textId="77777777">
        <w:trPr>
          <w:trHeight w:val="397"/>
        </w:trPr>
        <w:tc>
          <w:tcPr>
            <w:tcW w:w="395" w:type="pct"/>
            <w:noWrap/>
            <w:vAlign w:val="center"/>
          </w:tcPr>
          <w:p w14:paraId="3FC1BD9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106</w:t>
            </w:r>
          </w:p>
        </w:tc>
        <w:tc>
          <w:tcPr>
            <w:tcW w:w="991" w:type="pct"/>
            <w:noWrap/>
            <w:vAlign w:val="center"/>
          </w:tcPr>
          <w:p w14:paraId="0692070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101613.SZ</w:t>
            </w:r>
          </w:p>
        </w:tc>
        <w:tc>
          <w:tcPr>
            <w:tcW w:w="802" w:type="pct"/>
            <w:noWrap/>
            <w:vAlign w:val="center"/>
          </w:tcPr>
          <w:p w14:paraId="2B2500A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1613</w:t>
            </w:r>
          </w:p>
        </w:tc>
        <w:tc>
          <w:tcPr>
            <w:tcW w:w="1140" w:type="pct"/>
            <w:noWrap/>
            <w:vAlign w:val="center"/>
          </w:tcPr>
          <w:p w14:paraId="4596970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45.8959</w:t>
            </w:r>
          </w:p>
        </w:tc>
        <w:tc>
          <w:tcPr>
            <w:tcW w:w="1672" w:type="pct"/>
            <w:noWrap/>
            <w:vAlign w:val="center"/>
          </w:tcPr>
          <w:p w14:paraId="3D2BCBC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3.6563</w:t>
            </w:r>
          </w:p>
        </w:tc>
      </w:tr>
      <w:tr w:rsidR="000A0ACD" w14:paraId="6E910E82" w14:textId="77777777">
        <w:trPr>
          <w:trHeight w:val="397"/>
        </w:trPr>
        <w:tc>
          <w:tcPr>
            <w:tcW w:w="395" w:type="pct"/>
            <w:noWrap/>
            <w:vAlign w:val="center"/>
          </w:tcPr>
          <w:p w14:paraId="113BD73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107</w:t>
            </w:r>
          </w:p>
        </w:tc>
        <w:tc>
          <w:tcPr>
            <w:tcW w:w="991" w:type="pct"/>
            <w:noWrap/>
            <w:vAlign w:val="center"/>
          </w:tcPr>
          <w:p w14:paraId="3FBC99D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101619.SZ</w:t>
            </w:r>
          </w:p>
        </w:tc>
        <w:tc>
          <w:tcPr>
            <w:tcW w:w="802" w:type="pct"/>
            <w:noWrap/>
            <w:vAlign w:val="center"/>
          </w:tcPr>
          <w:p w14:paraId="4166E22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1619</w:t>
            </w:r>
          </w:p>
        </w:tc>
        <w:tc>
          <w:tcPr>
            <w:tcW w:w="1140" w:type="pct"/>
            <w:noWrap/>
            <w:vAlign w:val="center"/>
          </w:tcPr>
          <w:p w14:paraId="22FE3D6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26.1448</w:t>
            </w:r>
          </w:p>
        </w:tc>
        <w:tc>
          <w:tcPr>
            <w:tcW w:w="1672" w:type="pct"/>
            <w:noWrap/>
            <w:vAlign w:val="center"/>
          </w:tcPr>
          <w:p w14:paraId="0E87108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3.3553</w:t>
            </w:r>
          </w:p>
        </w:tc>
      </w:tr>
      <w:tr w:rsidR="000A0ACD" w14:paraId="032D5FCA" w14:textId="77777777">
        <w:trPr>
          <w:trHeight w:val="397"/>
        </w:trPr>
        <w:tc>
          <w:tcPr>
            <w:tcW w:w="395" w:type="pct"/>
            <w:noWrap/>
            <w:vAlign w:val="center"/>
          </w:tcPr>
          <w:p w14:paraId="4DE695C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108</w:t>
            </w:r>
          </w:p>
        </w:tc>
        <w:tc>
          <w:tcPr>
            <w:tcW w:w="991" w:type="pct"/>
            <w:noWrap/>
            <w:vAlign w:val="center"/>
          </w:tcPr>
          <w:p w14:paraId="220CB33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101626.SZ</w:t>
            </w:r>
          </w:p>
        </w:tc>
        <w:tc>
          <w:tcPr>
            <w:tcW w:w="802" w:type="pct"/>
            <w:noWrap/>
            <w:vAlign w:val="center"/>
          </w:tcPr>
          <w:p w14:paraId="5C43CFC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1626</w:t>
            </w:r>
          </w:p>
        </w:tc>
        <w:tc>
          <w:tcPr>
            <w:tcW w:w="1140" w:type="pct"/>
            <w:noWrap/>
            <w:vAlign w:val="center"/>
          </w:tcPr>
          <w:p w14:paraId="3086986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46.3934</w:t>
            </w:r>
          </w:p>
        </w:tc>
        <w:tc>
          <w:tcPr>
            <w:tcW w:w="1672" w:type="pct"/>
            <w:noWrap/>
            <w:vAlign w:val="center"/>
          </w:tcPr>
          <w:p w14:paraId="3691671C"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3.5096</w:t>
            </w:r>
          </w:p>
        </w:tc>
      </w:tr>
      <w:tr w:rsidR="000A0ACD" w14:paraId="0DE895E9" w14:textId="77777777">
        <w:trPr>
          <w:trHeight w:val="397"/>
        </w:trPr>
        <w:tc>
          <w:tcPr>
            <w:tcW w:w="395" w:type="pct"/>
            <w:noWrap/>
            <w:vAlign w:val="center"/>
          </w:tcPr>
          <w:p w14:paraId="7EC067D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109</w:t>
            </w:r>
          </w:p>
        </w:tc>
        <w:tc>
          <w:tcPr>
            <w:tcW w:w="991" w:type="pct"/>
            <w:noWrap/>
            <w:vAlign w:val="center"/>
          </w:tcPr>
          <w:p w14:paraId="365CFB2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101705.SZ</w:t>
            </w:r>
          </w:p>
        </w:tc>
        <w:tc>
          <w:tcPr>
            <w:tcW w:w="802" w:type="pct"/>
            <w:noWrap/>
            <w:vAlign w:val="center"/>
          </w:tcPr>
          <w:p w14:paraId="281ADEC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1705</w:t>
            </w:r>
          </w:p>
        </w:tc>
        <w:tc>
          <w:tcPr>
            <w:tcW w:w="1140" w:type="pct"/>
            <w:noWrap/>
            <w:vAlign w:val="center"/>
          </w:tcPr>
          <w:p w14:paraId="29E2590F"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26.6421</w:t>
            </w:r>
          </w:p>
        </w:tc>
        <w:tc>
          <w:tcPr>
            <w:tcW w:w="1672" w:type="pct"/>
            <w:noWrap/>
            <w:vAlign w:val="center"/>
          </w:tcPr>
          <w:p w14:paraId="6B7F4E3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3.8055</w:t>
            </w:r>
          </w:p>
        </w:tc>
      </w:tr>
      <w:tr w:rsidR="000A0ACD" w14:paraId="10047A34" w14:textId="77777777">
        <w:trPr>
          <w:trHeight w:val="397"/>
        </w:trPr>
        <w:tc>
          <w:tcPr>
            <w:tcW w:w="395" w:type="pct"/>
            <w:noWrap/>
            <w:vAlign w:val="center"/>
          </w:tcPr>
          <w:p w14:paraId="2ECBBDE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110</w:t>
            </w:r>
          </w:p>
        </w:tc>
        <w:tc>
          <w:tcPr>
            <w:tcW w:w="991" w:type="pct"/>
            <w:noWrap/>
            <w:vAlign w:val="center"/>
          </w:tcPr>
          <w:p w14:paraId="5941DC0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101711.SZ</w:t>
            </w:r>
          </w:p>
        </w:tc>
        <w:tc>
          <w:tcPr>
            <w:tcW w:w="802" w:type="pct"/>
            <w:noWrap/>
            <w:vAlign w:val="center"/>
          </w:tcPr>
          <w:p w14:paraId="4EA1E0F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1711</w:t>
            </w:r>
          </w:p>
        </w:tc>
        <w:tc>
          <w:tcPr>
            <w:tcW w:w="1140" w:type="pct"/>
            <w:noWrap/>
            <w:vAlign w:val="center"/>
          </w:tcPr>
          <w:p w14:paraId="33402BF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46.8932</w:t>
            </w:r>
          </w:p>
        </w:tc>
        <w:tc>
          <w:tcPr>
            <w:tcW w:w="1672" w:type="pct"/>
            <w:noWrap/>
            <w:vAlign w:val="center"/>
          </w:tcPr>
          <w:p w14:paraId="3FE35A1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4.1207</w:t>
            </w:r>
          </w:p>
        </w:tc>
      </w:tr>
      <w:tr w:rsidR="000A0ACD" w14:paraId="15E57A80" w14:textId="77777777">
        <w:trPr>
          <w:trHeight w:val="397"/>
        </w:trPr>
        <w:tc>
          <w:tcPr>
            <w:tcW w:w="395" w:type="pct"/>
            <w:noWrap/>
            <w:vAlign w:val="center"/>
          </w:tcPr>
          <w:p w14:paraId="16D0DFC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111</w:t>
            </w:r>
          </w:p>
        </w:tc>
        <w:tc>
          <w:tcPr>
            <w:tcW w:w="991" w:type="pct"/>
            <w:noWrap/>
            <w:vAlign w:val="center"/>
          </w:tcPr>
          <w:p w14:paraId="66269D2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101715.SZ</w:t>
            </w:r>
          </w:p>
        </w:tc>
        <w:tc>
          <w:tcPr>
            <w:tcW w:w="802" w:type="pct"/>
            <w:noWrap/>
            <w:vAlign w:val="center"/>
          </w:tcPr>
          <w:p w14:paraId="7268C22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1715</w:t>
            </w:r>
          </w:p>
        </w:tc>
        <w:tc>
          <w:tcPr>
            <w:tcW w:w="1140" w:type="pct"/>
            <w:noWrap/>
            <w:vAlign w:val="center"/>
          </w:tcPr>
          <w:p w14:paraId="37ED473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27.0656</w:t>
            </w:r>
          </w:p>
        </w:tc>
        <w:tc>
          <w:tcPr>
            <w:tcW w:w="1672" w:type="pct"/>
            <w:noWrap/>
            <w:vAlign w:val="center"/>
          </w:tcPr>
          <w:p w14:paraId="24D18B9B"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4.0912</w:t>
            </w:r>
          </w:p>
        </w:tc>
      </w:tr>
      <w:tr w:rsidR="000A0ACD" w14:paraId="63E613E1" w14:textId="77777777">
        <w:trPr>
          <w:trHeight w:val="397"/>
        </w:trPr>
        <w:tc>
          <w:tcPr>
            <w:tcW w:w="395" w:type="pct"/>
            <w:noWrap/>
            <w:vAlign w:val="center"/>
          </w:tcPr>
          <w:p w14:paraId="1F99350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112</w:t>
            </w:r>
          </w:p>
        </w:tc>
        <w:tc>
          <w:tcPr>
            <w:tcW w:w="991" w:type="pct"/>
            <w:noWrap/>
            <w:vAlign w:val="center"/>
          </w:tcPr>
          <w:p w14:paraId="53940DA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101722.SZ</w:t>
            </w:r>
          </w:p>
        </w:tc>
        <w:tc>
          <w:tcPr>
            <w:tcW w:w="802" w:type="pct"/>
            <w:noWrap/>
            <w:vAlign w:val="center"/>
          </w:tcPr>
          <w:p w14:paraId="71DDB8A1"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1722</w:t>
            </w:r>
          </w:p>
        </w:tc>
        <w:tc>
          <w:tcPr>
            <w:tcW w:w="1140" w:type="pct"/>
            <w:noWrap/>
            <w:vAlign w:val="center"/>
          </w:tcPr>
          <w:p w14:paraId="6200F252"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27.3142</w:t>
            </w:r>
          </w:p>
        </w:tc>
        <w:tc>
          <w:tcPr>
            <w:tcW w:w="1672" w:type="pct"/>
            <w:noWrap/>
            <w:vAlign w:val="center"/>
          </w:tcPr>
          <w:p w14:paraId="595D1B1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4.3246</w:t>
            </w:r>
          </w:p>
        </w:tc>
      </w:tr>
      <w:tr w:rsidR="000A0ACD" w14:paraId="464C90D9" w14:textId="77777777">
        <w:trPr>
          <w:trHeight w:val="397"/>
        </w:trPr>
        <w:tc>
          <w:tcPr>
            <w:tcW w:w="395" w:type="pct"/>
            <w:noWrap/>
            <w:vAlign w:val="center"/>
          </w:tcPr>
          <w:p w14:paraId="0C95919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113</w:t>
            </w:r>
          </w:p>
        </w:tc>
        <w:tc>
          <w:tcPr>
            <w:tcW w:w="991" w:type="pct"/>
            <w:noWrap/>
            <w:vAlign w:val="center"/>
          </w:tcPr>
          <w:p w14:paraId="60FFAC3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101726.SZ</w:t>
            </w:r>
          </w:p>
        </w:tc>
        <w:tc>
          <w:tcPr>
            <w:tcW w:w="802" w:type="pct"/>
            <w:noWrap/>
            <w:vAlign w:val="center"/>
          </w:tcPr>
          <w:p w14:paraId="4B7FA48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1726</w:t>
            </w:r>
          </w:p>
        </w:tc>
        <w:tc>
          <w:tcPr>
            <w:tcW w:w="1140" w:type="pct"/>
            <w:noWrap/>
            <w:vAlign w:val="center"/>
          </w:tcPr>
          <w:p w14:paraId="7AD8DA36"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47.3907</w:t>
            </w:r>
          </w:p>
        </w:tc>
        <w:tc>
          <w:tcPr>
            <w:tcW w:w="1672" w:type="pct"/>
            <w:noWrap/>
            <w:vAlign w:val="center"/>
          </w:tcPr>
          <w:p w14:paraId="6C3848C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4.4167</w:t>
            </w:r>
          </w:p>
        </w:tc>
      </w:tr>
      <w:tr w:rsidR="000A0ACD" w14:paraId="0B669435" w14:textId="77777777">
        <w:trPr>
          <w:trHeight w:val="397"/>
        </w:trPr>
        <w:tc>
          <w:tcPr>
            <w:tcW w:w="395" w:type="pct"/>
            <w:noWrap/>
            <w:vAlign w:val="center"/>
          </w:tcPr>
          <w:p w14:paraId="025DA23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114</w:t>
            </w:r>
          </w:p>
        </w:tc>
        <w:tc>
          <w:tcPr>
            <w:tcW w:w="991" w:type="pct"/>
            <w:noWrap/>
            <w:vAlign w:val="center"/>
          </w:tcPr>
          <w:p w14:paraId="5D25A39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101806.SZ</w:t>
            </w:r>
          </w:p>
        </w:tc>
        <w:tc>
          <w:tcPr>
            <w:tcW w:w="802" w:type="pct"/>
            <w:noWrap/>
            <w:vAlign w:val="center"/>
          </w:tcPr>
          <w:p w14:paraId="0803041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1806</w:t>
            </w:r>
          </w:p>
        </w:tc>
        <w:tc>
          <w:tcPr>
            <w:tcW w:w="1140" w:type="pct"/>
            <w:noWrap/>
            <w:vAlign w:val="center"/>
          </w:tcPr>
          <w:p w14:paraId="76C01A4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27.7178</w:t>
            </w:r>
          </w:p>
        </w:tc>
        <w:tc>
          <w:tcPr>
            <w:tcW w:w="1672" w:type="pct"/>
            <w:noWrap/>
            <w:vAlign w:val="center"/>
          </w:tcPr>
          <w:p w14:paraId="42BDEE2A"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4.2629</w:t>
            </w:r>
          </w:p>
        </w:tc>
      </w:tr>
      <w:tr w:rsidR="000A0ACD" w14:paraId="6EB0BFAD" w14:textId="77777777">
        <w:trPr>
          <w:trHeight w:val="397"/>
        </w:trPr>
        <w:tc>
          <w:tcPr>
            <w:tcW w:w="395" w:type="pct"/>
            <w:noWrap/>
            <w:vAlign w:val="center"/>
          </w:tcPr>
          <w:p w14:paraId="79506BA6"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115</w:t>
            </w:r>
          </w:p>
        </w:tc>
        <w:tc>
          <w:tcPr>
            <w:tcW w:w="991" w:type="pct"/>
            <w:noWrap/>
            <w:vAlign w:val="center"/>
          </w:tcPr>
          <w:p w14:paraId="1D3EBA9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101812.SZ</w:t>
            </w:r>
          </w:p>
        </w:tc>
        <w:tc>
          <w:tcPr>
            <w:tcW w:w="802" w:type="pct"/>
            <w:noWrap/>
            <w:vAlign w:val="center"/>
          </w:tcPr>
          <w:p w14:paraId="0A87F883"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1812</w:t>
            </w:r>
          </w:p>
        </w:tc>
        <w:tc>
          <w:tcPr>
            <w:tcW w:w="1140" w:type="pct"/>
            <w:noWrap/>
            <w:vAlign w:val="center"/>
          </w:tcPr>
          <w:p w14:paraId="1D557709"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47.8904</w:t>
            </w:r>
          </w:p>
        </w:tc>
        <w:tc>
          <w:tcPr>
            <w:tcW w:w="1672" w:type="pct"/>
            <w:noWrap/>
            <w:vAlign w:val="center"/>
          </w:tcPr>
          <w:p w14:paraId="72C445A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4.1717</w:t>
            </w:r>
          </w:p>
        </w:tc>
      </w:tr>
      <w:tr w:rsidR="000A0ACD" w14:paraId="2E647469" w14:textId="77777777">
        <w:trPr>
          <w:trHeight w:val="397"/>
        </w:trPr>
        <w:tc>
          <w:tcPr>
            <w:tcW w:w="395" w:type="pct"/>
            <w:noWrap/>
            <w:vAlign w:val="center"/>
          </w:tcPr>
          <w:p w14:paraId="0DB6500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116</w:t>
            </w:r>
          </w:p>
        </w:tc>
        <w:tc>
          <w:tcPr>
            <w:tcW w:w="991" w:type="pct"/>
            <w:noWrap/>
            <w:vAlign w:val="center"/>
          </w:tcPr>
          <w:p w14:paraId="2629D47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101817.SZ</w:t>
            </w:r>
          </w:p>
        </w:tc>
        <w:tc>
          <w:tcPr>
            <w:tcW w:w="802" w:type="pct"/>
            <w:noWrap/>
            <w:vAlign w:val="center"/>
          </w:tcPr>
          <w:p w14:paraId="2DC8DFF4"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1817</w:t>
            </w:r>
          </w:p>
        </w:tc>
        <w:tc>
          <w:tcPr>
            <w:tcW w:w="1140" w:type="pct"/>
            <w:noWrap/>
            <w:vAlign w:val="center"/>
          </w:tcPr>
          <w:p w14:paraId="0E445DC0"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28.0628</w:t>
            </w:r>
          </w:p>
        </w:tc>
        <w:tc>
          <w:tcPr>
            <w:tcW w:w="1672" w:type="pct"/>
            <w:noWrap/>
            <w:vAlign w:val="center"/>
          </w:tcPr>
          <w:p w14:paraId="6FCD348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4.0096</w:t>
            </w:r>
          </w:p>
        </w:tc>
      </w:tr>
      <w:tr w:rsidR="000A0ACD" w14:paraId="64683F25" w14:textId="77777777">
        <w:trPr>
          <w:trHeight w:val="397"/>
        </w:trPr>
        <w:tc>
          <w:tcPr>
            <w:tcW w:w="395" w:type="pct"/>
            <w:noWrap/>
            <w:vAlign w:val="center"/>
          </w:tcPr>
          <w:p w14:paraId="5ED2AC7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117</w:t>
            </w:r>
          </w:p>
        </w:tc>
        <w:tc>
          <w:tcPr>
            <w:tcW w:w="991" w:type="pct"/>
            <w:noWrap/>
            <w:vAlign w:val="center"/>
          </w:tcPr>
          <w:p w14:paraId="5330617F"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101824.SZ</w:t>
            </w:r>
          </w:p>
        </w:tc>
        <w:tc>
          <w:tcPr>
            <w:tcW w:w="802" w:type="pct"/>
            <w:noWrap/>
            <w:vAlign w:val="center"/>
          </w:tcPr>
          <w:p w14:paraId="02192B6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1824</w:t>
            </w:r>
          </w:p>
        </w:tc>
        <w:tc>
          <w:tcPr>
            <w:tcW w:w="1140" w:type="pct"/>
            <w:noWrap/>
            <w:vAlign w:val="center"/>
          </w:tcPr>
          <w:p w14:paraId="1AA3590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28.3115</w:t>
            </w:r>
          </w:p>
        </w:tc>
        <w:tc>
          <w:tcPr>
            <w:tcW w:w="1672" w:type="pct"/>
            <w:noWrap/>
            <w:vAlign w:val="center"/>
          </w:tcPr>
          <w:p w14:paraId="079B1B05"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4.1205</w:t>
            </w:r>
          </w:p>
        </w:tc>
      </w:tr>
      <w:tr w:rsidR="000A0ACD" w14:paraId="0FFABF04" w14:textId="77777777">
        <w:trPr>
          <w:trHeight w:val="397"/>
        </w:trPr>
        <w:tc>
          <w:tcPr>
            <w:tcW w:w="395" w:type="pct"/>
            <w:noWrap/>
            <w:vAlign w:val="center"/>
          </w:tcPr>
          <w:p w14:paraId="0E4B4E5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118</w:t>
            </w:r>
          </w:p>
        </w:tc>
        <w:tc>
          <w:tcPr>
            <w:tcW w:w="991" w:type="pct"/>
            <w:noWrap/>
            <w:vAlign w:val="center"/>
          </w:tcPr>
          <w:p w14:paraId="7A099959"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101825.SZ</w:t>
            </w:r>
          </w:p>
        </w:tc>
        <w:tc>
          <w:tcPr>
            <w:tcW w:w="802" w:type="pct"/>
            <w:noWrap/>
            <w:vAlign w:val="center"/>
          </w:tcPr>
          <w:p w14:paraId="5D4CF68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1825</w:t>
            </w:r>
          </w:p>
        </w:tc>
        <w:tc>
          <w:tcPr>
            <w:tcW w:w="1140" w:type="pct"/>
            <w:noWrap/>
            <w:vAlign w:val="center"/>
          </w:tcPr>
          <w:p w14:paraId="6C9B459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48.3880</w:t>
            </w:r>
          </w:p>
        </w:tc>
        <w:tc>
          <w:tcPr>
            <w:tcW w:w="1672" w:type="pct"/>
            <w:noWrap/>
            <w:vAlign w:val="center"/>
          </w:tcPr>
          <w:p w14:paraId="1BC92E1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3.8557</w:t>
            </w:r>
          </w:p>
        </w:tc>
      </w:tr>
      <w:tr w:rsidR="000A0ACD" w14:paraId="6D43645C" w14:textId="77777777">
        <w:trPr>
          <w:trHeight w:val="397"/>
        </w:trPr>
        <w:tc>
          <w:tcPr>
            <w:tcW w:w="395" w:type="pct"/>
            <w:noWrap/>
            <w:vAlign w:val="center"/>
          </w:tcPr>
          <w:p w14:paraId="217EC3F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119</w:t>
            </w:r>
          </w:p>
        </w:tc>
        <w:tc>
          <w:tcPr>
            <w:tcW w:w="991" w:type="pct"/>
            <w:noWrap/>
            <w:vAlign w:val="center"/>
          </w:tcPr>
          <w:p w14:paraId="172F8C9B"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101908.SZ</w:t>
            </w:r>
          </w:p>
        </w:tc>
        <w:tc>
          <w:tcPr>
            <w:tcW w:w="802" w:type="pct"/>
            <w:noWrap/>
            <w:vAlign w:val="center"/>
          </w:tcPr>
          <w:p w14:paraId="1631D58D"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1908</w:t>
            </w:r>
          </w:p>
        </w:tc>
        <w:tc>
          <w:tcPr>
            <w:tcW w:w="1140" w:type="pct"/>
            <w:noWrap/>
            <w:vAlign w:val="center"/>
          </w:tcPr>
          <w:p w14:paraId="10DA416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48.9836</w:t>
            </w:r>
          </w:p>
        </w:tc>
        <w:tc>
          <w:tcPr>
            <w:tcW w:w="1672" w:type="pct"/>
            <w:noWrap/>
            <w:vAlign w:val="center"/>
          </w:tcPr>
          <w:p w14:paraId="200B5187"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4.0395</w:t>
            </w:r>
          </w:p>
        </w:tc>
      </w:tr>
      <w:tr w:rsidR="000A0ACD" w14:paraId="556C9A75" w14:textId="77777777">
        <w:trPr>
          <w:trHeight w:val="397"/>
        </w:trPr>
        <w:tc>
          <w:tcPr>
            <w:tcW w:w="395" w:type="pct"/>
            <w:noWrap/>
            <w:vAlign w:val="center"/>
          </w:tcPr>
          <w:p w14:paraId="4D6DFFB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120</w:t>
            </w:r>
          </w:p>
        </w:tc>
        <w:tc>
          <w:tcPr>
            <w:tcW w:w="991" w:type="pct"/>
            <w:noWrap/>
            <w:vAlign w:val="center"/>
          </w:tcPr>
          <w:p w14:paraId="0FF8686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101986.SZ</w:t>
            </w:r>
          </w:p>
        </w:tc>
        <w:tc>
          <w:tcPr>
            <w:tcW w:w="802" w:type="pct"/>
            <w:noWrap/>
            <w:vAlign w:val="center"/>
          </w:tcPr>
          <w:p w14:paraId="47C9E520"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1910</w:t>
            </w:r>
          </w:p>
        </w:tc>
        <w:tc>
          <w:tcPr>
            <w:tcW w:w="1140" w:type="pct"/>
            <w:noWrap/>
            <w:vAlign w:val="center"/>
          </w:tcPr>
          <w:p w14:paraId="2767CED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29.0601</w:t>
            </w:r>
          </w:p>
        </w:tc>
        <w:tc>
          <w:tcPr>
            <w:tcW w:w="1672" w:type="pct"/>
            <w:noWrap/>
            <w:vAlign w:val="center"/>
          </w:tcPr>
          <w:p w14:paraId="54763218"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3.8975</w:t>
            </w:r>
          </w:p>
        </w:tc>
      </w:tr>
      <w:tr w:rsidR="000A0ACD" w14:paraId="16A87DE3" w14:textId="77777777">
        <w:trPr>
          <w:trHeight w:val="397"/>
        </w:trPr>
        <w:tc>
          <w:tcPr>
            <w:tcW w:w="395" w:type="pct"/>
            <w:noWrap/>
            <w:vAlign w:val="center"/>
          </w:tcPr>
          <w:p w14:paraId="426E6F3E"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121</w:t>
            </w:r>
          </w:p>
        </w:tc>
        <w:tc>
          <w:tcPr>
            <w:tcW w:w="991" w:type="pct"/>
            <w:noWrap/>
            <w:vAlign w:val="center"/>
          </w:tcPr>
          <w:p w14:paraId="21AE773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102004.SZ</w:t>
            </w:r>
          </w:p>
        </w:tc>
        <w:tc>
          <w:tcPr>
            <w:tcW w:w="802" w:type="pct"/>
            <w:noWrap/>
            <w:vAlign w:val="center"/>
          </w:tcPr>
          <w:p w14:paraId="3D203CB7"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2004</w:t>
            </w:r>
          </w:p>
        </w:tc>
        <w:tc>
          <w:tcPr>
            <w:tcW w:w="1140" w:type="pct"/>
            <w:noWrap/>
            <w:vAlign w:val="center"/>
          </w:tcPr>
          <w:p w14:paraId="18C61A1D"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29.7096</w:t>
            </w:r>
          </w:p>
        </w:tc>
        <w:tc>
          <w:tcPr>
            <w:tcW w:w="1672" w:type="pct"/>
            <w:noWrap/>
            <w:vAlign w:val="center"/>
          </w:tcPr>
          <w:p w14:paraId="02E49804"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3.4176</w:t>
            </w:r>
          </w:p>
        </w:tc>
      </w:tr>
      <w:tr w:rsidR="000A0ACD" w14:paraId="47331B40" w14:textId="77777777">
        <w:trPr>
          <w:trHeight w:val="397"/>
        </w:trPr>
        <w:tc>
          <w:tcPr>
            <w:tcW w:w="395" w:type="pct"/>
            <w:noWrap/>
            <w:vAlign w:val="center"/>
          </w:tcPr>
          <w:p w14:paraId="58F23C4A"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122</w:t>
            </w:r>
          </w:p>
        </w:tc>
        <w:tc>
          <w:tcPr>
            <w:tcW w:w="991" w:type="pct"/>
            <w:noWrap/>
            <w:vAlign w:val="center"/>
          </w:tcPr>
          <w:p w14:paraId="5FFFD705"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102007.SZ</w:t>
            </w:r>
          </w:p>
        </w:tc>
        <w:tc>
          <w:tcPr>
            <w:tcW w:w="802" w:type="pct"/>
            <w:noWrap/>
            <w:vAlign w:val="center"/>
          </w:tcPr>
          <w:p w14:paraId="74E8C97C" w14:textId="77777777" w:rsidR="000A0ACD" w:rsidRDefault="00362A9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2007</w:t>
            </w:r>
          </w:p>
        </w:tc>
        <w:tc>
          <w:tcPr>
            <w:tcW w:w="1140" w:type="pct"/>
            <w:noWrap/>
            <w:vAlign w:val="center"/>
          </w:tcPr>
          <w:p w14:paraId="21867EC1"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49.9014</w:t>
            </w:r>
          </w:p>
        </w:tc>
        <w:tc>
          <w:tcPr>
            <w:tcW w:w="1672" w:type="pct"/>
            <w:noWrap/>
            <w:vAlign w:val="center"/>
          </w:tcPr>
          <w:p w14:paraId="3FB96A63" w14:textId="77777777" w:rsidR="000A0ACD" w:rsidRDefault="00362A99">
            <w:pPr>
              <w:jc w:val="right"/>
              <w:rPr>
                <w:rFonts w:ascii="Times New Roman" w:hAnsi="Times New Roman" w:cs="Times New Roman"/>
                <w:color w:val="000000"/>
                <w:sz w:val="21"/>
                <w:szCs w:val="21"/>
              </w:rPr>
            </w:pPr>
            <w:r>
              <w:rPr>
                <w:rFonts w:ascii="Times New Roman" w:hAnsi="Times New Roman" w:cs="Times New Roman"/>
                <w:color w:val="000000"/>
                <w:sz w:val="21"/>
                <w:szCs w:val="21"/>
              </w:rPr>
              <w:t>3.7641</w:t>
            </w:r>
          </w:p>
        </w:tc>
      </w:tr>
      <w:tr w:rsidR="000A0ACD" w14:paraId="0D25D798" w14:textId="77777777">
        <w:trPr>
          <w:trHeight w:val="397"/>
        </w:trPr>
        <w:tc>
          <w:tcPr>
            <w:tcW w:w="3328" w:type="pct"/>
            <w:gridSpan w:val="4"/>
            <w:noWrap/>
            <w:vAlign w:val="center"/>
          </w:tcPr>
          <w:p w14:paraId="0EA94470"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平均到期收益率</w:t>
            </w:r>
          </w:p>
        </w:tc>
        <w:tc>
          <w:tcPr>
            <w:tcW w:w="1672" w:type="pct"/>
            <w:noWrap/>
            <w:vAlign w:val="center"/>
          </w:tcPr>
          <w:p w14:paraId="0EB33C88" w14:textId="5C6826EE"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4.0</w:t>
            </w:r>
            <w:r w:rsidR="005635F3">
              <w:rPr>
                <w:rFonts w:ascii="Times New Roman" w:hAnsi="Times New Roman" w:cs="Times New Roman"/>
                <w:b/>
                <w:bCs/>
                <w:sz w:val="21"/>
                <w:szCs w:val="21"/>
              </w:rPr>
              <w:t>591</w:t>
            </w:r>
          </w:p>
        </w:tc>
      </w:tr>
    </w:tbl>
    <w:p w14:paraId="7FCC9FCE"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评估机构以上述国债到期收益率的平均值</w:t>
      </w:r>
      <w:r>
        <w:rPr>
          <w:rFonts w:ascii="Times New Roman" w:hAnsi="Times New Roman" w:cs="Times New Roman" w:hint="eastAsia"/>
        </w:rPr>
        <w:t>4.06%</w:t>
      </w:r>
      <w:r>
        <w:rPr>
          <w:rFonts w:ascii="Times New Roman" w:hAnsi="Times New Roman" w:cs="Times New Roman" w:hint="eastAsia"/>
        </w:rPr>
        <w:t>作为本次评估的无风险收益率。</w:t>
      </w:r>
    </w:p>
    <w:p w14:paraId="681BADE0" w14:textId="77777777" w:rsidR="000A0ACD" w:rsidRDefault="00362A99">
      <w:pPr>
        <w:spacing w:beforeLines="50" w:before="156" w:line="360" w:lineRule="auto"/>
        <w:ind w:firstLineChars="200" w:firstLine="480"/>
        <w:jc w:val="both"/>
        <w:rPr>
          <w:rFonts w:ascii="Times New Roman" w:hAnsi="Times New Roman" w:cs="Times New Roman"/>
        </w:rPr>
      </w:pPr>
      <w:r>
        <w:rPr>
          <w:rFonts w:hint="eastAsia"/>
        </w:rPr>
        <w:t>②</w:t>
      </w:r>
      <w:r>
        <w:rPr>
          <w:rFonts w:ascii="Times New Roman" w:hAnsi="Times New Roman" w:cs="Times New Roman" w:hint="eastAsia"/>
        </w:rPr>
        <w:t>确定股权风险收益率</w:t>
      </w:r>
    </w:p>
    <w:p w14:paraId="08EA56F3"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股权风险收益率是投资者投资股票市场所期望的超过无风险收益率的部分。正确地确定风险收益率一直是许多股票分析师和资产评估师的研究课题。例如：在美国，</w:t>
      </w:r>
      <w:r>
        <w:rPr>
          <w:rFonts w:ascii="Times New Roman" w:hAnsi="Times New Roman" w:cs="Times New Roman" w:hint="eastAsia"/>
        </w:rPr>
        <w:t>Ibbotson</w:t>
      </w:r>
      <w:r>
        <w:rPr>
          <w:rFonts w:ascii="Times New Roman" w:hAnsi="Times New Roman" w:cs="Times New Roman"/>
        </w:rPr>
        <w:t xml:space="preserve"> </w:t>
      </w:r>
      <w:r>
        <w:rPr>
          <w:rFonts w:ascii="Times New Roman" w:hAnsi="Times New Roman" w:cs="Times New Roman" w:hint="eastAsia"/>
        </w:rPr>
        <w:t>Associates</w:t>
      </w:r>
      <w:r>
        <w:rPr>
          <w:rFonts w:ascii="Times New Roman" w:hAnsi="Times New Roman" w:cs="Times New Roman" w:hint="eastAsia"/>
        </w:rPr>
        <w:t>的研究发现从</w:t>
      </w:r>
      <w:r>
        <w:rPr>
          <w:rFonts w:ascii="Times New Roman" w:hAnsi="Times New Roman" w:cs="Times New Roman" w:hint="eastAsia"/>
        </w:rPr>
        <w:t>1926</w:t>
      </w:r>
      <w:r>
        <w:rPr>
          <w:rFonts w:ascii="Times New Roman" w:hAnsi="Times New Roman" w:cs="Times New Roman" w:hint="eastAsia"/>
        </w:rPr>
        <w:t>年到</w:t>
      </w:r>
      <w:r>
        <w:rPr>
          <w:rFonts w:ascii="Times New Roman" w:hAnsi="Times New Roman" w:cs="Times New Roman" w:hint="eastAsia"/>
        </w:rPr>
        <w:t>1997</w:t>
      </w:r>
      <w:r>
        <w:rPr>
          <w:rFonts w:ascii="Times New Roman" w:hAnsi="Times New Roman" w:cs="Times New Roman" w:hint="eastAsia"/>
        </w:rPr>
        <w:t>年，股权投资年平均年复利回报率为</w:t>
      </w:r>
      <w:r>
        <w:rPr>
          <w:rFonts w:ascii="Times New Roman" w:hAnsi="Times New Roman" w:cs="Times New Roman" w:hint="eastAsia"/>
        </w:rPr>
        <w:t>11.0%</w:t>
      </w:r>
      <w:r>
        <w:rPr>
          <w:rFonts w:ascii="Times New Roman" w:hAnsi="Times New Roman" w:cs="Times New Roman" w:hint="eastAsia"/>
        </w:rPr>
        <w:t>，超过长期国债收益率（无风险收益率）约</w:t>
      </w:r>
      <w:r>
        <w:rPr>
          <w:rFonts w:ascii="Times New Roman" w:hAnsi="Times New Roman" w:cs="Times New Roman" w:hint="eastAsia"/>
        </w:rPr>
        <w:t>5.8%</w:t>
      </w:r>
      <w:r>
        <w:rPr>
          <w:rFonts w:ascii="Times New Roman" w:hAnsi="Times New Roman" w:cs="Times New Roman" w:hint="eastAsia"/>
        </w:rPr>
        <w:t>。这个超额收益率就被认为是股权投资风险超额收益率</w:t>
      </w:r>
      <w:r>
        <w:rPr>
          <w:rFonts w:ascii="Times New Roman" w:hAnsi="Times New Roman" w:cs="Times New Roman" w:hint="eastAsia"/>
        </w:rPr>
        <w:t>ERP</w:t>
      </w:r>
      <w:r>
        <w:rPr>
          <w:rFonts w:ascii="Times New Roman" w:hAnsi="Times New Roman" w:cs="Times New Roman" w:hint="eastAsia"/>
        </w:rPr>
        <w:t>（</w:t>
      </w:r>
      <w:r>
        <w:rPr>
          <w:rFonts w:ascii="Times New Roman" w:hAnsi="Times New Roman" w:cs="Times New Roman" w:hint="eastAsia"/>
        </w:rPr>
        <w:t>Equity</w:t>
      </w:r>
      <w:r>
        <w:rPr>
          <w:rFonts w:ascii="Times New Roman" w:hAnsi="Times New Roman" w:cs="Times New Roman"/>
        </w:rPr>
        <w:t xml:space="preserve"> Risk </w:t>
      </w:r>
      <w:r>
        <w:rPr>
          <w:rFonts w:ascii="Times New Roman" w:hAnsi="Times New Roman" w:cs="Times New Roman" w:hint="eastAsia"/>
        </w:rPr>
        <w:t>Premium</w:t>
      </w:r>
      <w:r>
        <w:rPr>
          <w:rFonts w:ascii="Times New Roman" w:hAnsi="Times New Roman" w:cs="Times New Roman" w:hint="eastAsia"/>
        </w:rPr>
        <w:t>）。</w:t>
      </w:r>
    </w:p>
    <w:p w14:paraId="21166353"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借鉴美国相关部门估算</w:t>
      </w:r>
      <w:r>
        <w:rPr>
          <w:rFonts w:ascii="Times New Roman" w:hAnsi="Times New Roman" w:cs="Times New Roman" w:hint="eastAsia"/>
        </w:rPr>
        <w:t>ERP</w:t>
      </w:r>
      <w:r>
        <w:rPr>
          <w:rFonts w:ascii="Times New Roman" w:hAnsi="Times New Roman" w:cs="Times New Roman" w:hint="eastAsia"/>
        </w:rPr>
        <w:t>的思路，评估机构对中国股票市场相关数据进行了研究，按如下方式计算中国股市的股权风险收益率</w:t>
      </w:r>
      <w:r>
        <w:rPr>
          <w:rFonts w:ascii="Times New Roman" w:hAnsi="Times New Roman" w:cs="Times New Roman" w:hint="eastAsia"/>
        </w:rPr>
        <w:t>ERP</w:t>
      </w:r>
      <w:r>
        <w:rPr>
          <w:rFonts w:ascii="Times New Roman" w:hAnsi="Times New Roman" w:cs="Times New Roman" w:hint="eastAsia"/>
        </w:rPr>
        <w:t>：</w:t>
      </w:r>
    </w:p>
    <w:p w14:paraId="72ED1FB8" w14:textId="77777777" w:rsidR="000A0ACD" w:rsidRDefault="00362A99">
      <w:pPr>
        <w:pStyle w:val="affffe"/>
        <w:numPr>
          <w:ilvl w:val="255"/>
          <w:numId w:val="0"/>
        </w:numPr>
        <w:tabs>
          <w:tab w:val="left" w:pos="361"/>
          <w:tab w:val="left" w:pos="900"/>
        </w:tabs>
        <w:adjustRightInd w:val="0"/>
        <w:spacing w:beforeLines="50" w:before="156" w:line="360" w:lineRule="auto"/>
        <w:ind w:leftChars="200" w:left="480"/>
        <w:rPr>
          <w:rFonts w:ascii="Times New Roman" w:eastAsia="宋体" w:hAnsi="Times New Roman" w:cs="Times New Roman"/>
          <w:sz w:val="24"/>
        </w:rPr>
      </w:pPr>
      <w:r>
        <w:rPr>
          <w:rFonts w:ascii="Times New Roman" w:eastAsia="宋体" w:hAnsi="Times New Roman" w:cs="Times New Roman" w:hint="eastAsia"/>
          <w:sz w:val="24"/>
        </w:rPr>
        <w:t>A</w:t>
      </w:r>
      <w:r>
        <w:rPr>
          <w:rFonts w:ascii="Times New Roman" w:eastAsia="宋体" w:hAnsi="Times New Roman" w:cs="Times New Roman" w:hint="eastAsia"/>
          <w:sz w:val="24"/>
        </w:rPr>
        <w:t>）确定衡量股市整体变化的指数</w:t>
      </w:r>
    </w:p>
    <w:p w14:paraId="0DE6DB5F" w14:textId="77777777" w:rsidR="000A0ACD" w:rsidRDefault="00362A99">
      <w:pPr>
        <w:pStyle w:val="affffe"/>
        <w:numPr>
          <w:ilvl w:val="255"/>
          <w:numId w:val="0"/>
        </w:numPr>
        <w:tabs>
          <w:tab w:val="left" w:pos="361"/>
          <w:tab w:val="left" w:pos="900"/>
        </w:tabs>
        <w:adjustRightInd w:val="0"/>
        <w:spacing w:beforeLines="50" w:before="156"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估算股票市场的投资回报率首先需要确定一个衡量股市波动变化的指数。目前国内沪、深两市有许多指数，但是评估师选用的指数应该是能最好反映市场主流股票变化的指数，参照美国相关机构估算美国</w:t>
      </w:r>
      <w:r>
        <w:rPr>
          <w:rFonts w:ascii="Times New Roman" w:eastAsia="宋体" w:hAnsi="Times New Roman" w:cs="Times New Roman" w:hint="eastAsia"/>
          <w:sz w:val="24"/>
        </w:rPr>
        <w:t>ERP</w:t>
      </w:r>
      <w:r>
        <w:rPr>
          <w:rFonts w:ascii="Times New Roman" w:eastAsia="宋体" w:hAnsi="Times New Roman" w:cs="Times New Roman" w:hint="eastAsia"/>
          <w:sz w:val="24"/>
        </w:rPr>
        <w:t>时选用标准普尔</w:t>
      </w:r>
      <w:r>
        <w:rPr>
          <w:rFonts w:ascii="Times New Roman" w:eastAsia="宋体" w:hAnsi="Times New Roman" w:cs="Times New Roman" w:hint="eastAsia"/>
          <w:sz w:val="24"/>
        </w:rPr>
        <w:t>500</w:t>
      </w:r>
      <w:r>
        <w:rPr>
          <w:rFonts w:ascii="Times New Roman" w:eastAsia="宋体" w:hAnsi="Times New Roman" w:cs="Times New Roman" w:hint="eastAsia"/>
          <w:sz w:val="24"/>
        </w:rPr>
        <w:t>（</w:t>
      </w:r>
      <w:r>
        <w:rPr>
          <w:rFonts w:ascii="Times New Roman" w:eastAsia="宋体" w:hAnsi="Times New Roman" w:cs="Times New Roman" w:hint="eastAsia"/>
          <w:sz w:val="24"/>
        </w:rPr>
        <w:t>S&amp;P500</w:t>
      </w:r>
      <w:r>
        <w:rPr>
          <w:rFonts w:ascii="Times New Roman" w:eastAsia="宋体" w:hAnsi="Times New Roman" w:cs="Times New Roman" w:hint="eastAsia"/>
          <w:sz w:val="24"/>
        </w:rPr>
        <w:t>）指数的经验，评估师在估算中国市场</w:t>
      </w:r>
      <w:r>
        <w:rPr>
          <w:rFonts w:ascii="Times New Roman" w:eastAsia="宋体" w:hAnsi="Times New Roman" w:cs="Times New Roman" w:hint="eastAsia"/>
          <w:sz w:val="24"/>
        </w:rPr>
        <w:t>ERP</w:t>
      </w:r>
      <w:r>
        <w:rPr>
          <w:rFonts w:ascii="Times New Roman" w:eastAsia="宋体" w:hAnsi="Times New Roman" w:cs="Times New Roman" w:hint="eastAsia"/>
          <w:sz w:val="24"/>
        </w:rPr>
        <w:t>时选用了沪深</w:t>
      </w:r>
      <w:r>
        <w:rPr>
          <w:rFonts w:ascii="Times New Roman" w:eastAsia="宋体" w:hAnsi="Times New Roman" w:cs="Times New Roman" w:hint="eastAsia"/>
          <w:sz w:val="24"/>
        </w:rPr>
        <w:t>300</w:t>
      </w:r>
      <w:r>
        <w:rPr>
          <w:rFonts w:ascii="Times New Roman" w:eastAsia="宋体" w:hAnsi="Times New Roman" w:cs="Times New Roman" w:hint="eastAsia"/>
          <w:sz w:val="24"/>
        </w:rPr>
        <w:t>指数。沪深</w:t>
      </w:r>
      <w:r>
        <w:rPr>
          <w:rFonts w:ascii="Times New Roman" w:eastAsia="宋体" w:hAnsi="Times New Roman" w:cs="Times New Roman" w:hint="eastAsia"/>
          <w:sz w:val="24"/>
        </w:rPr>
        <w:t>300</w:t>
      </w:r>
      <w:r>
        <w:rPr>
          <w:rFonts w:ascii="Times New Roman" w:eastAsia="宋体" w:hAnsi="Times New Roman" w:cs="Times New Roman" w:hint="eastAsia"/>
          <w:sz w:val="24"/>
        </w:rPr>
        <w:t>指数是</w:t>
      </w:r>
      <w:r>
        <w:rPr>
          <w:rFonts w:ascii="Times New Roman" w:eastAsia="宋体" w:hAnsi="Times New Roman" w:cs="Times New Roman" w:hint="eastAsia"/>
          <w:sz w:val="24"/>
        </w:rPr>
        <w:t>2005</w:t>
      </w:r>
      <w:r>
        <w:rPr>
          <w:rFonts w:ascii="Times New Roman" w:eastAsia="宋体" w:hAnsi="Times New Roman" w:cs="Times New Roman" w:hint="eastAsia"/>
          <w:sz w:val="24"/>
        </w:rPr>
        <w:t>年</w:t>
      </w:r>
      <w:r>
        <w:rPr>
          <w:rFonts w:ascii="Times New Roman" w:eastAsia="宋体" w:hAnsi="Times New Roman" w:cs="Times New Roman" w:hint="eastAsia"/>
          <w:sz w:val="24"/>
        </w:rPr>
        <w:t>4</w:t>
      </w:r>
      <w:r>
        <w:rPr>
          <w:rFonts w:ascii="Times New Roman" w:eastAsia="宋体" w:hAnsi="Times New Roman" w:cs="Times New Roman" w:hint="eastAsia"/>
          <w:sz w:val="24"/>
        </w:rPr>
        <w:t>月</w:t>
      </w:r>
      <w:r>
        <w:rPr>
          <w:rFonts w:ascii="Times New Roman" w:eastAsia="宋体" w:hAnsi="Times New Roman" w:cs="Times New Roman" w:hint="eastAsia"/>
          <w:sz w:val="24"/>
        </w:rPr>
        <w:t>8</w:t>
      </w:r>
      <w:r>
        <w:rPr>
          <w:rFonts w:ascii="Times New Roman" w:eastAsia="宋体" w:hAnsi="Times New Roman" w:cs="Times New Roman" w:hint="eastAsia"/>
          <w:sz w:val="24"/>
        </w:rPr>
        <w:t>日沪深交易所联合发布的第一只跨市场指数，该指数由沪深</w:t>
      </w:r>
      <w:r>
        <w:rPr>
          <w:rFonts w:ascii="Times New Roman" w:eastAsia="宋体" w:hAnsi="Times New Roman" w:cs="Times New Roman" w:hint="eastAsia"/>
          <w:sz w:val="24"/>
        </w:rPr>
        <w:t>A</w:t>
      </w:r>
      <w:r>
        <w:rPr>
          <w:rFonts w:ascii="Times New Roman" w:eastAsia="宋体" w:hAnsi="Times New Roman" w:cs="Times New Roman" w:hint="eastAsia"/>
          <w:sz w:val="24"/>
        </w:rPr>
        <w:t>股中规模大、流动性好、最具代表性的</w:t>
      </w:r>
      <w:r>
        <w:rPr>
          <w:rFonts w:ascii="Times New Roman" w:eastAsia="宋体" w:hAnsi="Times New Roman" w:cs="Times New Roman" w:hint="eastAsia"/>
          <w:sz w:val="24"/>
        </w:rPr>
        <w:t>300</w:t>
      </w:r>
      <w:r>
        <w:rPr>
          <w:rFonts w:ascii="Times New Roman" w:eastAsia="宋体" w:hAnsi="Times New Roman" w:cs="Times New Roman" w:hint="eastAsia"/>
          <w:sz w:val="24"/>
        </w:rPr>
        <w:t>只股票组成，以综合反映沪深</w:t>
      </w:r>
      <w:r>
        <w:rPr>
          <w:rFonts w:ascii="Times New Roman" w:eastAsia="宋体" w:hAnsi="Times New Roman" w:cs="Times New Roman" w:hint="eastAsia"/>
          <w:sz w:val="24"/>
        </w:rPr>
        <w:t>A</w:t>
      </w:r>
      <w:r>
        <w:rPr>
          <w:rFonts w:ascii="Times New Roman" w:eastAsia="宋体" w:hAnsi="Times New Roman" w:cs="Times New Roman" w:hint="eastAsia"/>
          <w:sz w:val="24"/>
        </w:rPr>
        <w:t>股市场整体表现。沪深</w:t>
      </w:r>
      <w:r>
        <w:rPr>
          <w:rFonts w:ascii="Times New Roman" w:eastAsia="宋体" w:hAnsi="Times New Roman" w:cs="Times New Roman" w:hint="eastAsia"/>
          <w:sz w:val="24"/>
        </w:rPr>
        <w:t>300</w:t>
      </w:r>
      <w:r>
        <w:rPr>
          <w:rFonts w:ascii="Times New Roman" w:eastAsia="宋体" w:hAnsi="Times New Roman" w:cs="Times New Roman" w:hint="eastAsia"/>
          <w:sz w:val="24"/>
        </w:rPr>
        <w:t>指数为成份指数，以指数成份股自由流通股本分级靠档后的调整股本作为权重，因此选择该指数成份股可以更真实反映市场中投资收益的情况。</w:t>
      </w:r>
    </w:p>
    <w:p w14:paraId="6C7A72FF" w14:textId="77777777" w:rsidR="000A0ACD" w:rsidRDefault="00362A99">
      <w:pPr>
        <w:pStyle w:val="affffe"/>
        <w:numPr>
          <w:ilvl w:val="255"/>
          <w:numId w:val="0"/>
        </w:numPr>
        <w:tabs>
          <w:tab w:val="left" w:pos="361"/>
          <w:tab w:val="left" w:pos="900"/>
        </w:tabs>
        <w:adjustRightInd w:val="0"/>
        <w:spacing w:beforeLines="50" w:before="156" w:line="360" w:lineRule="auto"/>
        <w:ind w:firstLineChars="200" w:firstLine="480"/>
        <w:rPr>
          <w:rFonts w:ascii="宋体" w:hAnsi="宋体" w:cs="宋体"/>
        </w:rPr>
      </w:pPr>
      <w:r>
        <w:rPr>
          <w:rFonts w:ascii="宋体" w:eastAsia="宋体" w:hAnsi="宋体" w:cs="宋体"/>
          <w:sz w:val="24"/>
          <w:szCs w:val="24"/>
        </w:rPr>
        <w:t>B</w:t>
      </w:r>
      <w:r>
        <w:rPr>
          <w:rFonts w:ascii="宋体" w:eastAsia="宋体" w:hAnsi="宋体" w:cs="宋体" w:hint="eastAsia"/>
          <w:sz w:val="24"/>
          <w:szCs w:val="24"/>
        </w:rPr>
        <w:t>）收益率计算年期的选择</w:t>
      </w:r>
    </w:p>
    <w:p w14:paraId="309A9647" w14:textId="77777777" w:rsidR="000A0ACD" w:rsidRDefault="00362A99">
      <w:pPr>
        <w:numPr>
          <w:ilvl w:val="255"/>
          <w:numId w:val="0"/>
        </w:numPr>
        <w:tabs>
          <w:tab w:val="left" w:pos="900"/>
        </w:tabs>
        <w:adjustRightInd w:val="0"/>
        <w:spacing w:beforeLines="50" w:before="156" w:line="360" w:lineRule="auto"/>
        <w:ind w:firstLineChars="200" w:firstLine="480"/>
        <w:jc w:val="both"/>
      </w:pPr>
      <w:r>
        <w:rPr>
          <w:rFonts w:hint="eastAsia"/>
        </w:rPr>
        <w:t>所谓收益率计算年期就是考虑到股票价格是随机波动的，存在不确定性，因此为了合理稀释由于股票非系统波动所产生的扰动，我们需要估算一定长度年限股票投资的平均收益率，以最大程度地降低股票非系统波动所可能产生的差异。考虑到中国股市股票波动的特性，我们选择</w:t>
      </w:r>
      <w:r>
        <w:t>10</w:t>
      </w:r>
      <w:r>
        <w:rPr>
          <w:rFonts w:hint="eastAsia"/>
        </w:rPr>
        <w:t>年为间隔期为计算</w:t>
      </w:r>
      <w:r>
        <w:t>ERP</w:t>
      </w:r>
      <w:r>
        <w:rPr>
          <w:rFonts w:hint="eastAsia"/>
        </w:rPr>
        <w:t>的计算年期，也就是说每只成份股的投资回报率都是需要计算其十年的平均值投资回报率作为其未来可能的期望投资回报率。另一方面，中国股市起始于上世纪</w:t>
      </w:r>
      <w:r>
        <w:t>90</w:t>
      </w:r>
      <w:r>
        <w:rPr>
          <w:rFonts w:hint="eastAsia"/>
        </w:rPr>
        <w:t>年代初期，但最初几年发展极不规范，直到</w:t>
      </w:r>
      <w:r>
        <w:t>1997</w:t>
      </w:r>
      <w:r>
        <w:rPr>
          <w:rFonts w:hint="eastAsia"/>
        </w:rPr>
        <w:t>年之后才逐渐走上正规，考虑到上述情况，我们在测算中国股市</w:t>
      </w:r>
      <w:r>
        <w:t>ERP</w:t>
      </w:r>
      <w:r>
        <w:rPr>
          <w:rFonts w:hint="eastAsia"/>
        </w:rPr>
        <w:t>时，计算的最早滚动时间起始于</w:t>
      </w:r>
      <w:r>
        <w:t>1997</w:t>
      </w:r>
      <w:r>
        <w:rPr>
          <w:rFonts w:hint="eastAsia"/>
        </w:rPr>
        <w:t>年，我们具体采用“向前滚动”的方法分别计算了</w:t>
      </w:r>
      <w:r>
        <w:t>2006</w:t>
      </w:r>
      <w:r>
        <w:rPr>
          <w:rFonts w:hint="eastAsia"/>
        </w:rPr>
        <w:t>、</w:t>
      </w:r>
      <w:r>
        <w:t>2007</w:t>
      </w:r>
      <w:r>
        <w:rPr>
          <w:rFonts w:hint="eastAsia"/>
        </w:rPr>
        <w:t>、</w:t>
      </w:r>
      <w:r>
        <w:t>2008</w:t>
      </w:r>
      <w:r>
        <w:rPr>
          <w:rFonts w:hint="eastAsia"/>
        </w:rPr>
        <w:t>、…</w:t>
      </w:r>
      <w:r>
        <w:t>2014</w:t>
      </w:r>
      <w:r>
        <w:rPr>
          <w:rFonts w:hint="eastAsia"/>
        </w:rPr>
        <w:t>和</w:t>
      </w:r>
      <w:r>
        <w:t>2015</w:t>
      </w:r>
      <w:r>
        <w:rPr>
          <w:rFonts w:hint="eastAsia"/>
        </w:rPr>
        <w:t>年的</w:t>
      </w:r>
      <w:r>
        <w:t>ERP</w:t>
      </w:r>
      <w:r>
        <w:rPr>
          <w:rFonts w:hint="eastAsia"/>
        </w:rPr>
        <w:t>，也就是</w:t>
      </w:r>
      <w:r>
        <w:t>2006</w:t>
      </w:r>
      <w:r>
        <w:rPr>
          <w:rFonts w:hint="eastAsia"/>
        </w:rPr>
        <w:t>年</w:t>
      </w:r>
      <w:r>
        <w:t>ERP</w:t>
      </w:r>
      <w:r>
        <w:rPr>
          <w:rFonts w:hint="eastAsia"/>
        </w:rPr>
        <w:t>的计算采用的年期为</w:t>
      </w:r>
      <w:r>
        <w:t>1997</w:t>
      </w:r>
      <w:r>
        <w:rPr>
          <w:rFonts w:hint="eastAsia"/>
        </w:rPr>
        <w:t>年到</w:t>
      </w:r>
      <w:r>
        <w:t>2006</w:t>
      </w:r>
      <w:r>
        <w:rPr>
          <w:rFonts w:hint="eastAsia"/>
        </w:rPr>
        <w:t>年数据，该年度</w:t>
      </w:r>
      <w:r>
        <w:t>ERP</w:t>
      </w:r>
      <w:r>
        <w:rPr>
          <w:rFonts w:hint="eastAsia"/>
        </w:rPr>
        <w:t>的含义是如果在</w:t>
      </w:r>
      <w:r>
        <w:t>1997</w:t>
      </w:r>
      <w:r>
        <w:rPr>
          <w:rFonts w:hint="eastAsia"/>
        </w:rPr>
        <w:t>年购买指数成份股股票持有到</w:t>
      </w:r>
      <w:r>
        <w:t>2003</w:t>
      </w:r>
      <w:r>
        <w:rPr>
          <w:rFonts w:hint="eastAsia"/>
        </w:rPr>
        <w:t>年后每年平均超额收益率；</w:t>
      </w:r>
      <w:r>
        <w:t>2007</w:t>
      </w:r>
      <w:r>
        <w:rPr>
          <w:rFonts w:hint="eastAsia"/>
        </w:rPr>
        <w:t>年的</w:t>
      </w:r>
      <w:r>
        <w:t>ERP</w:t>
      </w:r>
      <w:r>
        <w:rPr>
          <w:rFonts w:hint="eastAsia"/>
        </w:rPr>
        <w:t>计算采用的年限为</w:t>
      </w:r>
      <w:r>
        <w:t>1998</w:t>
      </w:r>
      <w:r>
        <w:rPr>
          <w:rFonts w:hint="eastAsia"/>
        </w:rPr>
        <w:t>年到</w:t>
      </w:r>
      <w:r>
        <w:t>2007</w:t>
      </w:r>
      <w:r>
        <w:rPr>
          <w:rFonts w:hint="eastAsia"/>
        </w:rPr>
        <w:t>年，该年度</w:t>
      </w:r>
      <w:r>
        <w:t>ERP</w:t>
      </w:r>
      <w:r>
        <w:rPr>
          <w:rFonts w:hint="eastAsia"/>
        </w:rPr>
        <w:t>的含义是如果在</w:t>
      </w:r>
      <w:r>
        <w:t>1998</w:t>
      </w:r>
      <w:r>
        <w:rPr>
          <w:rFonts w:hint="eastAsia"/>
        </w:rPr>
        <w:t>年购买指数成份股股票持有到</w:t>
      </w:r>
      <w:r>
        <w:t>2008</w:t>
      </w:r>
      <w:r>
        <w:rPr>
          <w:rFonts w:hint="eastAsia"/>
        </w:rPr>
        <w:t>年后每年平均超额收益率；以此类推，当计算</w:t>
      </w:r>
      <w:r>
        <w:t>2015</w:t>
      </w:r>
      <w:r>
        <w:rPr>
          <w:rFonts w:hint="eastAsia"/>
        </w:rPr>
        <w:t>年</w:t>
      </w:r>
      <w:r>
        <w:t>ERP</w:t>
      </w:r>
      <w:r>
        <w:rPr>
          <w:rFonts w:hint="eastAsia"/>
        </w:rPr>
        <w:t>时我们采用的年限为</w:t>
      </w:r>
      <w:r>
        <w:t>2006</w:t>
      </w:r>
      <w:r>
        <w:rPr>
          <w:rFonts w:hint="eastAsia"/>
        </w:rPr>
        <w:t>年到</w:t>
      </w:r>
      <w:r>
        <w:t>2015</w:t>
      </w:r>
      <w:r>
        <w:rPr>
          <w:rFonts w:hint="eastAsia"/>
        </w:rPr>
        <w:t>年（</w:t>
      </w:r>
      <w:r>
        <w:t>10</w:t>
      </w:r>
      <w:r>
        <w:rPr>
          <w:rFonts w:hint="eastAsia"/>
        </w:rPr>
        <w:t>年年期），该年度</w:t>
      </w:r>
      <w:r>
        <w:t>ERP</w:t>
      </w:r>
      <w:r>
        <w:rPr>
          <w:rFonts w:hint="eastAsia"/>
        </w:rPr>
        <w:t>的含义是如果在</w:t>
      </w:r>
      <w:r>
        <w:t>2006</w:t>
      </w:r>
      <w:r>
        <w:rPr>
          <w:rFonts w:hint="eastAsia"/>
        </w:rPr>
        <w:t>年购买指数成份股股票持有到</w:t>
      </w:r>
      <w:r>
        <w:t>2015</w:t>
      </w:r>
      <w:r>
        <w:rPr>
          <w:rFonts w:hint="eastAsia"/>
        </w:rPr>
        <w:t>年后每年平均超额收益率。</w:t>
      </w:r>
    </w:p>
    <w:p w14:paraId="3583DC2A" w14:textId="77777777" w:rsidR="000A0ACD" w:rsidRDefault="00362A99">
      <w:pPr>
        <w:numPr>
          <w:ilvl w:val="255"/>
          <w:numId w:val="0"/>
        </w:numPr>
        <w:tabs>
          <w:tab w:val="left" w:pos="900"/>
        </w:tabs>
        <w:adjustRightIn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）指数成份股的确定</w:t>
      </w:r>
    </w:p>
    <w:p w14:paraId="1EA1FDD8" w14:textId="77777777" w:rsidR="000A0ACD" w:rsidRDefault="00362A99">
      <w:pPr>
        <w:numPr>
          <w:ilvl w:val="255"/>
          <w:numId w:val="0"/>
        </w:num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沪深</w:t>
      </w:r>
      <w:r>
        <w:rPr>
          <w:rFonts w:ascii="Times New Roman" w:hAnsi="Times New Roman" w:cs="Times New Roman" w:hint="eastAsia"/>
        </w:rPr>
        <w:t>300</w:t>
      </w:r>
      <w:r>
        <w:rPr>
          <w:rFonts w:ascii="Times New Roman" w:hAnsi="Times New Roman" w:cs="Times New Roman" w:hint="eastAsia"/>
        </w:rPr>
        <w:t>指数的成份股每年是发生变化的，因此我们在估算时采用每年年底时沪深</w:t>
      </w:r>
      <w:r>
        <w:rPr>
          <w:rFonts w:ascii="Times New Roman" w:hAnsi="Times New Roman" w:cs="Times New Roman" w:hint="eastAsia"/>
        </w:rPr>
        <w:t>300</w:t>
      </w:r>
      <w:r>
        <w:rPr>
          <w:rFonts w:ascii="Times New Roman" w:hAnsi="Times New Roman" w:cs="Times New Roman" w:hint="eastAsia"/>
        </w:rPr>
        <w:t>指数的成份股，即当计算</w:t>
      </w:r>
      <w:r>
        <w:rPr>
          <w:rFonts w:ascii="Times New Roman" w:hAnsi="Times New Roman" w:cs="Times New Roman" w:hint="eastAsia"/>
        </w:rPr>
        <w:t>2015</w:t>
      </w:r>
      <w:r>
        <w:rPr>
          <w:rFonts w:ascii="Times New Roman" w:hAnsi="Times New Roman" w:cs="Times New Roman" w:hint="eastAsia"/>
        </w:rPr>
        <w:t>年</w:t>
      </w:r>
      <w:r>
        <w:rPr>
          <w:rFonts w:ascii="Times New Roman" w:hAnsi="Times New Roman" w:cs="Times New Roman" w:hint="eastAsia"/>
        </w:rPr>
        <w:t>ERP</w:t>
      </w:r>
      <w:r>
        <w:rPr>
          <w:rFonts w:ascii="Times New Roman" w:hAnsi="Times New Roman" w:cs="Times New Roman" w:hint="eastAsia"/>
        </w:rPr>
        <w:t>时采用</w:t>
      </w:r>
      <w:r>
        <w:rPr>
          <w:rFonts w:ascii="Times New Roman" w:hAnsi="Times New Roman" w:cs="Times New Roman" w:hint="eastAsia"/>
        </w:rPr>
        <w:t>2015</w:t>
      </w:r>
      <w:r>
        <w:rPr>
          <w:rFonts w:ascii="Times New Roman" w:hAnsi="Times New Roman" w:cs="Times New Roman" w:hint="eastAsia"/>
        </w:rPr>
        <w:t>年底沪深</w:t>
      </w:r>
      <w:r>
        <w:rPr>
          <w:rFonts w:ascii="Times New Roman" w:hAnsi="Times New Roman" w:cs="Times New Roman" w:hint="eastAsia"/>
        </w:rPr>
        <w:t>300</w:t>
      </w:r>
      <w:r>
        <w:rPr>
          <w:rFonts w:ascii="Times New Roman" w:hAnsi="Times New Roman" w:cs="Times New Roman" w:hint="eastAsia"/>
        </w:rPr>
        <w:t>指数的成份股；计算</w:t>
      </w:r>
      <w:r>
        <w:rPr>
          <w:rFonts w:ascii="Times New Roman" w:hAnsi="Times New Roman" w:cs="Times New Roman" w:hint="eastAsia"/>
        </w:rPr>
        <w:t>2014</w:t>
      </w:r>
      <w:r>
        <w:rPr>
          <w:rFonts w:ascii="Times New Roman" w:hAnsi="Times New Roman" w:cs="Times New Roman" w:hint="eastAsia"/>
        </w:rPr>
        <w:t>年</w:t>
      </w:r>
      <w:r>
        <w:rPr>
          <w:rFonts w:ascii="Times New Roman" w:hAnsi="Times New Roman" w:cs="Times New Roman" w:hint="eastAsia"/>
        </w:rPr>
        <w:t>ERP</w:t>
      </w:r>
      <w:r>
        <w:rPr>
          <w:rFonts w:ascii="Times New Roman" w:hAnsi="Times New Roman" w:cs="Times New Roman" w:hint="eastAsia"/>
        </w:rPr>
        <w:t>时采用沪深</w:t>
      </w:r>
      <w:r>
        <w:rPr>
          <w:rFonts w:ascii="Times New Roman" w:hAnsi="Times New Roman" w:cs="Times New Roman" w:hint="eastAsia"/>
        </w:rPr>
        <w:t>300</w:t>
      </w:r>
      <w:r>
        <w:rPr>
          <w:rFonts w:ascii="Times New Roman" w:hAnsi="Times New Roman" w:cs="Times New Roman" w:hint="eastAsia"/>
        </w:rPr>
        <w:t>指数</w:t>
      </w:r>
      <w:r>
        <w:rPr>
          <w:rFonts w:ascii="Times New Roman" w:hAnsi="Times New Roman" w:cs="Times New Roman" w:hint="eastAsia"/>
        </w:rPr>
        <w:t>2014</w:t>
      </w:r>
      <w:r>
        <w:rPr>
          <w:rFonts w:ascii="Times New Roman" w:hAnsi="Times New Roman" w:cs="Times New Roman" w:hint="eastAsia"/>
        </w:rPr>
        <w:t>年底的成份股。</w:t>
      </w:r>
    </w:p>
    <w:p w14:paraId="4793FEFE" w14:textId="77777777" w:rsidR="000A0ACD" w:rsidRDefault="00362A99">
      <w:pPr>
        <w:numPr>
          <w:ilvl w:val="255"/>
          <w:numId w:val="0"/>
        </w:num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）数据的采集</w:t>
      </w:r>
    </w:p>
    <w:p w14:paraId="13AA209B" w14:textId="77777777" w:rsidR="000A0ACD" w:rsidRDefault="00362A99">
      <w:pPr>
        <w:numPr>
          <w:ilvl w:val="255"/>
          <w:numId w:val="0"/>
        </w:num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本次</w:t>
      </w:r>
      <w:r>
        <w:rPr>
          <w:rFonts w:ascii="Times New Roman" w:hAnsi="Times New Roman" w:cs="Times New Roman" w:hint="eastAsia"/>
        </w:rPr>
        <w:t>ERP</w:t>
      </w:r>
      <w:r>
        <w:rPr>
          <w:rFonts w:ascii="Times New Roman" w:hAnsi="Times New Roman" w:cs="Times New Roman" w:hint="eastAsia"/>
        </w:rPr>
        <w:t>测算我们借助同花顺</w:t>
      </w:r>
      <w:r>
        <w:rPr>
          <w:rFonts w:ascii="Times New Roman" w:hAnsi="Times New Roman" w:cs="Times New Roman" w:hint="eastAsia"/>
        </w:rPr>
        <w:t>iFinD</w:t>
      </w:r>
      <w:r>
        <w:rPr>
          <w:rFonts w:ascii="Times New Roman" w:hAnsi="Times New Roman" w:cs="Times New Roman" w:hint="eastAsia"/>
        </w:rPr>
        <w:t>的数据系统提供所选择的各成份股每年年末的交易收盘价。由于成份股收益中应该包括每年分红、派息等产生的收益，因此我们需要考虑所谓分红、派息等产生的收益，为此我们选用的年末收盘价是同花顺</w:t>
      </w:r>
      <w:r>
        <w:rPr>
          <w:rFonts w:ascii="Times New Roman" w:hAnsi="Times New Roman" w:cs="Times New Roman" w:hint="eastAsia"/>
        </w:rPr>
        <w:t>iFinD</w:t>
      </w:r>
      <w:r>
        <w:rPr>
          <w:rFonts w:ascii="Times New Roman" w:hAnsi="Times New Roman" w:cs="Times New Roman" w:hint="eastAsia"/>
        </w:rPr>
        <w:t>数据中的年末“复权”价。例如在计算</w:t>
      </w:r>
      <w:r>
        <w:rPr>
          <w:rFonts w:ascii="Times New Roman" w:hAnsi="Times New Roman" w:cs="Times New Roman" w:hint="eastAsia"/>
        </w:rPr>
        <w:t>2015</w:t>
      </w:r>
      <w:r>
        <w:rPr>
          <w:rFonts w:ascii="Times New Roman" w:hAnsi="Times New Roman" w:cs="Times New Roman" w:hint="eastAsia"/>
        </w:rPr>
        <w:t>年</w:t>
      </w:r>
      <w:r>
        <w:rPr>
          <w:rFonts w:ascii="Times New Roman" w:hAnsi="Times New Roman" w:cs="Times New Roman" w:hint="eastAsia"/>
        </w:rPr>
        <w:t>ERP</w:t>
      </w:r>
      <w:r>
        <w:rPr>
          <w:rFonts w:ascii="Times New Roman" w:hAnsi="Times New Roman" w:cs="Times New Roman" w:hint="eastAsia"/>
        </w:rPr>
        <w:t>时选用数据是从</w:t>
      </w:r>
      <w:r>
        <w:rPr>
          <w:rFonts w:ascii="Times New Roman" w:hAnsi="Times New Roman" w:cs="Times New Roman" w:hint="eastAsia"/>
        </w:rPr>
        <w:t>2006-12-31</w:t>
      </w:r>
      <w:r>
        <w:rPr>
          <w:rFonts w:ascii="Times New Roman" w:hAnsi="Times New Roman" w:cs="Times New Roman" w:hint="eastAsia"/>
        </w:rPr>
        <w:t>起至</w:t>
      </w:r>
      <w:r>
        <w:rPr>
          <w:rFonts w:ascii="Times New Roman" w:hAnsi="Times New Roman" w:cs="Times New Roman" w:hint="eastAsia"/>
        </w:rPr>
        <w:t>2015-12-31</w:t>
      </w:r>
      <w:r>
        <w:rPr>
          <w:rFonts w:ascii="Times New Roman" w:hAnsi="Times New Roman" w:cs="Times New Roman" w:hint="eastAsia"/>
        </w:rPr>
        <w:t>止的以</w:t>
      </w:r>
      <w:r>
        <w:rPr>
          <w:rFonts w:ascii="Times New Roman" w:hAnsi="Times New Roman" w:cs="Times New Roman" w:hint="eastAsia"/>
        </w:rPr>
        <w:t>1997</w:t>
      </w:r>
      <w:r>
        <w:rPr>
          <w:rFonts w:ascii="Times New Roman" w:hAnsi="Times New Roman" w:cs="Times New Roman" w:hint="eastAsia"/>
        </w:rPr>
        <w:t>年</w:t>
      </w:r>
      <w:r>
        <w:rPr>
          <w:rFonts w:ascii="Times New Roman" w:hAnsi="Times New Roman" w:cs="Times New Roman" w:hint="eastAsia"/>
        </w:rPr>
        <w:t>12</w:t>
      </w:r>
      <w:r>
        <w:rPr>
          <w:rFonts w:ascii="Times New Roman" w:hAnsi="Times New Roman" w:cs="Times New Roman" w:hint="eastAsia"/>
        </w:rPr>
        <w:t>月</w:t>
      </w:r>
      <w:r>
        <w:rPr>
          <w:rFonts w:ascii="Times New Roman" w:hAnsi="Times New Roman" w:cs="Times New Roman" w:hint="eastAsia"/>
        </w:rPr>
        <w:t>31</w:t>
      </w:r>
      <w:r>
        <w:rPr>
          <w:rFonts w:ascii="Times New Roman" w:hAnsi="Times New Roman" w:cs="Times New Roman" w:hint="eastAsia"/>
        </w:rPr>
        <w:t>日为基准的年末复权价，上述价格中已经有效的将每年由于分红、派息等产生的收益反映在价格中。</w:t>
      </w:r>
    </w:p>
    <w:p w14:paraId="00B194FB" w14:textId="77777777" w:rsidR="000A0ACD" w:rsidRDefault="00362A99">
      <w:p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E</w:t>
      </w:r>
      <w:r>
        <w:rPr>
          <w:rFonts w:ascii="Times New Roman" w:hAnsi="Times New Roman" w:cs="Times New Roman" w:hint="eastAsia"/>
        </w:rPr>
        <w:t>）年收益率的计算采用算术平均值和几何平均值两种计算方法</w:t>
      </w:r>
    </w:p>
    <w:p w14:paraId="37AD1D47" w14:textId="77777777" w:rsidR="000A0ACD" w:rsidRDefault="00362A99">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算术平均值计算方法：</w:t>
      </w:r>
    </w:p>
    <w:p w14:paraId="0748FA33"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设：每年收益率为</w:t>
      </w:r>
      <w:r>
        <w:rPr>
          <w:rFonts w:ascii="Times New Roman" w:hAnsi="Times New Roman" w:cs="Times New Roman" w:hint="eastAsia"/>
        </w:rPr>
        <w:t>R</w:t>
      </w:r>
      <w:r>
        <w:rPr>
          <w:rFonts w:ascii="Times New Roman" w:hAnsi="Times New Roman" w:cs="Times New Roman"/>
          <w:vertAlign w:val="subscript"/>
        </w:rPr>
        <w:t>i</w:t>
      </w:r>
      <w:r>
        <w:rPr>
          <w:rFonts w:ascii="Times New Roman" w:hAnsi="Times New Roman" w:cs="Times New Roman" w:hint="eastAsia"/>
        </w:rPr>
        <w:t>，则：</w:t>
      </w:r>
    </w:p>
    <w:p w14:paraId="15B32775"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i</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vertAlign w:val="subscript"/>
        </w:rPr>
        <w:t>i</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vertAlign w:val="subscript"/>
        </w:rPr>
        <w:t>i-1</w:t>
      </w:r>
      <w:r>
        <w:rPr>
          <w:rFonts w:ascii="Times New Roman" w:hAnsi="Times New Roman" w:cs="Times New Roman"/>
        </w:rPr>
        <w:t>)/P</w:t>
      </w:r>
      <w:r>
        <w:rPr>
          <w:rFonts w:ascii="Times New Roman" w:hAnsi="Times New Roman" w:cs="Times New Roman"/>
          <w:vertAlign w:val="subscript"/>
        </w:rPr>
        <w:t>i</w:t>
      </w:r>
      <w:r>
        <w:rPr>
          <w:rFonts w:ascii="Times New Roman" w:hAnsi="Times New Roman" w:cs="Times New Roman"/>
        </w:rPr>
        <w:t xml:space="preserve"> (i=1,2,3,……,N)</w:t>
      </w:r>
    </w:p>
    <w:p w14:paraId="14FD7E6F"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式中：</w:t>
      </w:r>
      <w:r>
        <w:rPr>
          <w:rFonts w:ascii="Times New Roman" w:hAnsi="Times New Roman" w:cs="Times New Roman" w:hint="eastAsia"/>
        </w:rPr>
        <w:t>R</w:t>
      </w:r>
      <w:r>
        <w:rPr>
          <w:rFonts w:ascii="Times New Roman" w:hAnsi="Times New Roman" w:cs="Times New Roman"/>
          <w:vertAlign w:val="subscript"/>
        </w:rPr>
        <w:t>i</w:t>
      </w:r>
      <w:r>
        <w:rPr>
          <w:rFonts w:ascii="Times New Roman" w:hAnsi="Times New Roman" w:cs="Times New Roman" w:hint="eastAsia"/>
        </w:rPr>
        <w:t>为第</w:t>
      </w:r>
      <w:r>
        <w:rPr>
          <w:rFonts w:ascii="Times New Roman" w:hAnsi="Times New Roman" w:cs="Times New Roman" w:hint="eastAsia"/>
        </w:rPr>
        <w:t>i</w:t>
      </w:r>
      <w:r>
        <w:rPr>
          <w:rFonts w:ascii="Times New Roman" w:hAnsi="Times New Roman" w:cs="Times New Roman" w:hint="eastAsia"/>
        </w:rPr>
        <w:t>年收益率，</w:t>
      </w:r>
      <w:r>
        <w:rPr>
          <w:rFonts w:ascii="Times New Roman" w:hAnsi="Times New Roman" w:cs="Times New Roman" w:hint="eastAsia"/>
        </w:rPr>
        <w:t>P</w:t>
      </w:r>
      <w:r>
        <w:rPr>
          <w:rFonts w:ascii="Times New Roman" w:hAnsi="Times New Roman" w:cs="Times New Roman"/>
          <w:vertAlign w:val="subscript"/>
        </w:rPr>
        <w:t>i</w:t>
      </w:r>
      <w:r>
        <w:rPr>
          <w:rFonts w:ascii="Times New Roman" w:hAnsi="Times New Roman" w:cs="Times New Roman" w:hint="eastAsia"/>
        </w:rPr>
        <w:t>为第</w:t>
      </w:r>
      <w:r>
        <w:rPr>
          <w:rFonts w:ascii="Times New Roman" w:hAnsi="Times New Roman" w:cs="Times New Roman" w:hint="eastAsia"/>
        </w:rPr>
        <w:t>i</w:t>
      </w:r>
      <w:r>
        <w:rPr>
          <w:rFonts w:ascii="Times New Roman" w:hAnsi="Times New Roman" w:cs="Times New Roman" w:hint="eastAsia"/>
        </w:rPr>
        <w:t>年年末交易收盘价</w:t>
      </w:r>
      <w:r>
        <w:rPr>
          <w:rFonts w:ascii="Times New Roman" w:hAnsi="Times New Roman" w:cs="Times New Roman" w:hint="eastAsia"/>
        </w:rPr>
        <w:t>(</w:t>
      </w:r>
      <w:r>
        <w:rPr>
          <w:rFonts w:ascii="Times New Roman" w:hAnsi="Times New Roman" w:cs="Times New Roman" w:hint="eastAsia"/>
        </w:rPr>
        <w:t>复权</w:t>
      </w:r>
      <w:r>
        <w:rPr>
          <w:rFonts w:ascii="Times New Roman" w:hAnsi="Times New Roman" w:cs="Times New Roman" w:hint="eastAsia"/>
        </w:rPr>
        <w:t>)</w:t>
      </w:r>
    </w:p>
    <w:p w14:paraId="5BE83460"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设第</w:t>
      </w:r>
      <w:r>
        <w:rPr>
          <w:rFonts w:ascii="Times New Roman" w:hAnsi="Times New Roman" w:cs="Times New Roman" w:hint="eastAsia"/>
        </w:rPr>
        <w:t>1</w:t>
      </w:r>
      <w:r>
        <w:rPr>
          <w:rFonts w:ascii="Times New Roman" w:hAnsi="Times New Roman" w:cs="Times New Roman" w:hint="eastAsia"/>
        </w:rPr>
        <w:t>年到第</w:t>
      </w:r>
      <w:r>
        <w:rPr>
          <w:rFonts w:ascii="Times New Roman" w:hAnsi="Times New Roman" w:cs="Times New Roman" w:hint="eastAsia"/>
        </w:rPr>
        <w:t>n</w:t>
      </w:r>
      <w:r>
        <w:rPr>
          <w:rFonts w:ascii="Times New Roman" w:hAnsi="Times New Roman" w:cs="Times New Roman" w:hint="eastAsia"/>
        </w:rPr>
        <w:t>年的收益平均值为</w:t>
      </w:r>
      <w:r>
        <w:rPr>
          <w:rFonts w:ascii="Times New Roman" w:hAnsi="Times New Roman" w:cs="Times New Roman" w:hint="eastAsia"/>
        </w:rPr>
        <w:t>A</w:t>
      </w:r>
      <w:r>
        <w:rPr>
          <w:rFonts w:ascii="Times New Roman" w:hAnsi="Times New Roman" w:cs="Times New Roman"/>
          <w:vertAlign w:val="subscript"/>
        </w:rPr>
        <w:t>n</w:t>
      </w:r>
      <w:r>
        <w:rPr>
          <w:rFonts w:ascii="Times New Roman" w:hAnsi="Times New Roman" w:cs="Times New Roman" w:hint="eastAsia"/>
        </w:rPr>
        <w:t>，则：</w:t>
      </w:r>
    </w:p>
    <w:p w14:paraId="762E2EB9" w14:textId="77777777" w:rsidR="000A0ACD" w:rsidRDefault="00362A99">
      <w:pPr>
        <w:spacing w:line="360" w:lineRule="auto"/>
        <w:ind w:firstLineChars="200" w:firstLine="480"/>
        <w:jc w:val="both"/>
        <w:rPr>
          <w:rFonts w:ascii="Times New Roman" w:hAnsi="Times New Roman" w:cs="Times New Roman"/>
        </w:rPr>
      </w:pPr>
      <w:r>
        <w:rPr>
          <w:rFonts w:ascii="Times New Roman" w:hAnsi="Times New Roman" w:cs="Times New Roman"/>
          <w:position w:val="-30"/>
        </w:rPr>
        <w:object w:dxaOrig="1590" w:dyaOrig="864" w14:anchorId="53296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43.5pt" o:ole="">
            <v:imagedata r:id="rId45" o:title=""/>
          </v:shape>
          <o:OLEObject Type="Embed" ProgID="Equation.3" ShapeID="_x0000_i1025" DrawAspect="Content" ObjectID="_1680443989" r:id="rId46"/>
        </w:object>
      </w:r>
    </w:p>
    <w:p w14:paraId="64C365F7"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式中：</w:t>
      </w:r>
      <w:r>
        <w:rPr>
          <w:rFonts w:ascii="Times New Roman" w:hAnsi="Times New Roman" w:cs="Times New Roman" w:hint="eastAsia"/>
        </w:rPr>
        <w:t>A</w:t>
      </w:r>
      <w:r>
        <w:rPr>
          <w:rFonts w:ascii="Times New Roman" w:hAnsi="Times New Roman" w:cs="Times New Roman"/>
          <w:vertAlign w:val="subscript"/>
        </w:rPr>
        <w:t>n</w:t>
      </w:r>
      <w:r>
        <w:rPr>
          <w:rFonts w:ascii="Times New Roman" w:hAnsi="Times New Roman" w:cs="Times New Roman" w:hint="eastAsia"/>
        </w:rPr>
        <w:t>为第</w:t>
      </w:r>
      <w:r>
        <w:rPr>
          <w:rFonts w:ascii="Times New Roman" w:hAnsi="Times New Roman" w:cs="Times New Roman" w:hint="eastAsia"/>
        </w:rPr>
        <w:t>1</w:t>
      </w:r>
      <w:r>
        <w:rPr>
          <w:rFonts w:ascii="Times New Roman" w:hAnsi="Times New Roman" w:cs="Times New Roman" w:hint="eastAsia"/>
        </w:rPr>
        <w:t>年到第</w:t>
      </w:r>
      <w:r>
        <w:rPr>
          <w:rFonts w:ascii="Times New Roman" w:hAnsi="Times New Roman" w:cs="Times New Roman" w:hint="eastAsia"/>
        </w:rPr>
        <w:t>n</w:t>
      </w:r>
      <w:r>
        <w:rPr>
          <w:rFonts w:ascii="Times New Roman" w:hAnsi="Times New Roman" w:cs="Times New Roman" w:hint="eastAsia"/>
        </w:rPr>
        <w:t>年收益率的算术平均值，</w:t>
      </w:r>
      <w:r>
        <w:rPr>
          <w:rFonts w:ascii="Times New Roman" w:hAnsi="Times New Roman" w:cs="Times New Roman" w:hint="eastAsia"/>
        </w:rPr>
        <w:t>n=1,2,3,</w:t>
      </w:r>
      <w:r>
        <w:rPr>
          <w:rFonts w:ascii="Times New Roman" w:hAnsi="Times New Roman" w:cs="Times New Roman" w:hint="eastAsia"/>
        </w:rPr>
        <w:t>……</w:t>
      </w:r>
      <w:r>
        <w:rPr>
          <w:rFonts w:ascii="Times New Roman" w:hAnsi="Times New Roman" w:cs="Times New Roman" w:hint="eastAsia"/>
        </w:rPr>
        <w:t>,9</w:t>
      </w:r>
      <w:r>
        <w:rPr>
          <w:rFonts w:ascii="Times New Roman" w:hAnsi="Times New Roman" w:cs="Times New Roman" w:hint="eastAsia"/>
        </w:rPr>
        <w:t>，</w:t>
      </w:r>
      <w:r>
        <w:rPr>
          <w:rFonts w:ascii="Times New Roman" w:hAnsi="Times New Roman" w:cs="Times New Roman" w:hint="eastAsia"/>
        </w:rPr>
        <w:t>N</w:t>
      </w:r>
      <w:r>
        <w:rPr>
          <w:rFonts w:ascii="Times New Roman" w:hAnsi="Times New Roman" w:cs="Times New Roman" w:hint="eastAsia"/>
        </w:rPr>
        <w:t>是计算每年</w:t>
      </w:r>
      <w:r>
        <w:rPr>
          <w:rFonts w:ascii="Times New Roman" w:hAnsi="Times New Roman" w:cs="Times New Roman" w:hint="eastAsia"/>
        </w:rPr>
        <w:t>ERP</w:t>
      </w:r>
      <w:r>
        <w:rPr>
          <w:rFonts w:ascii="Times New Roman" w:hAnsi="Times New Roman" w:cs="Times New Roman" w:hint="eastAsia"/>
        </w:rPr>
        <w:t>时的有效年限。</w:t>
      </w:r>
    </w:p>
    <w:p w14:paraId="372BB130" w14:textId="77777777" w:rsidR="000A0ACD" w:rsidRDefault="00362A99">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几何平均值计算方法：</w:t>
      </w:r>
    </w:p>
    <w:p w14:paraId="22394CF7"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设第</w:t>
      </w:r>
      <w:r>
        <w:rPr>
          <w:rFonts w:ascii="Times New Roman" w:hAnsi="Times New Roman" w:cs="Times New Roman" w:hint="eastAsia"/>
        </w:rPr>
        <w:t>1</w:t>
      </w:r>
      <w:r>
        <w:rPr>
          <w:rFonts w:ascii="Times New Roman" w:hAnsi="Times New Roman" w:cs="Times New Roman" w:hint="eastAsia"/>
        </w:rPr>
        <w:t>年到第</w:t>
      </w:r>
      <w:r>
        <w:rPr>
          <w:rFonts w:ascii="Times New Roman" w:hAnsi="Times New Roman" w:cs="Times New Roman" w:hint="eastAsia"/>
        </w:rPr>
        <w:t>i</w:t>
      </w:r>
      <w:r>
        <w:rPr>
          <w:rFonts w:ascii="Times New Roman" w:hAnsi="Times New Roman" w:cs="Times New Roman" w:hint="eastAsia"/>
        </w:rPr>
        <w:t>年的几何平均值为</w:t>
      </w:r>
      <w:r>
        <w:rPr>
          <w:rFonts w:ascii="Times New Roman" w:hAnsi="Times New Roman" w:cs="Times New Roman" w:hint="eastAsia"/>
        </w:rPr>
        <w:t>C</w:t>
      </w:r>
      <w:r>
        <w:rPr>
          <w:rFonts w:ascii="Times New Roman" w:hAnsi="Times New Roman" w:cs="Times New Roman"/>
          <w:vertAlign w:val="subscript"/>
        </w:rPr>
        <w:t>i</w:t>
      </w:r>
      <w:r>
        <w:rPr>
          <w:rFonts w:ascii="Times New Roman" w:hAnsi="Times New Roman" w:cs="Times New Roman" w:hint="eastAsia"/>
        </w:rPr>
        <w:t>，则：</w:t>
      </w:r>
    </w:p>
    <w:p w14:paraId="0B4A60FF" w14:textId="77777777" w:rsidR="000A0ACD" w:rsidRDefault="00362A99">
      <w:pPr>
        <w:spacing w:line="360" w:lineRule="auto"/>
        <w:ind w:firstLineChars="200" w:firstLine="480"/>
        <w:jc w:val="both"/>
        <w:rPr>
          <w:rFonts w:ascii="Times New Roman" w:hAnsi="Times New Roman" w:cs="Times New Roman"/>
        </w:rPr>
      </w:pPr>
      <w:r>
        <w:rPr>
          <w:rFonts w:ascii="Times New Roman" w:hAnsi="Times New Roman" w:cs="Times New Roman"/>
          <w:position w:val="-12"/>
        </w:rPr>
        <w:object w:dxaOrig="2166" w:dyaOrig="576" w14:anchorId="76B027BB">
          <v:shape id="_x0000_i1026" type="#_x0000_t75" style="width:107.25pt;height:28.5pt" o:ole="">
            <v:imagedata r:id="rId47" o:title=""/>
          </v:shape>
          <o:OLEObject Type="Embed" ProgID="Equation.3" ShapeID="_x0000_i1026" DrawAspect="Content" ObjectID="_1680443990" r:id="rId48"/>
        </w:object>
      </w:r>
      <w:r>
        <w:rPr>
          <w:rFonts w:ascii="Times New Roman" w:hAnsi="Times New Roman" w:cs="Times New Roman"/>
        </w:rPr>
        <w:t xml:space="preserve"> (i=2</w:t>
      </w:r>
      <w:r>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N)</w:t>
      </w:r>
    </w:p>
    <w:p w14:paraId="3F77D221" w14:textId="77777777" w:rsidR="000A0ACD" w:rsidRDefault="00362A99">
      <w:pPr>
        <w:spacing w:beforeLines="50" w:before="156" w:line="360" w:lineRule="auto"/>
        <w:ind w:firstLineChars="200" w:firstLine="480"/>
        <w:jc w:val="both"/>
        <w:rPr>
          <w:rFonts w:ascii="Times New Roman" w:hAnsi="Times New Roman" w:cs="Times New Roman"/>
        </w:rPr>
      </w:pPr>
      <w:bookmarkStart w:id="140" w:name="_Hlk69654948"/>
      <w:r>
        <w:rPr>
          <w:rFonts w:ascii="Times New Roman" w:hAnsi="Times New Roman" w:cs="Times New Roman" w:hint="eastAsia"/>
        </w:rPr>
        <w:t>式中：</w:t>
      </w:r>
      <w:r>
        <w:rPr>
          <w:rFonts w:ascii="Times New Roman" w:hAnsi="Times New Roman" w:cs="Times New Roman" w:hint="eastAsia"/>
        </w:rPr>
        <w:t>P</w:t>
      </w:r>
      <w:r>
        <w:rPr>
          <w:rFonts w:ascii="Times New Roman" w:hAnsi="Times New Roman" w:cs="Times New Roman"/>
          <w:vertAlign w:val="subscript"/>
        </w:rPr>
        <w:t>i</w:t>
      </w:r>
      <w:r>
        <w:rPr>
          <w:rFonts w:ascii="Times New Roman" w:hAnsi="Times New Roman" w:cs="Times New Roman" w:hint="eastAsia"/>
        </w:rPr>
        <w:t>为第</w:t>
      </w:r>
      <w:r>
        <w:rPr>
          <w:rFonts w:ascii="Times New Roman" w:hAnsi="Times New Roman" w:cs="Times New Roman" w:hint="eastAsia"/>
        </w:rPr>
        <w:t>i</w:t>
      </w:r>
      <w:r>
        <w:rPr>
          <w:rFonts w:ascii="Times New Roman" w:hAnsi="Times New Roman" w:cs="Times New Roman" w:hint="eastAsia"/>
        </w:rPr>
        <w:t>年年末交易收盘价（后复权）</w:t>
      </w:r>
    </w:p>
    <w:p w14:paraId="72C51E5E" w14:textId="77777777" w:rsidR="000A0ACD" w:rsidRDefault="00362A99">
      <w:pPr>
        <w:numPr>
          <w:ilvl w:val="255"/>
          <w:numId w:val="0"/>
        </w:num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F</w:t>
      </w:r>
      <w:r>
        <w:rPr>
          <w:rFonts w:ascii="Times New Roman" w:hAnsi="Times New Roman" w:cs="Times New Roman" w:hint="eastAsia"/>
        </w:rPr>
        <w:t>）无风险收益率</w:t>
      </w:r>
      <w:r>
        <w:rPr>
          <w:rFonts w:ascii="Times New Roman" w:hAnsi="Times New Roman" w:cs="Times New Roman" w:hint="eastAsia"/>
        </w:rPr>
        <w:t>R</w:t>
      </w:r>
      <w:r>
        <w:rPr>
          <w:rFonts w:ascii="Times New Roman" w:hAnsi="Times New Roman" w:cs="Times New Roman"/>
          <w:vertAlign w:val="subscript"/>
        </w:rPr>
        <w:t>fi</w:t>
      </w:r>
      <w:r>
        <w:rPr>
          <w:rFonts w:ascii="Times New Roman" w:hAnsi="Times New Roman" w:cs="Times New Roman" w:hint="eastAsia"/>
        </w:rPr>
        <w:t>的估算</w:t>
      </w:r>
    </w:p>
    <w:bookmarkEnd w:id="140"/>
    <w:p w14:paraId="0F2AE8F3" w14:textId="77777777" w:rsidR="000A0ACD" w:rsidRDefault="00362A99">
      <w:pPr>
        <w:numPr>
          <w:ilvl w:val="255"/>
          <w:numId w:val="0"/>
        </w:num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为了估算每年的</w:t>
      </w:r>
      <w:r>
        <w:rPr>
          <w:rFonts w:ascii="Times New Roman" w:hAnsi="Times New Roman" w:cs="Times New Roman" w:hint="eastAsia"/>
        </w:rPr>
        <w:t>ERP</w:t>
      </w:r>
      <w:r>
        <w:rPr>
          <w:rFonts w:ascii="Times New Roman" w:hAnsi="Times New Roman" w:cs="Times New Roman" w:hint="eastAsia"/>
        </w:rPr>
        <w:t>，需要估算计算期每年的无风险收益率</w:t>
      </w:r>
      <w:r>
        <w:rPr>
          <w:rFonts w:ascii="Times New Roman" w:hAnsi="Times New Roman" w:cs="Times New Roman" w:hint="eastAsia"/>
        </w:rPr>
        <w:t>R</w:t>
      </w:r>
      <w:r>
        <w:rPr>
          <w:rFonts w:ascii="Times New Roman" w:hAnsi="Times New Roman" w:cs="Times New Roman"/>
          <w:vertAlign w:val="subscript"/>
        </w:rPr>
        <w:t>fi</w:t>
      </w:r>
      <w:r>
        <w:rPr>
          <w:rFonts w:ascii="Times New Roman" w:hAnsi="Times New Roman" w:cs="Times New Roman" w:hint="eastAsia"/>
        </w:rPr>
        <w:t>，本次测算我们采用国债的到期收益率（</w:t>
      </w:r>
      <w:r>
        <w:rPr>
          <w:rFonts w:ascii="Times New Roman" w:hAnsi="Times New Roman" w:cs="Times New Roman" w:hint="eastAsia"/>
        </w:rPr>
        <w:t>Yield</w:t>
      </w:r>
      <w:r>
        <w:rPr>
          <w:rFonts w:ascii="Times New Roman" w:hAnsi="Times New Roman" w:cs="Times New Roman"/>
        </w:rPr>
        <w:t xml:space="preserve"> to Maturate </w:t>
      </w:r>
      <w:r>
        <w:rPr>
          <w:rFonts w:ascii="Times New Roman" w:hAnsi="Times New Roman" w:cs="Times New Roman" w:hint="eastAsia"/>
        </w:rPr>
        <w:t>Rate</w:t>
      </w:r>
      <w:r>
        <w:rPr>
          <w:rFonts w:ascii="Times New Roman" w:hAnsi="Times New Roman" w:cs="Times New Roman" w:hint="eastAsia"/>
        </w:rPr>
        <w:t>）作为无风险收益率。我们首先选择每年年末距到期日剩余年限超过</w:t>
      </w:r>
      <w:r>
        <w:rPr>
          <w:rFonts w:ascii="Times New Roman" w:hAnsi="Times New Roman" w:cs="Times New Roman" w:hint="eastAsia"/>
        </w:rPr>
        <w:t>5</w:t>
      </w:r>
      <w:r>
        <w:rPr>
          <w:rFonts w:ascii="Times New Roman" w:hAnsi="Times New Roman" w:cs="Times New Roman" w:hint="eastAsia"/>
        </w:rPr>
        <w:t>年的国债，然后根据国债每年年末距到期日的剩余年限的长短将国债分为两部分，分别为每年年末距国债到期日剩余年限超过</w:t>
      </w:r>
      <w:r>
        <w:rPr>
          <w:rFonts w:ascii="Times New Roman" w:hAnsi="Times New Roman" w:cs="Times New Roman" w:hint="eastAsia"/>
        </w:rPr>
        <w:t>5</w:t>
      </w:r>
      <w:r>
        <w:rPr>
          <w:rFonts w:ascii="Times New Roman" w:hAnsi="Times New Roman" w:cs="Times New Roman" w:hint="eastAsia"/>
        </w:rPr>
        <w:t>年但少于</w:t>
      </w:r>
      <w:r>
        <w:rPr>
          <w:rFonts w:ascii="Times New Roman" w:hAnsi="Times New Roman" w:cs="Times New Roman" w:hint="eastAsia"/>
        </w:rPr>
        <w:t>10</w:t>
      </w:r>
      <w:r>
        <w:rPr>
          <w:rFonts w:ascii="Times New Roman" w:hAnsi="Times New Roman" w:cs="Times New Roman" w:hint="eastAsia"/>
        </w:rPr>
        <w:t>年的国债和每年年末距国债到期日剩余年限超过</w:t>
      </w:r>
      <w:r>
        <w:rPr>
          <w:rFonts w:ascii="Times New Roman" w:hAnsi="Times New Roman" w:cs="Times New Roman" w:hint="eastAsia"/>
        </w:rPr>
        <w:t>10</w:t>
      </w:r>
      <w:r>
        <w:rPr>
          <w:rFonts w:ascii="Times New Roman" w:hAnsi="Times New Roman" w:cs="Times New Roman" w:hint="eastAsia"/>
        </w:rPr>
        <w:t>年的国债，最后分别计算上述两类国债到期收益率的平均值作为每年年末的距到期剩余年限超过</w:t>
      </w:r>
      <w:r>
        <w:rPr>
          <w:rFonts w:ascii="Times New Roman" w:hAnsi="Times New Roman" w:cs="Times New Roman" w:hint="eastAsia"/>
        </w:rPr>
        <w:t>10</w:t>
      </w:r>
      <w:r>
        <w:rPr>
          <w:rFonts w:ascii="Times New Roman" w:hAnsi="Times New Roman" w:cs="Times New Roman" w:hint="eastAsia"/>
        </w:rPr>
        <w:t>年无风险收益率</w:t>
      </w:r>
      <w:r>
        <w:rPr>
          <w:rFonts w:ascii="Times New Roman" w:hAnsi="Times New Roman" w:cs="Times New Roman" w:hint="eastAsia"/>
        </w:rPr>
        <w:t>Rf</w:t>
      </w:r>
      <w:r>
        <w:rPr>
          <w:rFonts w:ascii="Times New Roman" w:hAnsi="Times New Roman" w:cs="Times New Roman" w:hint="eastAsia"/>
        </w:rPr>
        <w:t>和距到期剩余年限超过</w:t>
      </w:r>
      <w:r>
        <w:rPr>
          <w:rFonts w:ascii="Times New Roman" w:hAnsi="Times New Roman" w:cs="Times New Roman" w:hint="eastAsia"/>
        </w:rPr>
        <w:t>5</w:t>
      </w:r>
      <w:r>
        <w:rPr>
          <w:rFonts w:ascii="Times New Roman" w:hAnsi="Times New Roman" w:cs="Times New Roman" w:hint="eastAsia"/>
        </w:rPr>
        <w:t>年但小于</w:t>
      </w:r>
      <w:r>
        <w:rPr>
          <w:rFonts w:ascii="Times New Roman" w:hAnsi="Times New Roman" w:cs="Times New Roman" w:hint="eastAsia"/>
        </w:rPr>
        <w:t>10</w:t>
      </w:r>
      <w:r>
        <w:rPr>
          <w:rFonts w:ascii="Times New Roman" w:hAnsi="Times New Roman" w:cs="Times New Roman" w:hint="eastAsia"/>
        </w:rPr>
        <w:t>年的</w:t>
      </w:r>
      <w:r>
        <w:rPr>
          <w:rFonts w:ascii="Times New Roman" w:hAnsi="Times New Roman" w:cs="Times New Roman" w:hint="eastAsia"/>
        </w:rPr>
        <w:t>R</w:t>
      </w:r>
      <w:r>
        <w:rPr>
          <w:rFonts w:ascii="Times New Roman" w:hAnsi="Times New Roman" w:cs="Times New Roman"/>
          <w:vertAlign w:val="subscript"/>
        </w:rPr>
        <w:t>f</w:t>
      </w:r>
      <w:r>
        <w:rPr>
          <w:rFonts w:ascii="Times New Roman" w:hAnsi="Times New Roman" w:cs="Times New Roman" w:hint="eastAsia"/>
        </w:rPr>
        <w:t>。</w:t>
      </w:r>
    </w:p>
    <w:p w14:paraId="7C375BDC" w14:textId="77777777" w:rsidR="000A0ACD" w:rsidRDefault="00362A99">
      <w:pPr>
        <w:numPr>
          <w:ilvl w:val="255"/>
          <w:numId w:val="0"/>
        </w:num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G</w:t>
      </w:r>
      <w:r>
        <w:rPr>
          <w:rFonts w:ascii="Times New Roman" w:hAnsi="Times New Roman" w:cs="Times New Roman" w:hint="eastAsia"/>
        </w:rPr>
        <w:t>）估算结论</w:t>
      </w:r>
    </w:p>
    <w:p w14:paraId="72CBFFDA" w14:textId="77777777" w:rsidR="000A0ACD" w:rsidRDefault="00362A99">
      <w:p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将每年沪深</w:t>
      </w:r>
      <w:r>
        <w:rPr>
          <w:rFonts w:ascii="Times New Roman" w:hAnsi="Times New Roman" w:cs="Times New Roman" w:hint="eastAsia"/>
        </w:rPr>
        <w:t>300</w:t>
      </w:r>
      <w:r>
        <w:rPr>
          <w:rFonts w:ascii="Times New Roman" w:hAnsi="Times New Roman" w:cs="Times New Roman" w:hint="eastAsia"/>
        </w:rPr>
        <w:t>指数成份股收益算术平均值或几何平均值计算出来后，需要将</w:t>
      </w:r>
      <w:r>
        <w:rPr>
          <w:rFonts w:ascii="Times New Roman" w:hAnsi="Times New Roman" w:cs="Times New Roman" w:hint="eastAsia"/>
        </w:rPr>
        <w:t>300</w:t>
      </w:r>
      <w:r>
        <w:rPr>
          <w:rFonts w:ascii="Times New Roman" w:hAnsi="Times New Roman" w:cs="Times New Roman" w:hint="eastAsia"/>
        </w:rPr>
        <w:t>个股票收益率计算平均值作为本年算术或几何平均值的计算</w:t>
      </w:r>
      <w:r>
        <w:rPr>
          <w:rFonts w:ascii="Times New Roman" w:hAnsi="Times New Roman" w:cs="Times New Roman" w:hint="eastAsia"/>
        </w:rPr>
        <w:t>ERP</w:t>
      </w:r>
      <w:r>
        <w:rPr>
          <w:rFonts w:ascii="Times New Roman" w:hAnsi="Times New Roman" w:cs="Times New Roman" w:hint="eastAsia"/>
        </w:rPr>
        <w:t>结论，这个平均值评估机构采用加权平均的方式，权重则选择每个成份股在沪深</w:t>
      </w:r>
      <w:r>
        <w:rPr>
          <w:rFonts w:ascii="Times New Roman" w:hAnsi="Times New Roman" w:cs="Times New Roman" w:hint="eastAsia"/>
        </w:rPr>
        <w:t>300</w:t>
      </w:r>
      <w:r>
        <w:rPr>
          <w:rFonts w:ascii="Times New Roman" w:hAnsi="Times New Roman" w:cs="Times New Roman" w:hint="eastAsia"/>
        </w:rPr>
        <w:t>指数计算中的权重；每年</w:t>
      </w:r>
      <w:r>
        <w:rPr>
          <w:rFonts w:ascii="Times New Roman" w:hAnsi="Times New Roman" w:cs="Times New Roman" w:hint="eastAsia"/>
        </w:rPr>
        <w:t>ERP</w:t>
      </w:r>
      <w:r>
        <w:rPr>
          <w:rFonts w:ascii="Times New Roman" w:hAnsi="Times New Roman" w:cs="Times New Roman" w:hint="eastAsia"/>
        </w:rPr>
        <w:t>的估算分别采用如下方式：</w:t>
      </w:r>
    </w:p>
    <w:p w14:paraId="172354FE"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算术平均值法：</w:t>
      </w:r>
    </w:p>
    <w:p w14:paraId="4180656C" w14:textId="77777777" w:rsidR="000A0ACD" w:rsidRDefault="00362A99">
      <w:pPr>
        <w:spacing w:beforeLines="50" w:before="156" w:line="360" w:lineRule="auto"/>
        <w:ind w:firstLineChars="200" w:firstLine="480"/>
        <w:jc w:val="both"/>
        <w:rPr>
          <w:rFonts w:ascii="Times New Roman" w:hAnsi="Times New Roman" w:cs="Times New Roman"/>
        </w:rPr>
      </w:pPr>
      <w:bookmarkStart w:id="141" w:name="_Hlk69654963"/>
      <w:r>
        <w:rPr>
          <w:rFonts w:ascii="Times New Roman" w:hAnsi="Times New Roman" w:cs="Times New Roman"/>
        </w:rPr>
        <w:t>ERP</w:t>
      </w:r>
      <w:r>
        <w:rPr>
          <w:rFonts w:ascii="Times New Roman" w:hAnsi="Times New Roman" w:cs="Times New Roman"/>
          <w:vertAlign w:val="subscript"/>
        </w:rPr>
        <w:t>i</w:t>
      </w:r>
      <w:r>
        <w:rPr>
          <w:rFonts w:ascii="Times New Roman" w:hAnsi="Times New Roman" w:cs="Times New Roman"/>
        </w:rPr>
        <w:t xml:space="preserve"> = </w:t>
      </w:r>
      <w:r>
        <w:rPr>
          <w:rFonts w:ascii="Times New Roman" w:hAnsi="Times New Roman" w:cs="Times New Roman" w:hint="eastAsia"/>
        </w:rPr>
        <w:t>A</w:t>
      </w:r>
      <w:r>
        <w:rPr>
          <w:rFonts w:ascii="Times New Roman" w:hAnsi="Times New Roman" w:cs="Times New Roman"/>
          <w:vertAlign w:val="subscript"/>
        </w:rPr>
        <w:t>i</w:t>
      </w:r>
      <w:r>
        <w:rPr>
          <w:rFonts w:ascii="Times New Roman" w:hAnsi="Times New Roman" w:cs="Times New Roman" w:hint="eastAsia"/>
        </w:rPr>
        <w:t>－</w:t>
      </w:r>
      <w:r>
        <w:rPr>
          <w:rFonts w:ascii="Times New Roman" w:hAnsi="Times New Roman" w:cs="Times New Roman" w:hint="eastAsia"/>
        </w:rPr>
        <w:t>R</w:t>
      </w:r>
      <w:r>
        <w:rPr>
          <w:rFonts w:ascii="Times New Roman" w:hAnsi="Times New Roman" w:cs="Times New Roman"/>
          <w:vertAlign w:val="subscript"/>
        </w:rPr>
        <w:t>fi</w:t>
      </w:r>
      <w:r>
        <w:rPr>
          <w:rFonts w:ascii="Times New Roman" w:hAnsi="Times New Roman" w:cs="Times New Roman"/>
        </w:rPr>
        <w:t xml:space="preserve"> (i=1,2,……,N)</w:t>
      </w:r>
    </w:p>
    <w:p w14:paraId="75BFAF35"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几何平均值法：</w:t>
      </w:r>
    </w:p>
    <w:p w14:paraId="55B16F53"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ERP</w:t>
      </w:r>
      <w:r>
        <w:rPr>
          <w:rFonts w:ascii="Times New Roman" w:hAnsi="Times New Roman" w:cs="Times New Roman"/>
          <w:vertAlign w:val="subscript"/>
        </w:rPr>
        <w:t>i</w:t>
      </w:r>
      <w:r>
        <w:rPr>
          <w:rFonts w:ascii="Times New Roman" w:hAnsi="Times New Roman" w:cs="Times New Roman"/>
        </w:rPr>
        <w:t xml:space="preserve"> = </w:t>
      </w:r>
      <w:r>
        <w:rPr>
          <w:rFonts w:ascii="Times New Roman" w:hAnsi="Times New Roman" w:cs="Times New Roman" w:hint="eastAsia"/>
        </w:rPr>
        <w:t>C</w:t>
      </w:r>
      <w:r>
        <w:rPr>
          <w:rFonts w:ascii="Times New Roman" w:hAnsi="Times New Roman" w:cs="Times New Roman"/>
          <w:vertAlign w:val="subscript"/>
        </w:rPr>
        <w:t>i</w:t>
      </w:r>
      <w:r>
        <w:rPr>
          <w:rFonts w:ascii="Times New Roman" w:hAnsi="Times New Roman" w:cs="Times New Roman" w:hint="eastAsia"/>
        </w:rPr>
        <w:t>－</w:t>
      </w:r>
      <w:r>
        <w:rPr>
          <w:rFonts w:ascii="Times New Roman" w:hAnsi="Times New Roman" w:cs="Times New Roman" w:hint="eastAsia"/>
        </w:rPr>
        <w:t>R</w:t>
      </w:r>
      <w:r>
        <w:rPr>
          <w:rFonts w:ascii="Times New Roman" w:hAnsi="Times New Roman" w:cs="Times New Roman"/>
          <w:vertAlign w:val="subscript"/>
        </w:rPr>
        <w:t>fi</w:t>
      </w:r>
      <w:r>
        <w:rPr>
          <w:rFonts w:ascii="Times New Roman" w:hAnsi="Times New Roman" w:cs="Times New Roman"/>
        </w:rPr>
        <w:t xml:space="preserve"> (i=1,2,……,N)</w:t>
      </w:r>
    </w:p>
    <w:bookmarkEnd w:id="141"/>
    <w:p w14:paraId="1308B2B9"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通过估算评估机构可以分别计算出</w:t>
      </w:r>
      <w:r>
        <w:rPr>
          <w:rFonts w:ascii="Times New Roman" w:hAnsi="Times New Roman" w:cs="Times New Roman" w:hint="eastAsia"/>
        </w:rPr>
        <w:t>2010</w:t>
      </w:r>
      <w:r>
        <w:rPr>
          <w:rFonts w:ascii="Times New Roman" w:hAnsi="Times New Roman" w:cs="Times New Roman" w:hint="eastAsia"/>
        </w:rPr>
        <w:t>至</w:t>
      </w:r>
      <w:r>
        <w:rPr>
          <w:rFonts w:ascii="Times New Roman" w:hAnsi="Times New Roman" w:cs="Times New Roman" w:hint="eastAsia"/>
        </w:rPr>
        <w:t>2019</w:t>
      </w:r>
      <w:r>
        <w:rPr>
          <w:rFonts w:ascii="Times New Roman" w:hAnsi="Times New Roman" w:cs="Times New Roman" w:hint="eastAsia"/>
        </w:rPr>
        <w:t>年每年的市场风险超额收益率</w:t>
      </w:r>
      <w:r>
        <w:rPr>
          <w:rFonts w:ascii="Times New Roman" w:hAnsi="Times New Roman" w:cs="Times New Roman" w:hint="eastAsia"/>
        </w:rPr>
        <w:t>ERP</w:t>
      </w:r>
      <w:r>
        <w:rPr>
          <w:rFonts w:ascii="Times New Roman" w:hAnsi="Times New Roman" w:cs="Times New Roman"/>
          <w:vertAlign w:val="subscript"/>
        </w:rPr>
        <w:t>i</w:t>
      </w:r>
      <w:r>
        <w:rPr>
          <w:rFonts w:ascii="Times New Roman" w:hAnsi="Times New Roman" w:cs="Times New Roman" w:hint="eastAsia"/>
        </w:rPr>
        <w:t>如下：</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57"/>
        <w:gridCol w:w="907"/>
        <w:gridCol w:w="907"/>
        <w:gridCol w:w="828"/>
        <w:gridCol w:w="1096"/>
        <w:gridCol w:w="1096"/>
        <w:gridCol w:w="839"/>
        <w:gridCol w:w="1096"/>
        <w:gridCol w:w="1096"/>
      </w:tblGrid>
      <w:tr w:rsidR="000A0ACD" w14:paraId="3FD84998" w14:textId="77777777">
        <w:trPr>
          <w:trHeight w:val="397"/>
          <w:tblHeader/>
        </w:trPr>
        <w:tc>
          <w:tcPr>
            <w:tcW w:w="386" w:type="pct"/>
            <w:vAlign w:val="center"/>
          </w:tcPr>
          <w:p w14:paraId="4FBD2871"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年份</w:t>
            </w:r>
          </w:p>
        </w:tc>
        <w:tc>
          <w:tcPr>
            <w:tcW w:w="532" w:type="pct"/>
            <w:vAlign w:val="center"/>
          </w:tcPr>
          <w:p w14:paraId="26C54A99"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算术平均值</w:t>
            </w:r>
          </w:p>
        </w:tc>
        <w:tc>
          <w:tcPr>
            <w:tcW w:w="532" w:type="pct"/>
            <w:vAlign w:val="center"/>
          </w:tcPr>
          <w:p w14:paraId="79CB975C"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几何平均值</w:t>
            </w:r>
          </w:p>
        </w:tc>
        <w:tc>
          <w:tcPr>
            <w:tcW w:w="486" w:type="pct"/>
            <w:vAlign w:val="center"/>
          </w:tcPr>
          <w:p w14:paraId="127AA514"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无风险收益率</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r>
              <w:rPr>
                <w:rFonts w:ascii="Times New Roman" w:hAnsi="Times New Roman" w:cs="Times New Roman" w:hint="eastAsia"/>
                <w:b/>
                <w:bCs/>
                <w:color w:val="000000"/>
                <w:sz w:val="21"/>
                <w:szCs w:val="21"/>
              </w:rPr>
              <w:t>（距到期剩余年限超过</w:t>
            </w:r>
            <w:r>
              <w:rPr>
                <w:rFonts w:ascii="Times New Roman" w:hAnsi="Times New Roman" w:cs="Times New Roman" w:hint="eastAsia"/>
                <w:b/>
                <w:bCs/>
                <w:color w:val="000000"/>
                <w:sz w:val="21"/>
                <w:szCs w:val="21"/>
              </w:rPr>
              <w:t>10</w:t>
            </w:r>
            <w:r>
              <w:rPr>
                <w:rFonts w:ascii="Times New Roman" w:hAnsi="Times New Roman" w:cs="Times New Roman" w:hint="eastAsia"/>
                <w:b/>
                <w:bCs/>
                <w:color w:val="000000"/>
                <w:sz w:val="21"/>
                <w:szCs w:val="21"/>
              </w:rPr>
              <w:t>年）</w:t>
            </w:r>
          </w:p>
        </w:tc>
        <w:tc>
          <w:tcPr>
            <w:tcW w:w="643" w:type="pct"/>
            <w:vAlign w:val="center"/>
          </w:tcPr>
          <w:p w14:paraId="061B9F1A"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ERP=R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算木平均值</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p>
        </w:tc>
        <w:tc>
          <w:tcPr>
            <w:tcW w:w="643" w:type="pct"/>
            <w:vAlign w:val="center"/>
          </w:tcPr>
          <w:p w14:paraId="6CB349B6"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ERP=R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几何平均值</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p>
        </w:tc>
        <w:tc>
          <w:tcPr>
            <w:tcW w:w="492" w:type="pct"/>
            <w:vAlign w:val="center"/>
          </w:tcPr>
          <w:p w14:paraId="351FBDD5"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无风险收益率</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r>
              <w:rPr>
                <w:rFonts w:ascii="Times New Roman" w:hAnsi="Times New Roman" w:cs="Times New Roman" w:hint="eastAsia"/>
                <w:b/>
                <w:bCs/>
                <w:color w:val="000000"/>
                <w:sz w:val="21"/>
                <w:szCs w:val="21"/>
              </w:rPr>
              <w:t>（距到期剩余年限超过</w:t>
            </w:r>
            <w:r>
              <w:rPr>
                <w:rFonts w:ascii="Times New Roman" w:hAnsi="Times New Roman" w:cs="Times New Roman" w:hint="eastAsia"/>
                <w:b/>
                <w:bCs/>
                <w:color w:val="000000"/>
                <w:sz w:val="21"/>
                <w:szCs w:val="21"/>
              </w:rPr>
              <w:t>5</w:t>
            </w:r>
            <w:r>
              <w:rPr>
                <w:rFonts w:ascii="Times New Roman" w:hAnsi="Times New Roman" w:cs="Times New Roman" w:hint="eastAsia"/>
                <w:b/>
                <w:bCs/>
                <w:color w:val="000000"/>
                <w:sz w:val="21"/>
                <w:szCs w:val="21"/>
              </w:rPr>
              <w:t>年但小于</w:t>
            </w:r>
            <w:r>
              <w:rPr>
                <w:rFonts w:ascii="Times New Roman" w:hAnsi="Times New Roman" w:cs="Times New Roman" w:hint="eastAsia"/>
                <w:b/>
                <w:bCs/>
                <w:color w:val="000000"/>
                <w:sz w:val="21"/>
                <w:szCs w:val="21"/>
              </w:rPr>
              <w:t>10</w:t>
            </w:r>
            <w:r>
              <w:rPr>
                <w:rFonts w:ascii="Times New Roman" w:hAnsi="Times New Roman" w:cs="Times New Roman" w:hint="eastAsia"/>
                <w:b/>
                <w:bCs/>
                <w:color w:val="000000"/>
                <w:sz w:val="21"/>
                <w:szCs w:val="21"/>
              </w:rPr>
              <w:t>年）</w:t>
            </w:r>
          </w:p>
        </w:tc>
        <w:tc>
          <w:tcPr>
            <w:tcW w:w="643" w:type="pct"/>
            <w:vAlign w:val="center"/>
          </w:tcPr>
          <w:p w14:paraId="1DC271D1"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ERP=R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算术平均值</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p>
        </w:tc>
        <w:tc>
          <w:tcPr>
            <w:tcW w:w="643" w:type="pct"/>
            <w:vAlign w:val="center"/>
          </w:tcPr>
          <w:p w14:paraId="479525CF" w14:textId="77777777" w:rsidR="000A0ACD" w:rsidRDefault="00362A9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ERP=R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几何平均值</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p>
        </w:tc>
      </w:tr>
      <w:tr w:rsidR="000A0ACD" w14:paraId="645206B0" w14:textId="77777777">
        <w:trPr>
          <w:trHeight w:val="397"/>
        </w:trPr>
        <w:tc>
          <w:tcPr>
            <w:tcW w:w="386" w:type="pct"/>
            <w:vAlign w:val="center"/>
          </w:tcPr>
          <w:p w14:paraId="678C2C6D"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2010</w:t>
            </w:r>
          </w:p>
        </w:tc>
        <w:tc>
          <w:tcPr>
            <w:tcW w:w="532" w:type="pct"/>
            <w:vAlign w:val="center"/>
          </w:tcPr>
          <w:p w14:paraId="0791342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41.43%</w:t>
            </w:r>
          </w:p>
        </w:tc>
        <w:tc>
          <w:tcPr>
            <w:tcW w:w="532" w:type="pct"/>
            <w:vAlign w:val="center"/>
          </w:tcPr>
          <w:p w14:paraId="6889AA5B"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15.10%</w:t>
            </w:r>
          </w:p>
        </w:tc>
        <w:tc>
          <w:tcPr>
            <w:tcW w:w="486" w:type="pct"/>
            <w:vAlign w:val="center"/>
          </w:tcPr>
          <w:p w14:paraId="0459532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4.25%</w:t>
            </w:r>
          </w:p>
        </w:tc>
        <w:tc>
          <w:tcPr>
            <w:tcW w:w="643" w:type="pct"/>
            <w:vAlign w:val="center"/>
          </w:tcPr>
          <w:p w14:paraId="71D6EC4E"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37.18%</w:t>
            </w:r>
          </w:p>
        </w:tc>
        <w:tc>
          <w:tcPr>
            <w:tcW w:w="643" w:type="pct"/>
            <w:vAlign w:val="center"/>
          </w:tcPr>
          <w:p w14:paraId="5D346BF0"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10.85%</w:t>
            </w:r>
          </w:p>
        </w:tc>
        <w:tc>
          <w:tcPr>
            <w:tcW w:w="492" w:type="pct"/>
            <w:vAlign w:val="center"/>
          </w:tcPr>
          <w:p w14:paraId="3F1DBCEA"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3.83%</w:t>
            </w:r>
          </w:p>
        </w:tc>
        <w:tc>
          <w:tcPr>
            <w:tcW w:w="643" w:type="pct"/>
            <w:vAlign w:val="center"/>
          </w:tcPr>
          <w:p w14:paraId="72E537F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37.60%</w:t>
            </w:r>
          </w:p>
        </w:tc>
        <w:tc>
          <w:tcPr>
            <w:tcW w:w="643" w:type="pct"/>
            <w:vAlign w:val="center"/>
          </w:tcPr>
          <w:p w14:paraId="5EA11290"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11.27%</w:t>
            </w:r>
          </w:p>
        </w:tc>
      </w:tr>
      <w:tr w:rsidR="000A0ACD" w14:paraId="3DE08B06" w14:textId="77777777">
        <w:trPr>
          <w:trHeight w:val="397"/>
        </w:trPr>
        <w:tc>
          <w:tcPr>
            <w:tcW w:w="386" w:type="pct"/>
            <w:vAlign w:val="center"/>
          </w:tcPr>
          <w:p w14:paraId="39D768C0"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2011</w:t>
            </w:r>
          </w:p>
        </w:tc>
        <w:tc>
          <w:tcPr>
            <w:tcW w:w="532" w:type="pct"/>
            <w:vAlign w:val="center"/>
          </w:tcPr>
          <w:p w14:paraId="17DA6D49"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25.44%</w:t>
            </w:r>
          </w:p>
        </w:tc>
        <w:tc>
          <w:tcPr>
            <w:tcW w:w="532" w:type="pct"/>
            <w:vAlign w:val="center"/>
          </w:tcPr>
          <w:p w14:paraId="319F53B3"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0.12%</w:t>
            </w:r>
          </w:p>
        </w:tc>
        <w:tc>
          <w:tcPr>
            <w:tcW w:w="486" w:type="pct"/>
            <w:vAlign w:val="center"/>
          </w:tcPr>
          <w:p w14:paraId="485ACD1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3.98%</w:t>
            </w:r>
          </w:p>
        </w:tc>
        <w:tc>
          <w:tcPr>
            <w:tcW w:w="643" w:type="pct"/>
            <w:vAlign w:val="center"/>
          </w:tcPr>
          <w:p w14:paraId="5E7C08F5"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21.46%</w:t>
            </w:r>
          </w:p>
        </w:tc>
        <w:tc>
          <w:tcPr>
            <w:tcW w:w="643" w:type="pct"/>
            <w:vAlign w:val="center"/>
          </w:tcPr>
          <w:p w14:paraId="57709205"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-3.86%</w:t>
            </w:r>
          </w:p>
        </w:tc>
        <w:tc>
          <w:tcPr>
            <w:tcW w:w="492" w:type="pct"/>
            <w:vAlign w:val="center"/>
          </w:tcPr>
          <w:p w14:paraId="149E9CB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3.41%</w:t>
            </w:r>
          </w:p>
        </w:tc>
        <w:tc>
          <w:tcPr>
            <w:tcW w:w="643" w:type="pct"/>
            <w:vAlign w:val="center"/>
          </w:tcPr>
          <w:p w14:paraId="23EDE1BC"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22.03%</w:t>
            </w:r>
          </w:p>
        </w:tc>
        <w:tc>
          <w:tcPr>
            <w:tcW w:w="643" w:type="pct"/>
            <w:vAlign w:val="center"/>
          </w:tcPr>
          <w:p w14:paraId="77F99BF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-3.29%</w:t>
            </w:r>
          </w:p>
        </w:tc>
      </w:tr>
      <w:tr w:rsidR="000A0ACD" w14:paraId="56083352" w14:textId="77777777">
        <w:trPr>
          <w:trHeight w:val="397"/>
        </w:trPr>
        <w:tc>
          <w:tcPr>
            <w:tcW w:w="386" w:type="pct"/>
            <w:vAlign w:val="center"/>
          </w:tcPr>
          <w:p w14:paraId="6A42459C"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2012</w:t>
            </w:r>
          </w:p>
        </w:tc>
        <w:tc>
          <w:tcPr>
            <w:tcW w:w="532" w:type="pct"/>
            <w:vAlign w:val="center"/>
          </w:tcPr>
          <w:p w14:paraId="0B75691C"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25.40%</w:t>
            </w:r>
          </w:p>
        </w:tc>
        <w:tc>
          <w:tcPr>
            <w:tcW w:w="532" w:type="pct"/>
            <w:vAlign w:val="center"/>
          </w:tcPr>
          <w:p w14:paraId="324E1F2E"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1.60%</w:t>
            </w:r>
          </w:p>
        </w:tc>
        <w:tc>
          <w:tcPr>
            <w:tcW w:w="486" w:type="pct"/>
            <w:vAlign w:val="center"/>
          </w:tcPr>
          <w:p w14:paraId="7A0EF08A"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4.15%</w:t>
            </w:r>
          </w:p>
        </w:tc>
        <w:tc>
          <w:tcPr>
            <w:tcW w:w="643" w:type="pct"/>
            <w:vAlign w:val="center"/>
          </w:tcPr>
          <w:p w14:paraId="2A2ECD4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21.25%</w:t>
            </w:r>
          </w:p>
        </w:tc>
        <w:tc>
          <w:tcPr>
            <w:tcW w:w="643" w:type="pct"/>
            <w:vAlign w:val="center"/>
          </w:tcPr>
          <w:p w14:paraId="6084F879"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-2.55%</w:t>
            </w:r>
          </w:p>
        </w:tc>
        <w:tc>
          <w:tcPr>
            <w:tcW w:w="492" w:type="pct"/>
            <w:vAlign w:val="center"/>
          </w:tcPr>
          <w:p w14:paraId="683D2D3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3.50%</w:t>
            </w:r>
          </w:p>
        </w:tc>
        <w:tc>
          <w:tcPr>
            <w:tcW w:w="643" w:type="pct"/>
            <w:vAlign w:val="center"/>
          </w:tcPr>
          <w:p w14:paraId="0DFBBEF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21.90%</w:t>
            </w:r>
          </w:p>
        </w:tc>
        <w:tc>
          <w:tcPr>
            <w:tcW w:w="643" w:type="pct"/>
            <w:vAlign w:val="center"/>
          </w:tcPr>
          <w:p w14:paraId="0DD8ECFC"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-1.90%</w:t>
            </w:r>
          </w:p>
        </w:tc>
      </w:tr>
      <w:tr w:rsidR="000A0ACD" w14:paraId="20CC4E53" w14:textId="77777777">
        <w:trPr>
          <w:trHeight w:val="397"/>
        </w:trPr>
        <w:tc>
          <w:tcPr>
            <w:tcW w:w="386" w:type="pct"/>
            <w:vAlign w:val="center"/>
          </w:tcPr>
          <w:p w14:paraId="13A5BE56"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2013</w:t>
            </w:r>
          </w:p>
        </w:tc>
        <w:tc>
          <w:tcPr>
            <w:tcW w:w="532" w:type="pct"/>
            <w:vAlign w:val="center"/>
          </w:tcPr>
          <w:p w14:paraId="5883B225"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24.69%</w:t>
            </w:r>
          </w:p>
        </w:tc>
        <w:tc>
          <w:tcPr>
            <w:tcW w:w="532" w:type="pct"/>
            <w:vAlign w:val="center"/>
          </w:tcPr>
          <w:p w14:paraId="4F562B87"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4.26%</w:t>
            </w:r>
          </w:p>
        </w:tc>
        <w:tc>
          <w:tcPr>
            <w:tcW w:w="486" w:type="pct"/>
            <w:vAlign w:val="center"/>
          </w:tcPr>
          <w:p w14:paraId="37D0BE13"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4.32%</w:t>
            </w:r>
          </w:p>
        </w:tc>
        <w:tc>
          <w:tcPr>
            <w:tcW w:w="643" w:type="pct"/>
            <w:vAlign w:val="center"/>
          </w:tcPr>
          <w:p w14:paraId="5E18A52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20.37%</w:t>
            </w:r>
          </w:p>
        </w:tc>
        <w:tc>
          <w:tcPr>
            <w:tcW w:w="643" w:type="pct"/>
            <w:vAlign w:val="center"/>
          </w:tcPr>
          <w:p w14:paraId="7285E47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-0.06%</w:t>
            </w:r>
          </w:p>
        </w:tc>
        <w:tc>
          <w:tcPr>
            <w:tcW w:w="492" w:type="pct"/>
            <w:vAlign w:val="center"/>
          </w:tcPr>
          <w:p w14:paraId="1599EA9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3.88%</w:t>
            </w:r>
          </w:p>
        </w:tc>
        <w:tc>
          <w:tcPr>
            <w:tcW w:w="643" w:type="pct"/>
            <w:vAlign w:val="center"/>
          </w:tcPr>
          <w:p w14:paraId="4CC98263"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20.81%</w:t>
            </w:r>
          </w:p>
        </w:tc>
        <w:tc>
          <w:tcPr>
            <w:tcW w:w="643" w:type="pct"/>
            <w:vAlign w:val="center"/>
          </w:tcPr>
          <w:p w14:paraId="699C008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0.38%</w:t>
            </w:r>
          </w:p>
        </w:tc>
      </w:tr>
      <w:tr w:rsidR="000A0ACD" w14:paraId="1FB1D7C5" w14:textId="77777777">
        <w:trPr>
          <w:trHeight w:val="397"/>
        </w:trPr>
        <w:tc>
          <w:tcPr>
            <w:tcW w:w="386" w:type="pct"/>
            <w:vAlign w:val="center"/>
          </w:tcPr>
          <w:p w14:paraId="58E58A7C"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2014</w:t>
            </w:r>
          </w:p>
        </w:tc>
        <w:tc>
          <w:tcPr>
            <w:tcW w:w="532" w:type="pct"/>
            <w:vAlign w:val="center"/>
          </w:tcPr>
          <w:p w14:paraId="78FEAA0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41.88%</w:t>
            </w:r>
          </w:p>
        </w:tc>
        <w:tc>
          <w:tcPr>
            <w:tcW w:w="532" w:type="pct"/>
            <w:vAlign w:val="center"/>
          </w:tcPr>
          <w:p w14:paraId="5CCEFAA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20.69%</w:t>
            </w:r>
          </w:p>
        </w:tc>
        <w:tc>
          <w:tcPr>
            <w:tcW w:w="486" w:type="pct"/>
            <w:vAlign w:val="center"/>
          </w:tcPr>
          <w:p w14:paraId="0B73E185"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4.31%</w:t>
            </w:r>
          </w:p>
        </w:tc>
        <w:tc>
          <w:tcPr>
            <w:tcW w:w="643" w:type="pct"/>
            <w:vAlign w:val="center"/>
          </w:tcPr>
          <w:p w14:paraId="779F6BE7"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37.57%</w:t>
            </w:r>
          </w:p>
        </w:tc>
        <w:tc>
          <w:tcPr>
            <w:tcW w:w="643" w:type="pct"/>
            <w:vAlign w:val="center"/>
          </w:tcPr>
          <w:p w14:paraId="39FB6CC9"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16.37%</w:t>
            </w:r>
          </w:p>
        </w:tc>
        <w:tc>
          <w:tcPr>
            <w:tcW w:w="492" w:type="pct"/>
            <w:vAlign w:val="center"/>
          </w:tcPr>
          <w:p w14:paraId="7D893C33"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3.73%</w:t>
            </w:r>
          </w:p>
        </w:tc>
        <w:tc>
          <w:tcPr>
            <w:tcW w:w="643" w:type="pct"/>
            <w:vAlign w:val="center"/>
          </w:tcPr>
          <w:p w14:paraId="14D760EC"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38.15%</w:t>
            </w:r>
          </w:p>
        </w:tc>
        <w:tc>
          <w:tcPr>
            <w:tcW w:w="643" w:type="pct"/>
            <w:vAlign w:val="center"/>
          </w:tcPr>
          <w:p w14:paraId="25AE02E5"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16.96%</w:t>
            </w:r>
          </w:p>
        </w:tc>
      </w:tr>
      <w:tr w:rsidR="000A0ACD" w14:paraId="53404908" w14:textId="77777777">
        <w:trPr>
          <w:trHeight w:val="397"/>
        </w:trPr>
        <w:tc>
          <w:tcPr>
            <w:tcW w:w="386" w:type="pct"/>
            <w:vAlign w:val="center"/>
          </w:tcPr>
          <w:p w14:paraId="04AF6C79"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2015</w:t>
            </w:r>
          </w:p>
        </w:tc>
        <w:tc>
          <w:tcPr>
            <w:tcW w:w="532" w:type="pct"/>
            <w:vAlign w:val="center"/>
          </w:tcPr>
          <w:p w14:paraId="58E1118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31.27%</w:t>
            </w:r>
          </w:p>
        </w:tc>
        <w:tc>
          <w:tcPr>
            <w:tcW w:w="532" w:type="pct"/>
            <w:vAlign w:val="center"/>
          </w:tcPr>
          <w:p w14:paraId="4D6980DE"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15.55%</w:t>
            </w:r>
          </w:p>
        </w:tc>
        <w:tc>
          <w:tcPr>
            <w:tcW w:w="486" w:type="pct"/>
            <w:vAlign w:val="center"/>
          </w:tcPr>
          <w:p w14:paraId="638199EA"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4.12%</w:t>
            </w:r>
          </w:p>
        </w:tc>
        <w:tc>
          <w:tcPr>
            <w:tcW w:w="643" w:type="pct"/>
            <w:vAlign w:val="center"/>
          </w:tcPr>
          <w:p w14:paraId="7DFA9AF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27.15%</w:t>
            </w:r>
          </w:p>
        </w:tc>
        <w:tc>
          <w:tcPr>
            <w:tcW w:w="643" w:type="pct"/>
            <w:vAlign w:val="center"/>
          </w:tcPr>
          <w:p w14:paraId="12180AB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11.43%</w:t>
            </w:r>
          </w:p>
        </w:tc>
        <w:tc>
          <w:tcPr>
            <w:tcW w:w="492" w:type="pct"/>
            <w:vAlign w:val="center"/>
          </w:tcPr>
          <w:p w14:paraId="3F5EDFAC"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3.29%</w:t>
            </w:r>
          </w:p>
        </w:tc>
        <w:tc>
          <w:tcPr>
            <w:tcW w:w="643" w:type="pct"/>
            <w:vAlign w:val="center"/>
          </w:tcPr>
          <w:p w14:paraId="35B7AC3E"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27.98%</w:t>
            </w:r>
          </w:p>
        </w:tc>
        <w:tc>
          <w:tcPr>
            <w:tcW w:w="643" w:type="pct"/>
            <w:vAlign w:val="center"/>
          </w:tcPr>
          <w:p w14:paraId="6257896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12.26%</w:t>
            </w:r>
          </w:p>
        </w:tc>
      </w:tr>
      <w:tr w:rsidR="000A0ACD" w14:paraId="4AD864B5" w14:textId="77777777">
        <w:trPr>
          <w:trHeight w:val="397"/>
        </w:trPr>
        <w:tc>
          <w:tcPr>
            <w:tcW w:w="386" w:type="pct"/>
            <w:vAlign w:val="center"/>
          </w:tcPr>
          <w:p w14:paraId="643E8C59"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p>
        </w:tc>
        <w:tc>
          <w:tcPr>
            <w:tcW w:w="532" w:type="pct"/>
            <w:vAlign w:val="center"/>
          </w:tcPr>
          <w:p w14:paraId="4E9B275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17.57%</w:t>
            </w:r>
          </w:p>
        </w:tc>
        <w:tc>
          <w:tcPr>
            <w:tcW w:w="532" w:type="pct"/>
            <w:vAlign w:val="center"/>
          </w:tcPr>
          <w:p w14:paraId="314236B6"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6.48%</w:t>
            </w:r>
          </w:p>
        </w:tc>
        <w:tc>
          <w:tcPr>
            <w:tcW w:w="486" w:type="pct"/>
            <w:vAlign w:val="center"/>
          </w:tcPr>
          <w:p w14:paraId="5439BDBB"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3.91%</w:t>
            </w:r>
          </w:p>
        </w:tc>
        <w:tc>
          <w:tcPr>
            <w:tcW w:w="643" w:type="pct"/>
            <w:vAlign w:val="center"/>
          </w:tcPr>
          <w:p w14:paraId="46309210"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13.66%</w:t>
            </w:r>
          </w:p>
        </w:tc>
        <w:tc>
          <w:tcPr>
            <w:tcW w:w="643" w:type="pct"/>
            <w:vAlign w:val="center"/>
          </w:tcPr>
          <w:p w14:paraId="50605590"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2.57%</w:t>
            </w:r>
          </w:p>
        </w:tc>
        <w:tc>
          <w:tcPr>
            <w:tcW w:w="492" w:type="pct"/>
            <w:vAlign w:val="center"/>
          </w:tcPr>
          <w:p w14:paraId="1ABF68C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3.09%</w:t>
            </w:r>
          </w:p>
        </w:tc>
        <w:tc>
          <w:tcPr>
            <w:tcW w:w="643" w:type="pct"/>
            <w:vAlign w:val="center"/>
          </w:tcPr>
          <w:p w14:paraId="3C23709C"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14.48%</w:t>
            </w:r>
          </w:p>
        </w:tc>
        <w:tc>
          <w:tcPr>
            <w:tcW w:w="643" w:type="pct"/>
            <w:vAlign w:val="center"/>
          </w:tcPr>
          <w:p w14:paraId="36A3F41A"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3.39%</w:t>
            </w:r>
          </w:p>
        </w:tc>
      </w:tr>
      <w:tr w:rsidR="000A0ACD" w14:paraId="00C9E9E6" w14:textId="77777777">
        <w:trPr>
          <w:trHeight w:val="397"/>
        </w:trPr>
        <w:tc>
          <w:tcPr>
            <w:tcW w:w="386" w:type="pct"/>
            <w:vAlign w:val="center"/>
          </w:tcPr>
          <w:p w14:paraId="6A9C56BB"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2017</w:t>
            </w:r>
          </w:p>
        </w:tc>
        <w:tc>
          <w:tcPr>
            <w:tcW w:w="532" w:type="pct"/>
            <w:vAlign w:val="center"/>
          </w:tcPr>
          <w:p w14:paraId="0AB8421E"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25.68%</w:t>
            </w:r>
          </w:p>
        </w:tc>
        <w:tc>
          <w:tcPr>
            <w:tcW w:w="532" w:type="pct"/>
            <w:vAlign w:val="center"/>
          </w:tcPr>
          <w:p w14:paraId="59CD27E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18.81%</w:t>
            </w:r>
          </w:p>
        </w:tc>
        <w:tc>
          <w:tcPr>
            <w:tcW w:w="486" w:type="pct"/>
            <w:vAlign w:val="center"/>
          </w:tcPr>
          <w:p w14:paraId="2E7FB84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4.23%</w:t>
            </w:r>
          </w:p>
        </w:tc>
        <w:tc>
          <w:tcPr>
            <w:tcW w:w="643" w:type="pct"/>
            <w:vAlign w:val="center"/>
          </w:tcPr>
          <w:p w14:paraId="74CE72CE"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21.45%</w:t>
            </w:r>
          </w:p>
        </w:tc>
        <w:tc>
          <w:tcPr>
            <w:tcW w:w="643" w:type="pct"/>
            <w:vAlign w:val="center"/>
          </w:tcPr>
          <w:p w14:paraId="2F174D4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14.58%</w:t>
            </w:r>
          </w:p>
        </w:tc>
        <w:tc>
          <w:tcPr>
            <w:tcW w:w="492" w:type="pct"/>
            <w:vAlign w:val="center"/>
          </w:tcPr>
          <w:p w14:paraId="2BFDAEE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3.68%</w:t>
            </w:r>
          </w:p>
        </w:tc>
        <w:tc>
          <w:tcPr>
            <w:tcW w:w="643" w:type="pct"/>
            <w:vAlign w:val="center"/>
          </w:tcPr>
          <w:p w14:paraId="3E2CDB7E"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22.00%</w:t>
            </w:r>
          </w:p>
        </w:tc>
        <w:tc>
          <w:tcPr>
            <w:tcW w:w="643" w:type="pct"/>
            <w:vAlign w:val="center"/>
          </w:tcPr>
          <w:p w14:paraId="59ED545A"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15.13%</w:t>
            </w:r>
          </w:p>
        </w:tc>
      </w:tr>
      <w:tr w:rsidR="000A0ACD" w14:paraId="10C74C19" w14:textId="77777777">
        <w:trPr>
          <w:trHeight w:val="397"/>
        </w:trPr>
        <w:tc>
          <w:tcPr>
            <w:tcW w:w="386" w:type="pct"/>
            <w:vAlign w:val="center"/>
          </w:tcPr>
          <w:p w14:paraId="5D1ED0EE"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2018</w:t>
            </w:r>
          </w:p>
        </w:tc>
        <w:tc>
          <w:tcPr>
            <w:tcW w:w="532" w:type="pct"/>
            <w:vAlign w:val="center"/>
          </w:tcPr>
          <w:p w14:paraId="0242130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13.42%</w:t>
            </w:r>
          </w:p>
        </w:tc>
        <w:tc>
          <w:tcPr>
            <w:tcW w:w="532" w:type="pct"/>
            <w:vAlign w:val="center"/>
          </w:tcPr>
          <w:p w14:paraId="3BE0CD4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7.31%</w:t>
            </w:r>
          </w:p>
        </w:tc>
        <w:tc>
          <w:tcPr>
            <w:tcW w:w="486" w:type="pct"/>
            <w:vAlign w:val="center"/>
          </w:tcPr>
          <w:p w14:paraId="3A311A6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4.01%</w:t>
            </w:r>
          </w:p>
        </w:tc>
        <w:tc>
          <w:tcPr>
            <w:tcW w:w="643" w:type="pct"/>
            <w:vAlign w:val="center"/>
          </w:tcPr>
          <w:p w14:paraId="08CED5E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9.41%</w:t>
            </w:r>
          </w:p>
        </w:tc>
        <w:tc>
          <w:tcPr>
            <w:tcW w:w="643" w:type="pct"/>
            <w:vAlign w:val="center"/>
          </w:tcPr>
          <w:p w14:paraId="01F1F69D"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3.30%</w:t>
            </w:r>
          </w:p>
        </w:tc>
        <w:tc>
          <w:tcPr>
            <w:tcW w:w="492" w:type="pct"/>
            <w:vAlign w:val="center"/>
          </w:tcPr>
          <w:p w14:paraId="3A8E8EC5"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3.50%</w:t>
            </w:r>
          </w:p>
        </w:tc>
        <w:tc>
          <w:tcPr>
            <w:tcW w:w="643" w:type="pct"/>
            <w:vAlign w:val="center"/>
          </w:tcPr>
          <w:p w14:paraId="0A07FC14"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9.92%</w:t>
            </w:r>
          </w:p>
        </w:tc>
        <w:tc>
          <w:tcPr>
            <w:tcW w:w="643" w:type="pct"/>
            <w:vAlign w:val="center"/>
          </w:tcPr>
          <w:p w14:paraId="6F5E53F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3.81%</w:t>
            </w:r>
          </w:p>
        </w:tc>
      </w:tr>
      <w:tr w:rsidR="000A0ACD" w14:paraId="53BD9013" w14:textId="77777777">
        <w:trPr>
          <w:trHeight w:val="397"/>
        </w:trPr>
        <w:tc>
          <w:tcPr>
            <w:tcW w:w="386" w:type="pct"/>
            <w:vAlign w:val="center"/>
          </w:tcPr>
          <w:p w14:paraId="48BF2530"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2019</w:t>
            </w:r>
          </w:p>
        </w:tc>
        <w:tc>
          <w:tcPr>
            <w:tcW w:w="532" w:type="pct"/>
            <w:vAlign w:val="center"/>
          </w:tcPr>
          <w:p w14:paraId="68026E90"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21.74%</w:t>
            </w:r>
          </w:p>
        </w:tc>
        <w:tc>
          <w:tcPr>
            <w:tcW w:w="532" w:type="pct"/>
            <w:vAlign w:val="center"/>
          </w:tcPr>
          <w:p w14:paraId="4058792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14.65%</w:t>
            </w:r>
          </w:p>
        </w:tc>
        <w:tc>
          <w:tcPr>
            <w:tcW w:w="486" w:type="pct"/>
            <w:vAlign w:val="center"/>
          </w:tcPr>
          <w:p w14:paraId="1D2BD9A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4.10%</w:t>
            </w:r>
          </w:p>
        </w:tc>
        <w:tc>
          <w:tcPr>
            <w:tcW w:w="643" w:type="pct"/>
            <w:vAlign w:val="center"/>
          </w:tcPr>
          <w:p w14:paraId="3648CBE2"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17.63%</w:t>
            </w:r>
          </w:p>
        </w:tc>
        <w:tc>
          <w:tcPr>
            <w:tcW w:w="643" w:type="pct"/>
            <w:vAlign w:val="center"/>
          </w:tcPr>
          <w:p w14:paraId="21C26123"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10.55%</w:t>
            </w:r>
          </w:p>
        </w:tc>
        <w:tc>
          <w:tcPr>
            <w:tcW w:w="492" w:type="pct"/>
            <w:vAlign w:val="center"/>
          </w:tcPr>
          <w:p w14:paraId="391552DB"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3.41%</w:t>
            </w:r>
          </w:p>
        </w:tc>
        <w:tc>
          <w:tcPr>
            <w:tcW w:w="643" w:type="pct"/>
            <w:vAlign w:val="center"/>
          </w:tcPr>
          <w:p w14:paraId="02187EEB"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18.32%</w:t>
            </w:r>
          </w:p>
        </w:tc>
        <w:tc>
          <w:tcPr>
            <w:tcW w:w="643" w:type="pct"/>
            <w:vAlign w:val="center"/>
          </w:tcPr>
          <w:p w14:paraId="00C9AB4E"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11.24%</w:t>
            </w:r>
          </w:p>
        </w:tc>
      </w:tr>
      <w:tr w:rsidR="000A0ACD" w14:paraId="10CBAEB8" w14:textId="77777777">
        <w:trPr>
          <w:trHeight w:val="397"/>
        </w:trPr>
        <w:tc>
          <w:tcPr>
            <w:tcW w:w="386" w:type="pct"/>
            <w:vAlign w:val="center"/>
          </w:tcPr>
          <w:p w14:paraId="2A4D1758"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平均值</w:t>
            </w:r>
          </w:p>
        </w:tc>
        <w:tc>
          <w:tcPr>
            <w:tcW w:w="532" w:type="pct"/>
            <w:vAlign w:val="center"/>
          </w:tcPr>
          <w:p w14:paraId="6A8547A9"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26.85%</w:t>
            </w:r>
          </w:p>
        </w:tc>
        <w:tc>
          <w:tcPr>
            <w:tcW w:w="532" w:type="pct"/>
            <w:vAlign w:val="center"/>
          </w:tcPr>
          <w:p w14:paraId="161AFD2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10.46%</w:t>
            </w:r>
          </w:p>
        </w:tc>
        <w:tc>
          <w:tcPr>
            <w:tcW w:w="486" w:type="pct"/>
            <w:vAlign w:val="center"/>
          </w:tcPr>
          <w:p w14:paraId="246F9EE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4.14%</w:t>
            </w:r>
          </w:p>
        </w:tc>
        <w:tc>
          <w:tcPr>
            <w:tcW w:w="643" w:type="pct"/>
            <w:vAlign w:val="center"/>
          </w:tcPr>
          <w:p w14:paraId="69310CC4"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22.71%</w:t>
            </w:r>
          </w:p>
        </w:tc>
        <w:tc>
          <w:tcPr>
            <w:tcW w:w="643" w:type="pct"/>
            <w:vAlign w:val="center"/>
          </w:tcPr>
          <w:p w14:paraId="19C3A22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6.32%</w:t>
            </w:r>
          </w:p>
        </w:tc>
        <w:tc>
          <w:tcPr>
            <w:tcW w:w="492" w:type="pct"/>
            <w:vAlign w:val="center"/>
          </w:tcPr>
          <w:p w14:paraId="0130A20A"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3.53%</w:t>
            </w:r>
          </w:p>
        </w:tc>
        <w:tc>
          <w:tcPr>
            <w:tcW w:w="643" w:type="pct"/>
            <w:vAlign w:val="center"/>
          </w:tcPr>
          <w:p w14:paraId="41C51460"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23.32%</w:t>
            </w:r>
          </w:p>
        </w:tc>
        <w:tc>
          <w:tcPr>
            <w:tcW w:w="643" w:type="pct"/>
            <w:vAlign w:val="center"/>
          </w:tcPr>
          <w:p w14:paraId="40AB904D"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6.92%</w:t>
            </w:r>
          </w:p>
        </w:tc>
      </w:tr>
      <w:tr w:rsidR="000A0ACD" w14:paraId="776B5B05" w14:textId="77777777">
        <w:trPr>
          <w:trHeight w:val="397"/>
        </w:trPr>
        <w:tc>
          <w:tcPr>
            <w:tcW w:w="386" w:type="pct"/>
            <w:vAlign w:val="center"/>
          </w:tcPr>
          <w:p w14:paraId="70FA8D07"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最大值</w:t>
            </w:r>
          </w:p>
        </w:tc>
        <w:tc>
          <w:tcPr>
            <w:tcW w:w="532" w:type="pct"/>
            <w:vAlign w:val="center"/>
          </w:tcPr>
          <w:p w14:paraId="57012A9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41.88%</w:t>
            </w:r>
          </w:p>
        </w:tc>
        <w:tc>
          <w:tcPr>
            <w:tcW w:w="532" w:type="pct"/>
            <w:vAlign w:val="center"/>
          </w:tcPr>
          <w:p w14:paraId="62CCF0F3"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20.69%</w:t>
            </w:r>
          </w:p>
        </w:tc>
        <w:tc>
          <w:tcPr>
            <w:tcW w:w="486" w:type="pct"/>
            <w:vAlign w:val="center"/>
          </w:tcPr>
          <w:p w14:paraId="6B447649"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4.32%</w:t>
            </w:r>
          </w:p>
        </w:tc>
        <w:tc>
          <w:tcPr>
            <w:tcW w:w="643" w:type="pct"/>
            <w:vAlign w:val="center"/>
          </w:tcPr>
          <w:p w14:paraId="3C7AD0D2" w14:textId="3D7FEE12"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w:t>
            </w:r>
            <w:r w:rsidR="005635F3">
              <w:rPr>
                <w:rFonts w:ascii="Times New Roman" w:hAnsi="Times New Roman" w:cs="Times New Roman" w:hint="eastAsia"/>
                <w:color w:val="000000"/>
                <w:sz w:val="21"/>
                <w:szCs w:val="21"/>
              </w:rPr>
              <w:t>.</w:t>
            </w:r>
            <w:r>
              <w:rPr>
                <w:rFonts w:ascii="Times New Roman" w:hAnsi="Times New Roman" w:cs="Times New Roman"/>
                <w:color w:val="000000"/>
                <w:sz w:val="21"/>
                <w:szCs w:val="21"/>
              </w:rPr>
              <w:t>57%</w:t>
            </w:r>
          </w:p>
        </w:tc>
        <w:tc>
          <w:tcPr>
            <w:tcW w:w="643" w:type="pct"/>
            <w:vAlign w:val="center"/>
          </w:tcPr>
          <w:p w14:paraId="4EA9DD55"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16.37%</w:t>
            </w:r>
          </w:p>
        </w:tc>
        <w:tc>
          <w:tcPr>
            <w:tcW w:w="492" w:type="pct"/>
            <w:vAlign w:val="center"/>
          </w:tcPr>
          <w:p w14:paraId="659CE5E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3.88%</w:t>
            </w:r>
          </w:p>
        </w:tc>
        <w:tc>
          <w:tcPr>
            <w:tcW w:w="643" w:type="pct"/>
            <w:vAlign w:val="center"/>
          </w:tcPr>
          <w:p w14:paraId="4F2DFCC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38.15%</w:t>
            </w:r>
          </w:p>
        </w:tc>
        <w:tc>
          <w:tcPr>
            <w:tcW w:w="643" w:type="pct"/>
            <w:vAlign w:val="center"/>
          </w:tcPr>
          <w:p w14:paraId="32476145"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16.96%</w:t>
            </w:r>
          </w:p>
        </w:tc>
      </w:tr>
      <w:tr w:rsidR="000A0ACD" w14:paraId="522C5922" w14:textId="77777777">
        <w:trPr>
          <w:trHeight w:val="397"/>
        </w:trPr>
        <w:tc>
          <w:tcPr>
            <w:tcW w:w="386" w:type="pct"/>
            <w:vAlign w:val="center"/>
          </w:tcPr>
          <w:p w14:paraId="6C8FCF8A"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最小值</w:t>
            </w:r>
          </w:p>
        </w:tc>
        <w:tc>
          <w:tcPr>
            <w:tcW w:w="532" w:type="pct"/>
            <w:vAlign w:val="center"/>
          </w:tcPr>
          <w:p w14:paraId="6419E3BB"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13.42%</w:t>
            </w:r>
          </w:p>
        </w:tc>
        <w:tc>
          <w:tcPr>
            <w:tcW w:w="532" w:type="pct"/>
            <w:vAlign w:val="center"/>
          </w:tcPr>
          <w:p w14:paraId="50426DDA"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0.12%</w:t>
            </w:r>
          </w:p>
        </w:tc>
        <w:tc>
          <w:tcPr>
            <w:tcW w:w="486" w:type="pct"/>
            <w:vAlign w:val="center"/>
          </w:tcPr>
          <w:p w14:paraId="1F7D13C5"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3.91%</w:t>
            </w:r>
          </w:p>
        </w:tc>
        <w:tc>
          <w:tcPr>
            <w:tcW w:w="643" w:type="pct"/>
            <w:vAlign w:val="center"/>
          </w:tcPr>
          <w:p w14:paraId="1C6C42A9"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9.41%</w:t>
            </w:r>
          </w:p>
        </w:tc>
        <w:tc>
          <w:tcPr>
            <w:tcW w:w="643" w:type="pct"/>
            <w:vAlign w:val="center"/>
          </w:tcPr>
          <w:p w14:paraId="00461BEC"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-3.86%</w:t>
            </w:r>
          </w:p>
        </w:tc>
        <w:tc>
          <w:tcPr>
            <w:tcW w:w="492" w:type="pct"/>
            <w:vAlign w:val="center"/>
          </w:tcPr>
          <w:p w14:paraId="1CA9EE00"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3.09%</w:t>
            </w:r>
          </w:p>
        </w:tc>
        <w:tc>
          <w:tcPr>
            <w:tcW w:w="643" w:type="pct"/>
            <w:vAlign w:val="center"/>
          </w:tcPr>
          <w:p w14:paraId="3E1C317F"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9.92%</w:t>
            </w:r>
          </w:p>
        </w:tc>
        <w:tc>
          <w:tcPr>
            <w:tcW w:w="643" w:type="pct"/>
            <w:vAlign w:val="center"/>
          </w:tcPr>
          <w:p w14:paraId="5AA39F8A"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-3.29%</w:t>
            </w:r>
          </w:p>
        </w:tc>
      </w:tr>
      <w:tr w:rsidR="000A0ACD" w14:paraId="7DFF8603" w14:textId="77777777">
        <w:trPr>
          <w:trHeight w:val="397"/>
        </w:trPr>
        <w:tc>
          <w:tcPr>
            <w:tcW w:w="386" w:type="pct"/>
            <w:vAlign w:val="center"/>
          </w:tcPr>
          <w:p w14:paraId="0A644BB1" w14:textId="77777777" w:rsidR="000A0ACD" w:rsidRDefault="00362A9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剔除最大、最小值后的平均值</w:t>
            </w:r>
          </w:p>
        </w:tc>
        <w:tc>
          <w:tcPr>
            <w:tcW w:w="532" w:type="pct"/>
            <w:vAlign w:val="center"/>
          </w:tcPr>
          <w:p w14:paraId="44B86CB7"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26.65%</w:t>
            </w:r>
          </w:p>
        </w:tc>
        <w:tc>
          <w:tcPr>
            <w:tcW w:w="532" w:type="pct"/>
            <w:vAlign w:val="center"/>
          </w:tcPr>
          <w:p w14:paraId="722F70C9"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10.47%</w:t>
            </w:r>
          </w:p>
        </w:tc>
        <w:tc>
          <w:tcPr>
            <w:tcW w:w="486" w:type="pct"/>
            <w:vAlign w:val="center"/>
          </w:tcPr>
          <w:p w14:paraId="2106B3BA"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4.14%</w:t>
            </w:r>
          </w:p>
        </w:tc>
        <w:tc>
          <w:tcPr>
            <w:tcW w:w="643" w:type="pct"/>
            <w:vAlign w:val="center"/>
          </w:tcPr>
          <w:p w14:paraId="19299ED8"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22.52%</w:t>
            </w:r>
          </w:p>
        </w:tc>
        <w:tc>
          <w:tcPr>
            <w:tcW w:w="643" w:type="pct"/>
            <w:vAlign w:val="center"/>
          </w:tcPr>
          <w:p w14:paraId="6CBF87C1"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6.33%</w:t>
            </w:r>
          </w:p>
        </w:tc>
        <w:tc>
          <w:tcPr>
            <w:tcW w:w="492" w:type="pct"/>
            <w:vAlign w:val="center"/>
          </w:tcPr>
          <w:p w14:paraId="0AC7D54D"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3.54%</w:t>
            </w:r>
          </w:p>
        </w:tc>
        <w:tc>
          <w:tcPr>
            <w:tcW w:w="643" w:type="pct"/>
            <w:vAlign w:val="center"/>
          </w:tcPr>
          <w:p w14:paraId="2F4EAAE3"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23.14%</w:t>
            </w:r>
          </w:p>
        </w:tc>
        <w:tc>
          <w:tcPr>
            <w:tcW w:w="643" w:type="pct"/>
            <w:vAlign w:val="center"/>
          </w:tcPr>
          <w:p w14:paraId="77FE9DFA" w14:textId="77777777" w:rsidR="000A0ACD" w:rsidRDefault="00362A99">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6.95%</w:t>
            </w:r>
          </w:p>
        </w:tc>
      </w:tr>
    </w:tbl>
    <w:p w14:paraId="4EC52D94"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由于几何平均值可以更好表述收益率的增长情况，以及本次评估的标的企业理论上的寿命期为无限年期，因此评估机构认为采用包括超过</w:t>
      </w:r>
      <w:r>
        <w:rPr>
          <w:rFonts w:ascii="Times New Roman" w:hAnsi="Times New Roman" w:cs="Times New Roman" w:hint="eastAsia"/>
        </w:rPr>
        <w:t>10</w:t>
      </w:r>
      <w:r>
        <w:rPr>
          <w:rFonts w:ascii="Times New Roman" w:hAnsi="Times New Roman" w:cs="Times New Roman" w:hint="eastAsia"/>
        </w:rPr>
        <w:t>年期的</w:t>
      </w:r>
      <w:r>
        <w:rPr>
          <w:rFonts w:ascii="Times New Roman" w:hAnsi="Times New Roman" w:cs="Times New Roman" w:hint="eastAsia"/>
        </w:rPr>
        <w:t>ERP=6.33%</w:t>
      </w:r>
      <w:r>
        <w:rPr>
          <w:rFonts w:ascii="Times New Roman" w:hAnsi="Times New Roman" w:cs="Times New Roman" w:hint="eastAsia"/>
        </w:rPr>
        <w:t>比较恰当。</w:t>
      </w:r>
    </w:p>
    <w:p w14:paraId="7D7276C8" w14:textId="77777777" w:rsidR="000A0ACD" w:rsidRDefault="00362A99">
      <w:pPr>
        <w:numPr>
          <w:ilvl w:val="255"/>
          <w:numId w:val="0"/>
        </w:numPr>
        <w:snapToGrid w:val="0"/>
        <w:spacing w:beforeLines="50" w:before="156" w:line="360" w:lineRule="auto"/>
        <w:ind w:firstLineChars="200" w:firstLine="480"/>
        <w:jc w:val="both"/>
        <w:rPr>
          <w:rFonts w:ascii="Times New Roman" w:hAnsi="Times New Roman" w:cs="Times New Roman"/>
        </w:rPr>
      </w:pPr>
      <w:r>
        <w:rPr>
          <w:rFonts w:hint="eastAsia"/>
        </w:rPr>
        <w:t>③</w:t>
      </w:r>
      <w:r>
        <w:rPr>
          <w:rFonts w:ascii="Times New Roman" w:hAnsi="Times New Roman" w:cs="Times New Roman" w:hint="eastAsia"/>
        </w:rPr>
        <w:t>确定对比公司相对于股票市场风险系数β</w:t>
      </w:r>
      <w:r>
        <w:rPr>
          <w:rFonts w:ascii="Times New Roman" w:hAnsi="Times New Roman" w:cs="Times New Roman" w:hint="eastAsia"/>
        </w:rPr>
        <w:t>(Levered</w:t>
      </w:r>
      <w:r>
        <w:rPr>
          <w:rFonts w:ascii="Times New Roman" w:hAnsi="Times New Roman" w:cs="Times New Roman"/>
        </w:rPr>
        <w:t xml:space="preserve"> </w:t>
      </w:r>
      <w:r>
        <w:rPr>
          <w:rFonts w:ascii="Times New Roman" w:hAnsi="Times New Roman" w:cs="Times New Roman" w:hint="eastAsia"/>
        </w:rPr>
        <w:t>β</w:t>
      </w:r>
      <w:r>
        <w:rPr>
          <w:rFonts w:ascii="Times New Roman" w:hAnsi="Times New Roman" w:cs="Times New Roman" w:hint="eastAsia"/>
        </w:rPr>
        <w:t>)</w:t>
      </w:r>
      <w:r>
        <w:rPr>
          <w:rFonts w:ascii="Times New Roman" w:hAnsi="Times New Roman" w:cs="Times New Roman" w:hint="eastAsia"/>
        </w:rPr>
        <w:t>。</w:t>
      </w:r>
    </w:p>
    <w:p w14:paraId="2B43C5B4"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目前中国国内同花顺</w:t>
      </w:r>
      <w:r>
        <w:rPr>
          <w:rFonts w:ascii="Times New Roman" w:hAnsi="Times New Roman" w:cs="Times New Roman" w:hint="eastAsia"/>
        </w:rPr>
        <w:t>iFinD</w:t>
      </w:r>
      <w:r>
        <w:rPr>
          <w:rFonts w:ascii="Times New Roman" w:hAnsi="Times New Roman" w:cs="Times New Roman" w:hint="eastAsia"/>
        </w:rPr>
        <w:t>公司是一家从事于β的研究并给出计算β值计算公式的公司，其股票市场指数选择的是沪深</w:t>
      </w:r>
      <w:r>
        <w:rPr>
          <w:rFonts w:ascii="Times New Roman" w:hAnsi="Times New Roman" w:cs="Times New Roman" w:hint="eastAsia"/>
        </w:rPr>
        <w:t>300</w:t>
      </w:r>
      <w:r>
        <w:rPr>
          <w:rFonts w:ascii="Times New Roman" w:hAnsi="Times New Roman" w:cs="Times New Roman" w:hint="eastAsia"/>
        </w:rPr>
        <w:t>指数，与评估机构在估算国内股票市场</w:t>
      </w:r>
      <w:r>
        <w:rPr>
          <w:rFonts w:ascii="Times New Roman" w:hAnsi="Times New Roman" w:cs="Times New Roman" w:hint="eastAsia"/>
        </w:rPr>
        <w:t>ERP</w:t>
      </w:r>
      <w:r>
        <w:rPr>
          <w:rFonts w:ascii="Times New Roman" w:hAnsi="Times New Roman" w:cs="Times New Roman" w:hint="eastAsia"/>
        </w:rPr>
        <w:t>时采用的是沪深</w:t>
      </w:r>
      <w:r>
        <w:rPr>
          <w:rFonts w:ascii="Times New Roman" w:hAnsi="Times New Roman" w:cs="Times New Roman" w:hint="eastAsia"/>
        </w:rPr>
        <w:t>300</w:t>
      </w:r>
      <w:r>
        <w:rPr>
          <w:rFonts w:ascii="Times New Roman" w:hAnsi="Times New Roman" w:cs="Times New Roman" w:hint="eastAsia"/>
        </w:rPr>
        <w:t>指数相匹配。</w:t>
      </w:r>
    </w:p>
    <w:p w14:paraId="6204455C"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本次评估评估机构是选取同花顺</w:t>
      </w:r>
      <w:r>
        <w:rPr>
          <w:rFonts w:ascii="Times New Roman" w:hAnsi="Times New Roman" w:cs="Times New Roman" w:hint="eastAsia"/>
        </w:rPr>
        <w:t>iFinD</w:t>
      </w:r>
      <w:r>
        <w:rPr>
          <w:rFonts w:ascii="Times New Roman" w:hAnsi="Times New Roman" w:cs="Times New Roman" w:hint="eastAsia"/>
        </w:rPr>
        <w:t>公司公布的β计算器计算对比公司的β值，上述β值是含有对比公司自身资本结构的β值。</w:t>
      </w:r>
    </w:p>
    <w:p w14:paraId="58E5B263"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hint="eastAsia"/>
        </w:rPr>
        <w:t>④</w:t>
      </w:r>
      <w:r>
        <w:rPr>
          <w:rFonts w:ascii="Times New Roman" w:hAnsi="Times New Roman" w:cs="Times New Roman" w:hint="eastAsia"/>
        </w:rPr>
        <w:t>计算对比公司</w:t>
      </w:r>
      <w:r>
        <w:rPr>
          <w:rFonts w:ascii="Times New Roman" w:hAnsi="Times New Roman" w:cs="Times New Roman"/>
        </w:rPr>
        <w:t xml:space="preserve">Unlevered </w:t>
      </w:r>
      <w:r>
        <w:rPr>
          <w:rFonts w:ascii="Times New Roman" w:hAnsi="Times New Roman" w:cs="Times New Roman" w:hint="eastAsia"/>
        </w:rPr>
        <w:t>β和估算被评估单位</w:t>
      </w:r>
      <w:r>
        <w:rPr>
          <w:rFonts w:ascii="Times New Roman" w:hAnsi="Times New Roman" w:cs="Times New Roman"/>
        </w:rPr>
        <w:t>Unlevered β</w:t>
      </w:r>
    </w:p>
    <w:p w14:paraId="7EF9633E"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根据以下公式，评估机构可以分别计算对比公司的</w:t>
      </w:r>
      <w:r>
        <w:rPr>
          <w:rFonts w:ascii="Times New Roman" w:hAnsi="Times New Roman" w:cs="Times New Roman" w:hint="eastAsia"/>
        </w:rPr>
        <w:t>Unlevered</w:t>
      </w:r>
      <w:r>
        <w:rPr>
          <w:rFonts w:ascii="Times New Roman" w:hAnsi="Times New Roman" w:cs="Times New Roman"/>
        </w:rPr>
        <w:t xml:space="preserve"> </w:t>
      </w:r>
      <w:r>
        <w:rPr>
          <w:rFonts w:ascii="Times New Roman" w:hAnsi="Times New Roman" w:cs="Times New Roman" w:hint="eastAsia"/>
        </w:rPr>
        <w:t>β：</w:t>
      </w:r>
    </w:p>
    <w:p w14:paraId="40613537" w14:textId="77777777" w:rsidR="000A0ACD" w:rsidRDefault="00362A99">
      <w:pPr>
        <w:pStyle w:val="ac"/>
        <w:spacing w:beforeLines="50" w:before="156" w:after="0" w:line="360" w:lineRule="auto"/>
        <w:ind w:firstLineChars="200" w:firstLine="480"/>
        <w:rPr>
          <w:rFonts w:eastAsia="宋体"/>
          <w:sz w:val="24"/>
          <w:lang w:val="de-DE"/>
        </w:rPr>
      </w:pPr>
      <w:r>
        <w:rPr>
          <w:rFonts w:eastAsia="宋体"/>
          <w:sz w:val="24"/>
          <w:lang w:val="de-DE"/>
        </w:rPr>
        <w:t>Unlevered</w:t>
      </w:r>
      <w:r>
        <w:rPr>
          <w:rFonts w:eastAsia="宋体"/>
          <w:sz w:val="24"/>
        </w:rPr>
        <w:t>β</w:t>
      </w:r>
      <w:r>
        <w:rPr>
          <w:rFonts w:eastAsia="宋体"/>
          <w:sz w:val="24"/>
          <w:lang w:val="de-DE"/>
        </w:rPr>
        <w:t>=Levered</w:t>
      </w:r>
      <w:r>
        <w:rPr>
          <w:rFonts w:eastAsia="宋体"/>
          <w:sz w:val="24"/>
        </w:rPr>
        <w:t>β</w:t>
      </w:r>
      <w:r>
        <w:rPr>
          <w:rFonts w:eastAsia="宋体"/>
          <w:sz w:val="24"/>
          <w:lang w:val="de-DE"/>
        </w:rPr>
        <w:t>/[1+(1-T)×D/E]</w:t>
      </w:r>
    </w:p>
    <w:p w14:paraId="6C4343D6"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式中：</w:t>
      </w:r>
      <w:r>
        <w:rPr>
          <w:rFonts w:ascii="Times New Roman" w:hAnsi="Times New Roman" w:cs="Times New Roman" w:hint="eastAsia"/>
        </w:rPr>
        <w:t>D</w:t>
      </w:r>
      <w:r>
        <w:rPr>
          <w:rFonts w:ascii="Times New Roman" w:hAnsi="Times New Roman" w:cs="Times New Roman" w:hint="eastAsia"/>
        </w:rPr>
        <w:t>－债权价值；</w:t>
      </w:r>
      <w:r>
        <w:rPr>
          <w:rFonts w:ascii="Times New Roman" w:hAnsi="Times New Roman" w:cs="Times New Roman" w:hint="eastAsia"/>
        </w:rPr>
        <w:t>E</w:t>
      </w:r>
      <w:r>
        <w:rPr>
          <w:rFonts w:ascii="Times New Roman" w:hAnsi="Times New Roman" w:cs="Times New Roman" w:hint="eastAsia"/>
        </w:rPr>
        <w:t>－股权价值；</w:t>
      </w:r>
      <w:r>
        <w:rPr>
          <w:rFonts w:ascii="Times New Roman" w:hAnsi="Times New Roman" w:cs="Times New Roman" w:hint="eastAsia"/>
        </w:rPr>
        <w:t>T</w:t>
      </w:r>
      <w:r>
        <w:rPr>
          <w:rFonts w:ascii="Times New Roman" w:hAnsi="Times New Roman" w:cs="Times New Roman" w:hint="eastAsia"/>
        </w:rPr>
        <w:t>－适用所得税率。</w:t>
      </w:r>
    </w:p>
    <w:p w14:paraId="6B8E662B"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将对比公司的</w:t>
      </w:r>
      <w:r>
        <w:rPr>
          <w:rFonts w:ascii="Times New Roman" w:hAnsi="Times New Roman" w:cs="Times New Roman" w:hint="eastAsia"/>
        </w:rPr>
        <w:t>Unlevered</w:t>
      </w:r>
      <w:r>
        <w:rPr>
          <w:rFonts w:ascii="Times New Roman" w:hAnsi="Times New Roman" w:cs="Times New Roman" w:hint="eastAsia"/>
        </w:rPr>
        <w:t>β计算出来后，取其平均值作为标的公司的</w:t>
      </w:r>
      <w:r>
        <w:rPr>
          <w:rFonts w:ascii="Times New Roman" w:hAnsi="Times New Roman" w:cs="Times New Roman" w:hint="eastAsia"/>
        </w:rPr>
        <w:t>Unlevered</w:t>
      </w:r>
      <w:r>
        <w:rPr>
          <w:rFonts w:ascii="Times New Roman" w:hAnsi="Times New Roman" w:cs="Times New Roman" w:hint="eastAsia"/>
        </w:rPr>
        <w:t>β。</w:t>
      </w:r>
    </w:p>
    <w:p w14:paraId="50F28285" w14:textId="77777777" w:rsidR="000A0ACD" w:rsidRDefault="00362A99">
      <w:pPr>
        <w:numPr>
          <w:ilvl w:val="255"/>
          <w:numId w:val="0"/>
        </w:numPr>
        <w:snapToGrid w:val="0"/>
        <w:spacing w:beforeLines="50" w:before="156" w:line="360" w:lineRule="auto"/>
        <w:ind w:firstLineChars="200" w:firstLine="480"/>
        <w:jc w:val="both"/>
        <w:rPr>
          <w:rFonts w:ascii="Times New Roman" w:hAnsi="Times New Roman" w:cs="Times New Roman"/>
        </w:rPr>
      </w:pPr>
      <w:r>
        <w:rPr>
          <w:rFonts w:hint="eastAsia"/>
        </w:rPr>
        <w:t>⑤</w:t>
      </w:r>
      <w:r>
        <w:rPr>
          <w:rFonts w:ascii="Times New Roman" w:hAnsi="Times New Roman" w:cs="Times New Roman" w:hint="eastAsia"/>
        </w:rPr>
        <w:t>确定标的公司的资本结构比率</w:t>
      </w:r>
    </w:p>
    <w:p w14:paraId="02860EBF"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在确定标的公司目标资本结构时评估机构参考了以下两个指标：</w:t>
      </w:r>
    </w:p>
    <w:p w14:paraId="6BF07479"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被对比公司资本结构平均值；</w:t>
      </w:r>
    </w:p>
    <w:p w14:paraId="02B143EB"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被评估单位自身账面价值计算的资本结构。</w:t>
      </w:r>
    </w:p>
    <w:p w14:paraId="65873F72" w14:textId="77777777" w:rsidR="000A0ACD" w:rsidRDefault="00362A99">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最后综合上述两项指标确定被评估单位目标资本结构。</w:t>
      </w:r>
    </w:p>
    <w:p w14:paraId="1099F7A6" w14:textId="77777777" w:rsidR="000A0ACD" w:rsidRDefault="00362A99">
      <w:pPr>
        <w:numPr>
          <w:ilvl w:val="255"/>
          <w:numId w:val="0"/>
        </w:numPr>
        <w:snapToGrid w:val="0"/>
        <w:spacing w:beforeLines="50" w:before="156" w:line="360" w:lineRule="auto"/>
        <w:ind w:firstLineChars="200" w:firstLine="480"/>
        <w:jc w:val="both"/>
      </w:pPr>
      <w:r>
        <w:rPr>
          <w:rFonts w:hint="eastAsia"/>
        </w:rPr>
        <w:t>⑥估算标的公司在上述确定的资本结构比率下的</w:t>
      </w:r>
      <w:r>
        <w:t xml:space="preserve">Levered </w:t>
      </w:r>
      <w:r>
        <w:rPr>
          <w:rFonts w:hint="eastAsia"/>
        </w:rPr>
        <w:t>β</w:t>
      </w:r>
    </w:p>
    <w:p w14:paraId="7DBE4FC0" w14:textId="77777777" w:rsidR="000A0ACD" w:rsidRDefault="00362A99">
      <w:pPr>
        <w:numPr>
          <w:ilvl w:val="255"/>
          <w:numId w:val="0"/>
        </w:numPr>
        <w:snapToGrid w:val="0"/>
        <w:spacing w:beforeLines="50" w:before="156" w:line="360" w:lineRule="auto"/>
        <w:ind w:firstLineChars="200" w:firstLine="480"/>
        <w:jc w:val="both"/>
      </w:pPr>
      <w:r>
        <w:rPr>
          <w:rFonts w:hint="eastAsia"/>
        </w:rPr>
        <w:t>评估机构将已经确定的标的公司资本结构比率代入到如下公式中，计算标的公司</w:t>
      </w:r>
      <w:r>
        <w:t xml:space="preserve">Levered </w:t>
      </w:r>
      <w:r>
        <w:rPr>
          <w:rFonts w:hint="eastAsia"/>
        </w:rPr>
        <w:t>β：</w:t>
      </w:r>
    </w:p>
    <w:p w14:paraId="09067EA7" w14:textId="77777777" w:rsidR="000A0ACD" w:rsidRDefault="00362A99">
      <w:pPr>
        <w:numPr>
          <w:ilvl w:val="255"/>
          <w:numId w:val="0"/>
        </w:numPr>
        <w:snapToGrid w:val="0"/>
        <w:spacing w:beforeLines="50" w:before="156" w:line="360" w:lineRule="auto"/>
        <w:ind w:firstLineChars="200" w:firstLine="480"/>
        <w:jc w:val="both"/>
      </w:pPr>
      <w:r>
        <w:t xml:space="preserve">Levered </w:t>
      </w:r>
      <w:r>
        <w:rPr>
          <w:rFonts w:hint="eastAsia"/>
        </w:rPr>
        <w:t>β</w:t>
      </w:r>
      <w:r>
        <w:t>=Unleveredβ×[1+(1-T)×D/E]</w:t>
      </w:r>
    </w:p>
    <w:p w14:paraId="5935708F" w14:textId="77777777" w:rsidR="000A0ACD" w:rsidRDefault="00362A99">
      <w:pPr>
        <w:numPr>
          <w:ilvl w:val="255"/>
          <w:numId w:val="0"/>
        </w:numPr>
        <w:snapToGrid w:val="0"/>
        <w:spacing w:beforeLines="50" w:before="156" w:line="360" w:lineRule="auto"/>
        <w:ind w:firstLineChars="200" w:firstLine="480"/>
        <w:jc w:val="both"/>
      </w:pPr>
      <w:r>
        <w:rPr>
          <w:rFonts w:hint="eastAsia"/>
        </w:rPr>
        <w:t>式中：</w:t>
      </w:r>
      <w:r>
        <w:t>D－债权价值；E－股权价值；T：适用所得税率(取15%)；</w:t>
      </w:r>
    </w:p>
    <w:p w14:paraId="722BF803" w14:textId="77777777" w:rsidR="000A0ACD" w:rsidRDefault="00362A99">
      <w:pPr>
        <w:numPr>
          <w:ilvl w:val="255"/>
          <w:numId w:val="0"/>
        </w:numPr>
        <w:snapToGrid w:val="0"/>
        <w:spacing w:beforeLines="50" w:before="156" w:line="360" w:lineRule="auto"/>
        <w:ind w:firstLineChars="200" w:firstLine="480"/>
        <w:jc w:val="both"/>
        <w:rPr>
          <w:rFonts w:ascii="Times New Roman" w:hAnsi="Times New Roman" w:cs="Times New Roman"/>
        </w:rPr>
      </w:pPr>
      <w:r>
        <w:rPr>
          <w:rFonts w:hint="eastAsia"/>
        </w:rPr>
        <w:t>⑦</w:t>
      </w:r>
      <w:r>
        <w:rPr>
          <w:rFonts w:ascii="Times New Roman" w:hAnsi="Times New Roman" w:cs="Times New Roman" w:hint="eastAsia"/>
        </w:rPr>
        <w:t>β系数的</w:t>
      </w:r>
      <w:r>
        <w:rPr>
          <w:rFonts w:ascii="Times New Roman" w:hAnsi="Times New Roman" w:cs="Times New Roman" w:hint="eastAsia"/>
        </w:rPr>
        <w:t>Blume</w:t>
      </w:r>
      <w:r>
        <w:rPr>
          <w:rFonts w:ascii="Times New Roman" w:hAnsi="Times New Roman" w:cs="Times New Roman" w:hint="eastAsia"/>
        </w:rPr>
        <w:t>调正</w:t>
      </w:r>
    </w:p>
    <w:p w14:paraId="1BD671AB" w14:textId="77777777" w:rsidR="000A0ACD" w:rsidRDefault="00362A99">
      <w:pPr>
        <w:tabs>
          <w:tab w:val="left" w:pos="851"/>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评估机构估算β系数的目的是估算折现率，该折现率是用来折现未来的预期收益，因此折现率应该是未来预期的折现率，因此要求估算的β系数也应该是未来的预期β系数。</w:t>
      </w:r>
    </w:p>
    <w:p w14:paraId="0CD37A3A" w14:textId="77777777" w:rsidR="000A0ACD" w:rsidRDefault="00362A99">
      <w:pPr>
        <w:tabs>
          <w:tab w:val="left" w:pos="851"/>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评估机构采用的β系数估算方法是采用历史数据，因此评估机构实际估算的β系数应该是历史的β系数而不是未来预期的β系数。为了估算未来预期的β系数，评估机构需要采用布鲁姆调整法</w:t>
      </w:r>
      <w:r>
        <w:rPr>
          <w:rFonts w:ascii="Times New Roman" w:hAnsi="Times New Roman" w:cs="Times New Roman" w:hint="eastAsia"/>
        </w:rPr>
        <w:t>(Blume</w:t>
      </w:r>
      <w:r>
        <w:rPr>
          <w:rFonts w:ascii="Times New Roman" w:hAnsi="Times New Roman" w:cs="Times New Roman"/>
        </w:rPr>
        <w:t xml:space="preserve"> </w:t>
      </w:r>
      <w:r>
        <w:rPr>
          <w:rFonts w:ascii="Times New Roman" w:hAnsi="Times New Roman" w:cs="Times New Roman" w:hint="eastAsia"/>
        </w:rPr>
        <w:t>Adjustment)</w:t>
      </w:r>
      <w:r>
        <w:rPr>
          <w:rFonts w:ascii="Times New Roman" w:hAnsi="Times New Roman" w:cs="Times New Roman" w:hint="eastAsia"/>
        </w:rPr>
        <w:t>。</w:t>
      </w:r>
    </w:p>
    <w:p w14:paraId="2804B307" w14:textId="77777777" w:rsidR="000A0ACD" w:rsidRDefault="00362A99">
      <w:pPr>
        <w:tabs>
          <w:tab w:val="left" w:pos="851"/>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Blume</w:t>
      </w:r>
      <w:r>
        <w:rPr>
          <w:rFonts w:ascii="Times New Roman" w:hAnsi="Times New Roman" w:cs="Times New Roman" w:hint="eastAsia"/>
        </w:rPr>
        <w:t>在</w:t>
      </w:r>
      <w:r>
        <w:rPr>
          <w:rFonts w:ascii="Times New Roman" w:hAnsi="Times New Roman" w:cs="Times New Roman" w:hint="eastAsia"/>
        </w:rPr>
        <w:t>1975</w:t>
      </w:r>
      <w:r>
        <w:rPr>
          <w:rFonts w:ascii="Times New Roman" w:hAnsi="Times New Roman" w:cs="Times New Roman" w:hint="eastAsia"/>
        </w:rPr>
        <w:t>年其在“贝塔及其回归趋势”一文中指出股票β的真实值要比其估计值更趋近于“</w:t>
      </w:r>
      <w:r>
        <w:rPr>
          <w:rFonts w:ascii="Times New Roman" w:hAnsi="Times New Roman" w:cs="Times New Roman" w:hint="eastAsia"/>
        </w:rPr>
        <w:t>1</w:t>
      </w:r>
      <w:r>
        <w:rPr>
          <w:rFonts w:ascii="Times New Roman" w:hAnsi="Times New Roman" w:cs="Times New Roman" w:hint="eastAsia"/>
        </w:rPr>
        <w:t>”。并提出“趋一性”的两个可能的原因：（</w:t>
      </w:r>
      <w:r>
        <w:rPr>
          <w:rFonts w:ascii="Times New Roman" w:hAnsi="Times New Roman" w:cs="Times New Roman" w:hint="eastAsia"/>
        </w:rPr>
        <w:t>1</w:t>
      </w:r>
      <w:r>
        <w:rPr>
          <w:rFonts w:ascii="Times New Roman" w:hAnsi="Times New Roman" w:cs="Times New Roman" w:hint="eastAsia"/>
        </w:rPr>
        <w:t>）公司初建时倾向于选择风险相对高的投资项目，当风险随着时间的推移逐渐释放时，β会出现下降的趋势。（</w:t>
      </w:r>
      <w:r>
        <w:rPr>
          <w:rFonts w:ascii="Times New Roman" w:hAnsi="Times New Roman" w:cs="Times New Roman" w:hint="eastAsia"/>
        </w:rPr>
        <w:t>2</w:t>
      </w:r>
      <w:r>
        <w:rPr>
          <w:rFonts w:ascii="Times New Roman" w:hAnsi="Times New Roman" w:cs="Times New Roman" w:hint="eastAsia"/>
        </w:rPr>
        <w:t>）公司在决定新的投资时，作为风险厌恶者的管理层，可能倾向于考虑小风险的投资，这样公司的β系数就趋于“</w:t>
      </w:r>
      <w:r>
        <w:rPr>
          <w:rFonts w:ascii="Times New Roman" w:hAnsi="Times New Roman" w:cs="Times New Roman" w:hint="eastAsia"/>
        </w:rPr>
        <w:t>1</w:t>
      </w:r>
      <w:r>
        <w:rPr>
          <w:rFonts w:ascii="Times New Roman" w:hAnsi="Times New Roman" w:cs="Times New Roman" w:hint="eastAsia"/>
        </w:rPr>
        <w:t>”。</w:t>
      </w:r>
    </w:p>
    <w:p w14:paraId="5754D09C" w14:textId="77777777" w:rsidR="000A0ACD" w:rsidRDefault="00362A99">
      <w:pPr>
        <w:tabs>
          <w:tab w:val="left" w:pos="851"/>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该调整方法被广泛运用，许多著名的国际投资咨询机构等就采用了与布鲁姆调整相类似的β计算公式。鉴于此，本次评估评估机构采用</w:t>
      </w:r>
      <w:r>
        <w:rPr>
          <w:rFonts w:ascii="Times New Roman" w:hAnsi="Times New Roman" w:cs="Times New Roman" w:hint="eastAsia"/>
        </w:rPr>
        <w:t>Blume</w:t>
      </w:r>
      <w:r>
        <w:rPr>
          <w:rFonts w:ascii="Times New Roman" w:hAnsi="Times New Roman" w:cs="Times New Roman" w:hint="eastAsia"/>
        </w:rPr>
        <w:t>对采用历史数据估算的β系数进行调整。</w:t>
      </w:r>
    </w:p>
    <w:p w14:paraId="6BD3CBEF" w14:textId="77777777" w:rsidR="000A0ACD" w:rsidRDefault="00362A99">
      <w:pPr>
        <w:tabs>
          <w:tab w:val="left" w:pos="851"/>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Blume</w:t>
      </w:r>
      <w:r>
        <w:rPr>
          <w:rFonts w:ascii="Times New Roman" w:hAnsi="Times New Roman" w:cs="Times New Roman" w:hint="eastAsia"/>
        </w:rPr>
        <w:t>提出的调整思路及方法如下：</w:t>
      </w:r>
    </w:p>
    <w:p w14:paraId="374372CE" w14:textId="77777777" w:rsidR="000A0ACD" w:rsidRDefault="00362A99">
      <w:pPr>
        <w:tabs>
          <w:tab w:val="left" w:pos="851"/>
        </w:tabs>
        <w:spacing w:line="360" w:lineRule="auto"/>
        <w:ind w:firstLineChars="177" w:firstLine="425"/>
        <w:jc w:val="both"/>
        <w:rPr>
          <w:rFonts w:ascii="Times New Roman" w:hAnsi="Times New Roman" w:cs="Times New Roman"/>
          <w:position w:val="-12"/>
        </w:rPr>
      </w:pPr>
      <w:r>
        <w:rPr>
          <w:rFonts w:ascii="Times New Roman" w:hAnsi="Times New Roman" w:cs="Times New Roman"/>
          <w:position w:val="-12"/>
        </w:rPr>
        <w:object w:dxaOrig="1878" w:dyaOrig="438" w14:anchorId="5EF1357B">
          <v:shape id="_x0000_i1027" type="#_x0000_t75" style="width:93.75pt;height:21.75pt" o:ole="">
            <v:imagedata r:id="rId49" o:title=""/>
          </v:shape>
          <o:OLEObject Type="Embed" ProgID="Equation.3" ShapeID="_x0000_i1027" DrawAspect="Content" ObjectID="_1680443991" r:id="rId50"/>
        </w:object>
      </w:r>
    </w:p>
    <w:p w14:paraId="319820BA" w14:textId="77777777" w:rsidR="000A0ACD" w:rsidRDefault="00362A99">
      <w:pPr>
        <w:spacing w:line="360" w:lineRule="auto"/>
        <w:ind w:firstLineChars="200" w:firstLine="480"/>
        <w:jc w:val="both"/>
        <w:rPr>
          <w:rFonts w:ascii="Times New Roman" w:hAnsi="Times New Roman" w:cs="Times New Roman"/>
        </w:rPr>
      </w:pPr>
      <w:r>
        <w:rPr>
          <w:rFonts w:ascii="Times New Roman" w:hAnsi="Times New Roman" w:cs="Times New Roman" w:hint="eastAsia"/>
        </w:rPr>
        <w:t>其中：</w:t>
      </w:r>
      <w:r>
        <w:rPr>
          <w:rFonts w:ascii="Times New Roman" w:hAnsi="Times New Roman" w:cs="Times New Roman"/>
          <w:position w:val="-12"/>
        </w:rPr>
        <w:object w:dxaOrig="288" w:dyaOrig="438" w14:anchorId="669D95F5">
          <v:shape id="_x0000_i1028" type="#_x0000_t75" style="width:14.25pt;height:21.75pt" o:ole="">
            <v:imagedata r:id="rId51" o:title=""/>
          </v:shape>
          <o:OLEObject Type="Embed" ProgID="Equation.3" ShapeID="_x0000_i1028" DrawAspect="Content" ObjectID="_1680443992" r:id="rId52"/>
        </w:object>
      </w:r>
      <w:r>
        <w:rPr>
          <w:rFonts w:ascii="Times New Roman" w:hAnsi="Times New Roman" w:cs="Times New Roman" w:hint="eastAsia"/>
        </w:rPr>
        <w:t>为调整后的β值，</w:t>
      </w:r>
      <w:r>
        <w:rPr>
          <w:rFonts w:ascii="Times New Roman" w:hAnsi="Times New Roman" w:cs="Times New Roman"/>
          <w:position w:val="-12"/>
        </w:rPr>
        <w:object w:dxaOrig="288" w:dyaOrig="438" w14:anchorId="468ED5E2">
          <v:shape id="_x0000_i1029" type="#_x0000_t75" style="width:14.25pt;height:21.75pt" o:ole="">
            <v:imagedata r:id="rId53" o:title=""/>
          </v:shape>
          <o:OLEObject Type="Embed" ProgID="Equation.3" ShapeID="_x0000_i1029" DrawAspect="Content" ObjectID="_1680443993" r:id="rId54"/>
        </w:object>
      </w:r>
      <w:r>
        <w:rPr>
          <w:rFonts w:ascii="Times New Roman" w:hAnsi="Times New Roman" w:cs="Times New Roman" w:hint="eastAsia"/>
        </w:rPr>
        <w:t>为历史β值。</w:t>
      </w:r>
    </w:p>
    <w:p w14:paraId="342C5BE2" w14:textId="77777777" w:rsidR="000A0ACD" w:rsidRDefault="00362A99">
      <w:pPr>
        <w:numPr>
          <w:ilvl w:val="255"/>
          <w:numId w:val="0"/>
        </w:numPr>
        <w:snapToGrid w:val="0"/>
        <w:spacing w:beforeLines="50" w:before="156" w:line="360" w:lineRule="auto"/>
        <w:ind w:firstLineChars="200" w:firstLine="480"/>
        <w:jc w:val="both"/>
        <w:rPr>
          <w:rFonts w:ascii="Times New Roman" w:hAnsi="Times New Roman" w:cs="Times New Roman"/>
        </w:rPr>
      </w:pPr>
      <w:r>
        <w:rPr>
          <w:rFonts w:hint="eastAsia"/>
        </w:rPr>
        <w:t>⑧</w:t>
      </w:r>
      <w:r>
        <w:rPr>
          <w:rFonts w:ascii="Times New Roman" w:hAnsi="Times New Roman" w:cs="Times New Roman" w:hint="eastAsia"/>
        </w:rPr>
        <w:t>估算公司特有风险收益率</w:t>
      </w:r>
      <w:r>
        <w:rPr>
          <w:rFonts w:ascii="Times New Roman" w:hAnsi="Times New Roman" w:cs="Times New Roman" w:hint="eastAsia"/>
        </w:rPr>
        <w:t>R</w:t>
      </w:r>
      <w:r>
        <w:rPr>
          <w:rFonts w:ascii="Times New Roman" w:hAnsi="Times New Roman" w:cs="Times New Roman"/>
          <w:vertAlign w:val="subscript"/>
        </w:rPr>
        <w:t>s</w:t>
      </w:r>
    </w:p>
    <w:p w14:paraId="24CDBE8D" w14:textId="77777777" w:rsidR="000A0ACD" w:rsidRDefault="00362A99">
      <w:pPr>
        <w:pStyle w:val="ac"/>
        <w:spacing w:beforeLines="50" w:before="156" w:after="0" w:line="360" w:lineRule="auto"/>
        <w:ind w:firstLineChars="200" w:firstLine="480"/>
        <w:rPr>
          <w:rFonts w:eastAsia="宋体"/>
          <w:sz w:val="24"/>
        </w:rPr>
      </w:pPr>
      <w:r>
        <w:rPr>
          <w:rFonts w:eastAsia="宋体" w:hint="eastAsia"/>
          <w:sz w:val="24"/>
        </w:rPr>
        <w:t>采用资本定价模型一般被认为是估算一个投资组合（</w:t>
      </w:r>
      <w:r>
        <w:rPr>
          <w:rFonts w:eastAsia="宋体" w:hint="eastAsia"/>
          <w:sz w:val="24"/>
        </w:rPr>
        <w:t>Portfolio</w:t>
      </w:r>
      <w:r>
        <w:rPr>
          <w:rFonts w:eastAsia="宋体" w:hint="eastAsia"/>
          <w:sz w:val="24"/>
        </w:rPr>
        <w:t>）的组合投资回报率，资本定价模型不能直接估算单个公司的投资回报率，一般认为单个公司的投资风险要高于一个投资组合的投资风险，因此，在考虑一个单个公司或股票的投资收益时应该考虑该公司的针对投资组合所具有的全部特有风险所产生的超额回报率。</w:t>
      </w:r>
    </w:p>
    <w:p w14:paraId="0413EBB6"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公司特别风险溢价主要是针对公司具有的一些非系统的特有因素所产生风险的风险溢价或折价，一般认为这些特别风险包括，但不局限于：</w:t>
      </w:r>
    </w:p>
    <w:p w14:paraId="0B465959" w14:textId="77777777" w:rsidR="000A0ACD" w:rsidRDefault="00362A99">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A</w:t>
      </w:r>
      <w:r>
        <w:rPr>
          <w:rFonts w:ascii="Times New Roman" w:hAnsi="Times New Roman" w:cs="Times New Roman" w:hint="eastAsia"/>
          <w:lang w:bidi="ar"/>
        </w:rPr>
        <w:t>）客户聚集度过高特别风险</w:t>
      </w:r>
    </w:p>
    <w:p w14:paraId="24DE4F99"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所谓客户聚集度是指标的公司与对比公司相比其客户过于集中在一个或几个少数客户，由于客户过于集中就会出现一旦这些客户违约或出现问题，则直接会给标的公司的经营带来重大影响。</w:t>
      </w:r>
    </w:p>
    <w:p w14:paraId="7FA0771F" w14:textId="77777777" w:rsidR="000A0ACD" w:rsidRDefault="00362A99">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由于本次评估的标的公司存在以下事实：</w:t>
      </w:r>
    </w:p>
    <w:p w14:paraId="4A06D899"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bCs/>
        </w:rPr>
        <w:t>北洋天青前五大客户主要集中于家电行业，其中包括洗衣机、冰箱、冷柜、洗碗机，机器人等，客户群体与北洋天青的主营业务相符。同时可以看出北洋天青客户相对集中，因此评估机构认为存在由于客户聚集度过高的特别风险。</w:t>
      </w:r>
    </w:p>
    <w:p w14:paraId="03B034A3" w14:textId="77777777" w:rsidR="000A0ACD" w:rsidRDefault="00362A99">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B</w:t>
      </w:r>
      <w:r>
        <w:rPr>
          <w:rFonts w:ascii="Times New Roman" w:hAnsi="Times New Roman" w:cs="Times New Roman" w:hint="eastAsia"/>
          <w:lang w:bidi="ar"/>
        </w:rPr>
        <w:t>）公司治理风险</w:t>
      </w:r>
    </w:p>
    <w:p w14:paraId="19DFF688" w14:textId="77777777" w:rsidR="000A0ACD" w:rsidRDefault="00362A99">
      <w:pPr>
        <w:tabs>
          <w:tab w:val="left" w:pos="851"/>
        </w:tabs>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rPr>
        <w:t>一般情况非上市公司的公司治理水平低于上市公司。</w:t>
      </w:r>
    </w:p>
    <w:p w14:paraId="4001846A" w14:textId="77777777" w:rsidR="000A0ACD" w:rsidRDefault="00362A99">
      <w:pPr>
        <w:tabs>
          <w:tab w:val="left" w:pos="851"/>
        </w:tabs>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因此评估机构认为存在公司治理特别风险。</w:t>
      </w:r>
    </w:p>
    <w:p w14:paraId="1541BB84" w14:textId="77777777" w:rsidR="000A0ACD" w:rsidRDefault="00362A99">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C</w:t>
      </w:r>
      <w:r>
        <w:rPr>
          <w:rFonts w:ascii="Times New Roman" w:hAnsi="Times New Roman" w:cs="Times New Roman" w:hint="eastAsia"/>
          <w:lang w:bidi="ar"/>
        </w:rPr>
        <w:t>）管理者特别风险</w:t>
      </w:r>
    </w:p>
    <w:p w14:paraId="15C364BD" w14:textId="77777777" w:rsidR="000A0ACD" w:rsidRDefault="00362A99">
      <w:pPr>
        <w:topLinePunct/>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bCs/>
        </w:rPr>
        <w:t>有经验的管理者往往可以做出正确的决策，在应对复杂的市场竞争中处于有利地位，特别是对于某些具有非常影响力的人物，公司的发展往往非常依赖这些具有影响力的人物，一旦这些人物出现问题，如生病、死亡等，则对公司的经营会产生巨大影响，这些就会造成管理者特别风险。</w:t>
      </w:r>
    </w:p>
    <w:p w14:paraId="03FC5977" w14:textId="77777777" w:rsidR="000A0ACD" w:rsidRDefault="00362A99">
      <w:pPr>
        <w:pStyle w:val="ac"/>
        <w:spacing w:beforeLines="50" w:before="156" w:after="0" w:line="360" w:lineRule="auto"/>
        <w:ind w:firstLineChars="200" w:firstLine="480"/>
        <w:rPr>
          <w:rFonts w:eastAsia="宋体"/>
          <w:sz w:val="24"/>
        </w:rPr>
      </w:pPr>
      <w:r>
        <w:rPr>
          <w:rFonts w:eastAsia="宋体" w:hint="eastAsia"/>
          <w:sz w:val="24"/>
        </w:rPr>
        <w:t>综合考虑上述诸因素，公司特有风险超额收益率按</w:t>
      </w:r>
      <w:r>
        <w:rPr>
          <w:rFonts w:eastAsia="宋体" w:hint="eastAsia"/>
          <w:sz w:val="24"/>
        </w:rPr>
        <w:t>4%</w:t>
      </w:r>
      <w:r>
        <w:rPr>
          <w:rFonts w:eastAsia="宋体" w:hint="eastAsia"/>
          <w:sz w:val="24"/>
        </w:rPr>
        <w:t>预测。</w:t>
      </w:r>
    </w:p>
    <w:p w14:paraId="0300E38E" w14:textId="77777777" w:rsidR="000A0ACD" w:rsidRDefault="00362A99">
      <w:pPr>
        <w:numPr>
          <w:ilvl w:val="255"/>
          <w:numId w:val="0"/>
        </w:numPr>
        <w:snapToGrid w:val="0"/>
        <w:spacing w:beforeLines="50" w:before="156" w:line="360" w:lineRule="auto"/>
        <w:ind w:firstLineChars="200" w:firstLine="480"/>
        <w:jc w:val="both"/>
        <w:rPr>
          <w:rFonts w:ascii="Times New Roman" w:hAnsi="Times New Roman" w:cs="Times New Roman"/>
        </w:rPr>
      </w:pPr>
      <w:r>
        <w:rPr>
          <w:rFonts w:hint="eastAsia"/>
        </w:rPr>
        <w:t>⑨</w:t>
      </w:r>
      <w:r>
        <w:rPr>
          <w:rFonts w:ascii="Times New Roman" w:hAnsi="Times New Roman" w:cs="Times New Roman" w:hint="eastAsia"/>
        </w:rPr>
        <w:t>计算现行股权收益率</w:t>
      </w:r>
    </w:p>
    <w:p w14:paraId="54267056" w14:textId="77777777" w:rsidR="000A0ACD" w:rsidRDefault="00362A99">
      <w:pPr>
        <w:pStyle w:val="ac"/>
        <w:spacing w:beforeLines="50" w:before="156" w:after="0" w:line="360" w:lineRule="auto"/>
        <w:ind w:firstLineChars="200" w:firstLine="480"/>
        <w:rPr>
          <w:rFonts w:eastAsia="宋体"/>
          <w:sz w:val="24"/>
        </w:rPr>
      </w:pPr>
      <w:r>
        <w:rPr>
          <w:rFonts w:eastAsia="宋体" w:hint="eastAsia"/>
          <w:sz w:val="24"/>
        </w:rPr>
        <w:t>将恰当的数据代入</w:t>
      </w:r>
      <w:r>
        <w:rPr>
          <w:rFonts w:eastAsia="宋体" w:hint="eastAsia"/>
          <w:sz w:val="24"/>
        </w:rPr>
        <w:t>CAPM</w:t>
      </w:r>
      <w:r>
        <w:rPr>
          <w:rFonts w:eastAsia="宋体" w:hint="eastAsia"/>
          <w:sz w:val="24"/>
        </w:rPr>
        <w:t>公式中，</w:t>
      </w:r>
      <w:r>
        <w:rPr>
          <w:rFonts w:eastAsia="宋体" w:hint="eastAsia"/>
          <w:sz w:val="24"/>
          <w:lang w:val="en-US"/>
        </w:rPr>
        <w:t>评估机构</w:t>
      </w:r>
      <w:r>
        <w:rPr>
          <w:rFonts w:eastAsia="宋体" w:hint="eastAsia"/>
          <w:sz w:val="24"/>
        </w:rPr>
        <w:t>就可以计算出对</w:t>
      </w:r>
      <w:r>
        <w:rPr>
          <w:rFonts w:eastAsia="宋体" w:hint="eastAsia"/>
          <w:sz w:val="24"/>
          <w:lang w:val="en-US"/>
        </w:rPr>
        <w:t>标的公司</w:t>
      </w:r>
      <w:r>
        <w:rPr>
          <w:rFonts w:eastAsia="宋体" w:hint="eastAsia"/>
          <w:sz w:val="24"/>
        </w:rPr>
        <w:t>的股权期望回报率。</w:t>
      </w:r>
    </w:p>
    <w:p w14:paraId="61B08476"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2</w:t>
      </w:r>
      <w:r>
        <w:rPr>
          <w:rFonts w:ascii="Times New Roman" w:hAnsi="Times New Roman" w:cs="Times New Roman" w:hint="eastAsia"/>
          <w:lang w:bidi="ar"/>
        </w:rPr>
        <w:t>）债权回报率的确定</w:t>
      </w:r>
    </w:p>
    <w:p w14:paraId="4BD67EF4"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债权投资回报率实际上是标的公司的债权投资者期望的投资回报率。</w:t>
      </w:r>
    </w:p>
    <w:p w14:paraId="7ED1398B"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不同的企业，由于企业经营状态不同、资本结构不同等，企业的偿债能力会有所不同，债权投资人所期望的投资回报率也应不尽相同，因此企业的债权投资回报率与企业的财务风险，即资本结构密切相关。</w:t>
      </w:r>
    </w:p>
    <w:p w14:paraId="3B9980B5"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鉴于债权投资回报率需要采用复利形式的到期收益率；同时，在采用全投资现金流模型并且选择行业最优资本结构估算</w:t>
      </w:r>
      <w:r>
        <w:rPr>
          <w:rFonts w:ascii="Times New Roman" w:hAnsi="Times New Roman" w:cs="Times New Roman" w:hint="eastAsia"/>
        </w:rPr>
        <w:t>WACC</w:t>
      </w:r>
      <w:r>
        <w:rPr>
          <w:rFonts w:ascii="Times New Roman" w:hAnsi="Times New Roman" w:cs="Times New Roman" w:hint="eastAsia"/>
        </w:rPr>
        <w:t>时，债权投资回报率</w:t>
      </w:r>
      <w:r>
        <w:rPr>
          <w:rFonts w:ascii="Times New Roman" w:hAnsi="Times New Roman" w:cs="Times New Roman" w:hint="eastAsia"/>
        </w:rPr>
        <w:t>Rd</w:t>
      </w:r>
      <w:r>
        <w:rPr>
          <w:rFonts w:ascii="Times New Roman" w:hAnsi="Times New Roman" w:cs="Times New Roman" w:hint="eastAsia"/>
        </w:rPr>
        <w:t>应该选择该行业所能获得的最优的</w:t>
      </w:r>
      <w:r>
        <w:rPr>
          <w:rFonts w:ascii="Times New Roman" w:hAnsi="Times New Roman" w:cs="Times New Roman" w:hint="eastAsia"/>
        </w:rPr>
        <w:t>Rd</w:t>
      </w:r>
      <w:r>
        <w:rPr>
          <w:rFonts w:ascii="Times New Roman" w:hAnsi="Times New Roman" w:cs="Times New Roman" w:hint="eastAsia"/>
        </w:rPr>
        <w:t>，因此，一般应选用投资与标的企业相同行业、相同风险等级的企业债券的到期收益率作为债权投资回报率指标。</w:t>
      </w:r>
    </w:p>
    <w:p w14:paraId="0AEB794C"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企业基准日未借款，单本次估值假设前提为企业持续经营，从这个角度来看，企业稳定经营的时间要长于发展期，基准日时资本结构并不能代表企业的长期稳定资本结构，相比较而言可比公司平均资本结构更能体现企业持续经营过程中稳定的资本结构，从长期来看，企业的资本结构应该稳定在最优资本结构区间内，因此选用上市公司平均资本结构水平，基于此，本次估值选用</w:t>
      </w:r>
      <w:r>
        <w:rPr>
          <w:rFonts w:ascii="Times New Roman" w:hAnsi="Times New Roman" w:cs="Times New Roman" w:hint="eastAsia"/>
        </w:rPr>
        <w:t>1</w:t>
      </w:r>
      <w:r>
        <w:rPr>
          <w:rFonts w:ascii="Times New Roman" w:hAnsi="Times New Roman" w:cs="Times New Roman" w:hint="eastAsia"/>
        </w:rPr>
        <w:t>年期贷款利率</w:t>
      </w:r>
      <w:r>
        <w:rPr>
          <w:rFonts w:ascii="Times New Roman" w:hAnsi="Times New Roman" w:cs="Times New Roman" w:hint="eastAsia"/>
        </w:rPr>
        <w:t>4.35%</w:t>
      </w:r>
      <w:r>
        <w:rPr>
          <w:rFonts w:ascii="Times New Roman" w:hAnsi="Times New Roman" w:cs="Times New Roman" w:hint="eastAsia"/>
        </w:rPr>
        <w:t>作为债权投资回报率。</w:t>
      </w:r>
    </w:p>
    <w:p w14:paraId="06990E69" w14:textId="77777777" w:rsidR="000A0ACD" w:rsidRDefault="00362A99">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3</w:t>
      </w:r>
      <w:r>
        <w:rPr>
          <w:rFonts w:ascii="Times New Roman" w:hAnsi="Times New Roman" w:cs="Times New Roman" w:hint="eastAsia"/>
          <w:lang w:bidi="ar"/>
        </w:rPr>
        <w:t>）标的公司折现率的确定</w:t>
      </w:r>
    </w:p>
    <w:p w14:paraId="38CA95A8"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股权期望回报率和债权回报率可以用加权平均的方法计算总资本加权平均回报率。权重评估对象实际股权、债权结构比例。总资本加权平均回报率利用以下公式计算：</w:t>
      </w:r>
    </w:p>
    <w:p w14:paraId="4EDC1AC2" w14:textId="77777777" w:rsidR="000A0ACD" w:rsidRDefault="00362A99">
      <w:pPr>
        <w:pStyle w:val="ac"/>
        <w:tabs>
          <w:tab w:val="left" w:pos="1080"/>
        </w:tabs>
        <w:spacing w:line="360" w:lineRule="auto"/>
        <w:ind w:leftChars="200" w:left="480"/>
        <w:rPr>
          <w:rFonts w:eastAsia="宋体"/>
          <w:sz w:val="24"/>
        </w:rPr>
      </w:pPr>
      <w:r>
        <w:rPr>
          <w:rFonts w:eastAsia="宋体"/>
          <w:position w:val="-24"/>
          <w:sz w:val="24"/>
        </w:rPr>
        <w:object w:dxaOrig="3744" w:dyaOrig="576" w14:anchorId="70B01EEF">
          <v:shape id="_x0000_i1030" type="#_x0000_t75" style="width:187.5pt;height:28.5pt" o:ole="">
            <v:imagedata r:id="rId55" o:title=""/>
          </v:shape>
          <o:OLEObject Type="Embed" ProgID="Equation.3" ShapeID="_x0000_i1030" DrawAspect="Content" ObjectID="_1680443994" r:id="rId56"/>
        </w:object>
      </w:r>
    </w:p>
    <w:p w14:paraId="6CFB5E50"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其中：</w:t>
      </w:r>
      <w:r>
        <w:rPr>
          <w:rFonts w:ascii="Times New Roman" w:hAnsi="Times New Roman" w:cs="Times New Roman" w:hint="eastAsia"/>
        </w:rPr>
        <w:t>WACC</w:t>
      </w:r>
      <w:r>
        <w:rPr>
          <w:rFonts w:ascii="Times New Roman" w:hAnsi="Times New Roman" w:cs="Times New Roman" w:hint="eastAsia"/>
        </w:rPr>
        <w:t>为加权平均总资本回报率；</w:t>
      </w:r>
      <w:r>
        <w:rPr>
          <w:rFonts w:ascii="Times New Roman" w:hAnsi="Times New Roman" w:cs="Times New Roman" w:hint="eastAsia"/>
        </w:rPr>
        <w:t>E</w:t>
      </w:r>
      <w:r>
        <w:rPr>
          <w:rFonts w:ascii="Times New Roman" w:hAnsi="Times New Roman" w:cs="Times New Roman" w:hint="eastAsia"/>
        </w:rPr>
        <w:t>为股权价值；</w:t>
      </w:r>
      <w:r>
        <w:rPr>
          <w:rFonts w:ascii="Times New Roman" w:hAnsi="Times New Roman" w:cs="Times New Roman" w:hint="eastAsia"/>
        </w:rPr>
        <w:t>R</w:t>
      </w:r>
      <w:r>
        <w:rPr>
          <w:rFonts w:ascii="Times New Roman" w:hAnsi="Times New Roman" w:cs="Times New Roman"/>
          <w:vertAlign w:val="subscript"/>
        </w:rPr>
        <w:t>e</w:t>
      </w:r>
      <w:r>
        <w:rPr>
          <w:rFonts w:ascii="Times New Roman" w:hAnsi="Times New Roman" w:cs="Times New Roman" w:hint="eastAsia"/>
        </w:rPr>
        <w:t>为期望股本回报率；</w:t>
      </w:r>
      <w:r>
        <w:rPr>
          <w:rFonts w:ascii="Times New Roman" w:hAnsi="Times New Roman" w:cs="Times New Roman" w:hint="eastAsia"/>
        </w:rPr>
        <w:t>D</w:t>
      </w:r>
      <w:r>
        <w:rPr>
          <w:rFonts w:ascii="Times New Roman" w:hAnsi="Times New Roman" w:cs="Times New Roman" w:hint="eastAsia"/>
        </w:rPr>
        <w:t>为付息债权价值；</w:t>
      </w:r>
      <w:r>
        <w:rPr>
          <w:rFonts w:ascii="Times New Roman" w:hAnsi="Times New Roman" w:cs="Times New Roman" w:hint="eastAsia"/>
        </w:rPr>
        <w:t>R</w:t>
      </w:r>
      <w:r>
        <w:rPr>
          <w:rFonts w:ascii="Times New Roman" w:hAnsi="Times New Roman" w:cs="Times New Roman"/>
          <w:vertAlign w:val="subscript"/>
        </w:rPr>
        <w:t>d</w:t>
      </w:r>
      <w:r>
        <w:rPr>
          <w:rFonts w:ascii="Times New Roman" w:hAnsi="Times New Roman" w:cs="Times New Roman" w:hint="eastAsia"/>
        </w:rPr>
        <w:t>为债权期望回报率；</w:t>
      </w:r>
      <w:r>
        <w:rPr>
          <w:rFonts w:ascii="Times New Roman" w:hAnsi="Times New Roman" w:cs="Times New Roman" w:hint="eastAsia"/>
        </w:rPr>
        <w:t>T</w:t>
      </w:r>
      <w:r>
        <w:rPr>
          <w:rFonts w:ascii="Times New Roman" w:hAnsi="Times New Roman" w:cs="Times New Roman" w:hint="eastAsia"/>
        </w:rPr>
        <w:t>为企业所得税率。</w:t>
      </w:r>
    </w:p>
    <w:p w14:paraId="025E1B1A"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根据上述计算得到标的公司总资本加权平均回报率为</w:t>
      </w:r>
      <w:r>
        <w:rPr>
          <w:rFonts w:ascii="Times New Roman" w:hAnsi="Times New Roman" w:cs="Times New Roman" w:hint="eastAsia"/>
        </w:rPr>
        <w:t>13.5%</w:t>
      </w:r>
      <w:r>
        <w:rPr>
          <w:rFonts w:ascii="Times New Roman" w:hAnsi="Times New Roman" w:cs="Times New Roman" w:hint="eastAsia"/>
        </w:rPr>
        <w:t>，评估机构以其作为标的公司的折现率。</w:t>
      </w:r>
    </w:p>
    <w:p w14:paraId="6F42679E"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加权资金成本计算表如下：</w:t>
      </w:r>
    </w:p>
    <w:p w14:paraId="618E1AED"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72"/>
        <w:gridCol w:w="1017"/>
        <w:gridCol w:w="728"/>
        <w:gridCol w:w="728"/>
        <w:gridCol w:w="873"/>
        <w:gridCol w:w="726"/>
        <w:gridCol w:w="873"/>
        <w:gridCol w:w="1164"/>
        <w:gridCol w:w="728"/>
        <w:gridCol w:w="813"/>
      </w:tblGrid>
      <w:tr w:rsidR="000A0ACD" w14:paraId="00475E37" w14:textId="77777777">
        <w:trPr>
          <w:trHeight w:val="397"/>
          <w:tblHeader/>
        </w:trPr>
        <w:tc>
          <w:tcPr>
            <w:tcW w:w="512" w:type="pct"/>
            <w:shd w:val="clear" w:color="000000" w:fill="FFFFFF"/>
            <w:vAlign w:val="center"/>
          </w:tcPr>
          <w:p w14:paraId="23ABD0B0" w14:textId="77777777" w:rsidR="000A0ACD" w:rsidRDefault="00362A99">
            <w:pPr>
              <w:adjustRightInd w:val="0"/>
              <w:snapToGrid w:val="0"/>
              <w:jc w:val="center"/>
              <w:rPr>
                <w:rFonts w:ascii="Times New Roman" w:hAnsi="Times New Roman" w:cs="Times New Roman"/>
                <w:b/>
                <w:bCs/>
                <w:sz w:val="15"/>
                <w:szCs w:val="15"/>
              </w:rPr>
            </w:pPr>
            <w:bookmarkStart w:id="142" w:name="_Toc163542872"/>
            <w:bookmarkStart w:id="143" w:name="_Toc161394639"/>
            <w:r>
              <w:rPr>
                <w:rFonts w:ascii="Times New Roman" w:hAnsi="Times New Roman" w:cs="Times New Roman" w:hint="eastAsia"/>
                <w:b/>
                <w:bCs/>
                <w:sz w:val="15"/>
                <w:szCs w:val="15"/>
              </w:rPr>
              <w:t>对比公司名称</w:t>
            </w:r>
          </w:p>
        </w:tc>
        <w:tc>
          <w:tcPr>
            <w:tcW w:w="597" w:type="pct"/>
            <w:shd w:val="clear" w:color="000000" w:fill="FFFFFF"/>
            <w:vAlign w:val="center"/>
          </w:tcPr>
          <w:p w14:paraId="1171BA92" w14:textId="77777777" w:rsidR="000A0ACD" w:rsidRDefault="00362A99">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股票代码</w:t>
            </w:r>
          </w:p>
        </w:tc>
        <w:tc>
          <w:tcPr>
            <w:tcW w:w="427" w:type="pct"/>
            <w:shd w:val="clear" w:color="000000" w:fill="FFFFFF"/>
            <w:vAlign w:val="center"/>
          </w:tcPr>
          <w:p w14:paraId="530F2338" w14:textId="77777777" w:rsidR="000A0ACD" w:rsidRDefault="00362A99">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负息负债</w:t>
            </w:r>
            <w:r>
              <w:rPr>
                <w:rFonts w:ascii="Times New Roman" w:hAnsi="Times New Roman" w:cs="Times New Roman"/>
                <w:b/>
                <w:bCs/>
                <w:sz w:val="15"/>
                <w:szCs w:val="15"/>
              </w:rPr>
              <w:t>(D)</w:t>
            </w:r>
          </w:p>
        </w:tc>
        <w:tc>
          <w:tcPr>
            <w:tcW w:w="427" w:type="pct"/>
            <w:shd w:val="clear" w:color="000000" w:fill="FFFFFF"/>
            <w:vAlign w:val="center"/>
          </w:tcPr>
          <w:p w14:paraId="06C6ED52" w14:textId="77777777" w:rsidR="000A0ACD" w:rsidRDefault="00362A99">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债权比例</w:t>
            </w:r>
            <w:r>
              <w:rPr>
                <w:rFonts w:ascii="Times New Roman" w:hAnsi="Times New Roman" w:cs="Times New Roman"/>
                <w:b/>
                <w:bCs/>
                <w:sz w:val="15"/>
                <w:szCs w:val="15"/>
              </w:rPr>
              <w:t>(%)</w:t>
            </w:r>
          </w:p>
        </w:tc>
        <w:tc>
          <w:tcPr>
            <w:tcW w:w="512" w:type="pct"/>
            <w:shd w:val="clear" w:color="000000" w:fill="FFFFFF"/>
            <w:vAlign w:val="center"/>
          </w:tcPr>
          <w:p w14:paraId="188B0B54" w14:textId="77777777" w:rsidR="000A0ACD" w:rsidRDefault="00362A99">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股权公平市场价值</w:t>
            </w:r>
            <w:r>
              <w:rPr>
                <w:rFonts w:ascii="Times New Roman" w:hAnsi="Times New Roman" w:cs="Times New Roman"/>
                <w:b/>
                <w:bCs/>
                <w:sz w:val="15"/>
                <w:szCs w:val="15"/>
              </w:rPr>
              <w:t>(E)</w:t>
            </w:r>
          </w:p>
        </w:tc>
        <w:tc>
          <w:tcPr>
            <w:tcW w:w="426" w:type="pct"/>
            <w:shd w:val="clear" w:color="000000" w:fill="FFFFFF"/>
            <w:vAlign w:val="center"/>
          </w:tcPr>
          <w:p w14:paraId="293E5342" w14:textId="77777777" w:rsidR="000A0ACD" w:rsidRDefault="00362A99">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股权价值比例</w:t>
            </w:r>
            <w:r>
              <w:rPr>
                <w:rFonts w:ascii="Times New Roman" w:hAnsi="Times New Roman" w:cs="Times New Roman"/>
                <w:b/>
                <w:bCs/>
                <w:sz w:val="15"/>
                <w:szCs w:val="15"/>
              </w:rPr>
              <w:t>(%)</w:t>
            </w:r>
          </w:p>
        </w:tc>
        <w:tc>
          <w:tcPr>
            <w:tcW w:w="512" w:type="pct"/>
            <w:shd w:val="clear" w:color="000000" w:fill="FFFFFF"/>
            <w:vAlign w:val="center"/>
          </w:tcPr>
          <w:p w14:paraId="570CD83A" w14:textId="77777777" w:rsidR="000A0ACD" w:rsidRDefault="00362A99">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含资本结构因素的</w:t>
            </w:r>
            <w:r>
              <w:rPr>
                <w:rFonts w:ascii="Times New Roman" w:hAnsi="Times New Roman" w:cs="Times New Roman"/>
                <w:b/>
                <w:bCs/>
                <w:sz w:val="15"/>
                <w:szCs w:val="15"/>
              </w:rPr>
              <w:t>Beta(LeveredBeta)</w:t>
            </w:r>
          </w:p>
        </w:tc>
        <w:tc>
          <w:tcPr>
            <w:tcW w:w="683" w:type="pct"/>
            <w:shd w:val="clear" w:color="000000" w:fill="FFFFFF"/>
            <w:vAlign w:val="center"/>
          </w:tcPr>
          <w:p w14:paraId="22D00D54" w14:textId="77777777" w:rsidR="000A0ACD" w:rsidRDefault="00362A99">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剔除资本结构因素的</w:t>
            </w:r>
            <w:r>
              <w:rPr>
                <w:rFonts w:ascii="Times New Roman" w:hAnsi="Times New Roman" w:cs="Times New Roman"/>
                <w:b/>
                <w:bCs/>
                <w:sz w:val="15"/>
                <w:szCs w:val="15"/>
              </w:rPr>
              <w:t>Beta(UnleveredBeta)</w:t>
            </w:r>
          </w:p>
        </w:tc>
        <w:tc>
          <w:tcPr>
            <w:tcW w:w="427" w:type="pct"/>
            <w:shd w:val="clear" w:color="000000" w:fill="FFFFFF"/>
            <w:vAlign w:val="center"/>
          </w:tcPr>
          <w:p w14:paraId="229C0458" w14:textId="77777777" w:rsidR="000A0ACD" w:rsidRDefault="00362A99">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所得税税率</w:t>
            </w:r>
            <w:r>
              <w:rPr>
                <w:rFonts w:ascii="Times New Roman" w:hAnsi="Times New Roman" w:cs="Times New Roman"/>
                <w:b/>
                <w:bCs/>
                <w:sz w:val="15"/>
                <w:szCs w:val="15"/>
              </w:rPr>
              <w:t>(T)</w:t>
            </w:r>
          </w:p>
          <w:p w14:paraId="565F599E" w14:textId="77777777" w:rsidR="000A0ACD" w:rsidRDefault="00362A99">
            <w:pPr>
              <w:adjustRightInd w:val="0"/>
              <w:snapToGrid w:val="0"/>
              <w:jc w:val="center"/>
              <w:rPr>
                <w:rFonts w:ascii="Times New Roman" w:hAnsi="Times New Roman" w:cs="Times New Roman"/>
                <w:b/>
                <w:bCs/>
                <w:sz w:val="15"/>
                <w:szCs w:val="15"/>
              </w:rPr>
            </w:pPr>
            <w:r>
              <w:rPr>
                <w:rFonts w:ascii="Times New Roman" w:hAnsi="Times New Roman" w:cs="Times New Roman"/>
                <w:b/>
                <w:bCs/>
                <w:sz w:val="15"/>
                <w:szCs w:val="15"/>
              </w:rPr>
              <w:t>(%)</w:t>
            </w:r>
          </w:p>
        </w:tc>
        <w:tc>
          <w:tcPr>
            <w:tcW w:w="477" w:type="pct"/>
            <w:shd w:val="clear" w:color="000000" w:fill="FFFFFF"/>
            <w:vAlign w:val="center"/>
          </w:tcPr>
          <w:p w14:paraId="22FDDE56" w14:textId="77777777" w:rsidR="000A0ACD" w:rsidRDefault="00362A99">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股权收益率</w:t>
            </w:r>
            <w:r>
              <w:rPr>
                <w:rFonts w:ascii="Times New Roman" w:hAnsi="Times New Roman" w:cs="Times New Roman"/>
                <w:b/>
                <w:bCs/>
                <w:sz w:val="15"/>
                <w:szCs w:val="15"/>
              </w:rPr>
              <w:t>(CAPM)(%)</w:t>
            </w:r>
          </w:p>
        </w:tc>
      </w:tr>
      <w:tr w:rsidR="000A0ACD" w14:paraId="4A263820" w14:textId="77777777">
        <w:trPr>
          <w:trHeight w:val="397"/>
        </w:trPr>
        <w:tc>
          <w:tcPr>
            <w:tcW w:w="512" w:type="pct"/>
            <w:shd w:val="clear" w:color="000000" w:fill="FFFFFF"/>
            <w:vAlign w:val="center"/>
          </w:tcPr>
          <w:p w14:paraId="4CF616B5" w14:textId="77777777" w:rsidR="000A0ACD" w:rsidRDefault="00362A99">
            <w:pPr>
              <w:adjustRightInd w:val="0"/>
              <w:snapToGrid w:val="0"/>
              <w:jc w:val="center"/>
              <w:rPr>
                <w:rFonts w:ascii="Times New Roman" w:hAnsi="Times New Roman" w:cs="Times New Roman"/>
                <w:sz w:val="15"/>
                <w:szCs w:val="15"/>
              </w:rPr>
            </w:pPr>
            <w:r>
              <w:rPr>
                <w:rFonts w:ascii="Times New Roman" w:hAnsi="Times New Roman" w:cs="Times New Roman" w:hint="eastAsia"/>
                <w:sz w:val="15"/>
                <w:szCs w:val="15"/>
              </w:rPr>
              <w:t>永创智能</w:t>
            </w:r>
          </w:p>
        </w:tc>
        <w:tc>
          <w:tcPr>
            <w:tcW w:w="597" w:type="pct"/>
            <w:shd w:val="clear" w:color="000000" w:fill="FFFFFF"/>
            <w:noWrap/>
            <w:vAlign w:val="center"/>
          </w:tcPr>
          <w:p w14:paraId="17D1F679"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603901</w:t>
            </w:r>
          </w:p>
        </w:tc>
        <w:tc>
          <w:tcPr>
            <w:tcW w:w="427" w:type="pct"/>
            <w:shd w:val="clear" w:color="000000" w:fill="FFFFFF"/>
            <w:noWrap/>
            <w:vAlign w:val="center"/>
          </w:tcPr>
          <w:p w14:paraId="6CE94437"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85,186</w:t>
            </w:r>
          </w:p>
        </w:tc>
        <w:tc>
          <w:tcPr>
            <w:tcW w:w="427" w:type="pct"/>
            <w:shd w:val="clear" w:color="000000" w:fill="FFFFFF"/>
            <w:noWrap/>
            <w:vAlign w:val="center"/>
          </w:tcPr>
          <w:p w14:paraId="4BEADE07"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15.41</w:t>
            </w:r>
          </w:p>
        </w:tc>
        <w:tc>
          <w:tcPr>
            <w:tcW w:w="512" w:type="pct"/>
            <w:shd w:val="clear" w:color="000000" w:fill="FFFFFF"/>
            <w:noWrap/>
            <w:vAlign w:val="center"/>
          </w:tcPr>
          <w:p w14:paraId="0C5489B0"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467,510</w:t>
            </w:r>
          </w:p>
        </w:tc>
        <w:tc>
          <w:tcPr>
            <w:tcW w:w="426" w:type="pct"/>
            <w:shd w:val="clear" w:color="000000" w:fill="FFFFFF"/>
            <w:noWrap/>
            <w:vAlign w:val="center"/>
          </w:tcPr>
          <w:p w14:paraId="2232E1EE"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84.6</w:t>
            </w:r>
          </w:p>
        </w:tc>
        <w:tc>
          <w:tcPr>
            <w:tcW w:w="512" w:type="pct"/>
            <w:shd w:val="clear" w:color="000000" w:fill="FFFFFF"/>
            <w:noWrap/>
            <w:vAlign w:val="center"/>
          </w:tcPr>
          <w:p w14:paraId="15123BC2"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0.8857</w:t>
            </w:r>
          </w:p>
        </w:tc>
        <w:tc>
          <w:tcPr>
            <w:tcW w:w="683" w:type="pct"/>
            <w:shd w:val="clear" w:color="000000" w:fill="FFFFFF"/>
            <w:noWrap/>
            <w:vAlign w:val="center"/>
          </w:tcPr>
          <w:p w14:paraId="778B4236"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0.7669</w:t>
            </w:r>
          </w:p>
        </w:tc>
        <w:tc>
          <w:tcPr>
            <w:tcW w:w="427" w:type="pct"/>
            <w:shd w:val="clear" w:color="000000" w:fill="FFFFFF"/>
            <w:noWrap/>
            <w:vAlign w:val="center"/>
          </w:tcPr>
          <w:p w14:paraId="34780F6C"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15</w:t>
            </w:r>
          </w:p>
        </w:tc>
        <w:tc>
          <w:tcPr>
            <w:tcW w:w="477" w:type="pct"/>
            <w:shd w:val="clear" w:color="000000" w:fill="FFFFFF"/>
            <w:noWrap/>
            <w:vAlign w:val="center"/>
          </w:tcPr>
          <w:p w14:paraId="7CF47B2C"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0A0ACD" w14:paraId="2DA84688" w14:textId="77777777">
        <w:trPr>
          <w:trHeight w:val="397"/>
        </w:trPr>
        <w:tc>
          <w:tcPr>
            <w:tcW w:w="512" w:type="pct"/>
            <w:shd w:val="clear" w:color="000000" w:fill="FFFFFF"/>
            <w:vAlign w:val="center"/>
          </w:tcPr>
          <w:p w14:paraId="37440841" w14:textId="77777777" w:rsidR="000A0ACD" w:rsidRDefault="00362A99">
            <w:pPr>
              <w:adjustRightInd w:val="0"/>
              <w:snapToGrid w:val="0"/>
              <w:jc w:val="center"/>
              <w:rPr>
                <w:rFonts w:ascii="Times New Roman" w:hAnsi="Times New Roman" w:cs="Times New Roman"/>
                <w:sz w:val="15"/>
                <w:szCs w:val="15"/>
              </w:rPr>
            </w:pPr>
            <w:r>
              <w:rPr>
                <w:rFonts w:ascii="Times New Roman" w:hAnsi="Times New Roman" w:cs="Times New Roman" w:hint="eastAsia"/>
                <w:sz w:val="15"/>
                <w:szCs w:val="15"/>
              </w:rPr>
              <w:t>快克股份</w:t>
            </w:r>
          </w:p>
        </w:tc>
        <w:tc>
          <w:tcPr>
            <w:tcW w:w="597" w:type="pct"/>
            <w:shd w:val="clear" w:color="000000" w:fill="FFFFFF"/>
            <w:noWrap/>
            <w:vAlign w:val="center"/>
          </w:tcPr>
          <w:p w14:paraId="47FD7D47"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603203</w:t>
            </w:r>
          </w:p>
        </w:tc>
        <w:tc>
          <w:tcPr>
            <w:tcW w:w="427" w:type="pct"/>
            <w:shd w:val="clear" w:color="000000" w:fill="FFFFFF"/>
            <w:noWrap/>
            <w:vAlign w:val="center"/>
          </w:tcPr>
          <w:p w14:paraId="62BBFA90"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2,944</w:t>
            </w:r>
          </w:p>
        </w:tc>
        <w:tc>
          <w:tcPr>
            <w:tcW w:w="427" w:type="pct"/>
            <w:shd w:val="clear" w:color="000000" w:fill="FFFFFF"/>
            <w:noWrap/>
            <w:vAlign w:val="center"/>
          </w:tcPr>
          <w:p w14:paraId="6088441F"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0.67</w:t>
            </w:r>
          </w:p>
        </w:tc>
        <w:tc>
          <w:tcPr>
            <w:tcW w:w="512" w:type="pct"/>
            <w:shd w:val="clear" w:color="000000" w:fill="FFFFFF"/>
            <w:noWrap/>
            <w:vAlign w:val="center"/>
          </w:tcPr>
          <w:p w14:paraId="66AA42FC"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435,940</w:t>
            </w:r>
          </w:p>
        </w:tc>
        <w:tc>
          <w:tcPr>
            <w:tcW w:w="426" w:type="pct"/>
            <w:shd w:val="clear" w:color="000000" w:fill="FFFFFF"/>
            <w:noWrap/>
            <w:vAlign w:val="center"/>
          </w:tcPr>
          <w:p w14:paraId="2CD8A2B4"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99.3</w:t>
            </w:r>
          </w:p>
        </w:tc>
        <w:tc>
          <w:tcPr>
            <w:tcW w:w="512" w:type="pct"/>
            <w:shd w:val="clear" w:color="000000" w:fill="FFFFFF"/>
            <w:noWrap/>
            <w:vAlign w:val="center"/>
          </w:tcPr>
          <w:p w14:paraId="0DE68F1D"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1.1967</w:t>
            </w:r>
          </w:p>
        </w:tc>
        <w:tc>
          <w:tcPr>
            <w:tcW w:w="683" w:type="pct"/>
            <w:shd w:val="clear" w:color="000000" w:fill="FFFFFF"/>
            <w:noWrap/>
            <w:vAlign w:val="center"/>
          </w:tcPr>
          <w:p w14:paraId="610CF618"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1.1899</w:t>
            </w:r>
          </w:p>
        </w:tc>
        <w:tc>
          <w:tcPr>
            <w:tcW w:w="427" w:type="pct"/>
            <w:shd w:val="clear" w:color="000000" w:fill="FFFFFF"/>
            <w:noWrap/>
            <w:vAlign w:val="center"/>
          </w:tcPr>
          <w:p w14:paraId="4949D727"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15</w:t>
            </w:r>
          </w:p>
        </w:tc>
        <w:tc>
          <w:tcPr>
            <w:tcW w:w="477" w:type="pct"/>
            <w:shd w:val="clear" w:color="000000" w:fill="FFFFFF"/>
            <w:noWrap/>
            <w:vAlign w:val="center"/>
          </w:tcPr>
          <w:p w14:paraId="30CFC43E"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0A0ACD" w14:paraId="2094DE63" w14:textId="77777777">
        <w:trPr>
          <w:trHeight w:val="397"/>
        </w:trPr>
        <w:tc>
          <w:tcPr>
            <w:tcW w:w="512" w:type="pct"/>
            <w:shd w:val="clear" w:color="000000" w:fill="FFFFFF"/>
            <w:vAlign w:val="center"/>
          </w:tcPr>
          <w:p w14:paraId="2BA6983D" w14:textId="77777777" w:rsidR="000A0ACD" w:rsidRDefault="00362A99">
            <w:pPr>
              <w:adjustRightInd w:val="0"/>
              <w:snapToGrid w:val="0"/>
              <w:jc w:val="center"/>
              <w:rPr>
                <w:rFonts w:ascii="Times New Roman" w:hAnsi="Times New Roman" w:cs="Times New Roman"/>
                <w:sz w:val="15"/>
                <w:szCs w:val="15"/>
              </w:rPr>
            </w:pPr>
            <w:r>
              <w:rPr>
                <w:rFonts w:ascii="Times New Roman" w:hAnsi="Times New Roman" w:cs="Times New Roman" w:hint="eastAsia"/>
                <w:sz w:val="15"/>
                <w:szCs w:val="15"/>
              </w:rPr>
              <w:t>拓斯达</w:t>
            </w:r>
          </w:p>
        </w:tc>
        <w:tc>
          <w:tcPr>
            <w:tcW w:w="597" w:type="pct"/>
            <w:shd w:val="clear" w:color="000000" w:fill="FFFFFF"/>
            <w:vAlign w:val="center"/>
          </w:tcPr>
          <w:p w14:paraId="312B24EB"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300607</w:t>
            </w:r>
          </w:p>
        </w:tc>
        <w:tc>
          <w:tcPr>
            <w:tcW w:w="427" w:type="pct"/>
            <w:shd w:val="clear" w:color="000000" w:fill="FFFFFF"/>
            <w:noWrap/>
            <w:vAlign w:val="center"/>
          </w:tcPr>
          <w:p w14:paraId="5F340D28"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33,453</w:t>
            </w:r>
          </w:p>
        </w:tc>
        <w:tc>
          <w:tcPr>
            <w:tcW w:w="427" w:type="pct"/>
            <w:shd w:val="clear" w:color="000000" w:fill="FFFFFF"/>
            <w:noWrap/>
            <w:vAlign w:val="center"/>
          </w:tcPr>
          <w:p w14:paraId="6AE9A3CD"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4.52</w:t>
            </w:r>
          </w:p>
        </w:tc>
        <w:tc>
          <w:tcPr>
            <w:tcW w:w="512" w:type="pct"/>
            <w:shd w:val="clear" w:color="000000" w:fill="FFFFFF"/>
            <w:noWrap/>
            <w:vAlign w:val="center"/>
          </w:tcPr>
          <w:p w14:paraId="203DDB5F"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707,126</w:t>
            </w:r>
          </w:p>
        </w:tc>
        <w:tc>
          <w:tcPr>
            <w:tcW w:w="426" w:type="pct"/>
            <w:shd w:val="clear" w:color="000000" w:fill="FFFFFF"/>
            <w:noWrap/>
            <w:vAlign w:val="center"/>
          </w:tcPr>
          <w:p w14:paraId="00159492"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95.5</w:t>
            </w:r>
          </w:p>
        </w:tc>
        <w:tc>
          <w:tcPr>
            <w:tcW w:w="512" w:type="pct"/>
            <w:shd w:val="clear" w:color="000000" w:fill="FFFFFF"/>
            <w:noWrap/>
            <w:vAlign w:val="center"/>
          </w:tcPr>
          <w:p w14:paraId="56F15C56"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0.8019</w:t>
            </w:r>
          </w:p>
        </w:tc>
        <w:tc>
          <w:tcPr>
            <w:tcW w:w="683" w:type="pct"/>
            <w:shd w:val="clear" w:color="000000" w:fill="FFFFFF"/>
            <w:noWrap/>
            <w:vAlign w:val="center"/>
          </w:tcPr>
          <w:p w14:paraId="04702B09"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0.7709</w:t>
            </w:r>
          </w:p>
        </w:tc>
        <w:tc>
          <w:tcPr>
            <w:tcW w:w="427" w:type="pct"/>
            <w:shd w:val="clear" w:color="000000" w:fill="FFFFFF"/>
            <w:noWrap/>
            <w:vAlign w:val="center"/>
          </w:tcPr>
          <w:p w14:paraId="5E2FA693"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15</w:t>
            </w:r>
          </w:p>
        </w:tc>
        <w:tc>
          <w:tcPr>
            <w:tcW w:w="477" w:type="pct"/>
            <w:shd w:val="clear" w:color="000000" w:fill="FFFFFF"/>
            <w:vAlign w:val="center"/>
          </w:tcPr>
          <w:p w14:paraId="651638FB"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0A0ACD" w14:paraId="13DD2C8F" w14:textId="77777777">
        <w:trPr>
          <w:trHeight w:val="397"/>
        </w:trPr>
        <w:tc>
          <w:tcPr>
            <w:tcW w:w="1108" w:type="pct"/>
            <w:gridSpan w:val="2"/>
            <w:shd w:val="clear" w:color="000000" w:fill="FFFFFF"/>
            <w:vAlign w:val="center"/>
          </w:tcPr>
          <w:p w14:paraId="0A243058" w14:textId="77777777" w:rsidR="000A0ACD" w:rsidRDefault="00362A99">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对比公司</w:t>
            </w:r>
            <w:r>
              <w:rPr>
                <w:rFonts w:ascii="Times New Roman" w:hAnsi="Times New Roman" w:cs="Times New Roman"/>
                <w:sz w:val="15"/>
                <w:szCs w:val="15"/>
              </w:rPr>
              <w:t>UnleveredBeta</w:t>
            </w:r>
            <w:r>
              <w:rPr>
                <w:rFonts w:ascii="Times New Roman" w:hAnsi="Times New Roman" w:cs="Times New Roman"/>
                <w:sz w:val="15"/>
                <w:szCs w:val="15"/>
              </w:rPr>
              <w:t>平均值</w:t>
            </w:r>
          </w:p>
        </w:tc>
        <w:tc>
          <w:tcPr>
            <w:tcW w:w="427" w:type="pct"/>
            <w:shd w:val="clear" w:color="000000" w:fill="FFFFFF"/>
            <w:noWrap/>
            <w:vAlign w:val="center"/>
          </w:tcPr>
          <w:p w14:paraId="295F522C"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8E03049"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5BA9333D"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051F9962"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284BFF7F"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06957C23"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0.9092</w:t>
            </w:r>
          </w:p>
        </w:tc>
        <w:tc>
          <w:tcPr>
            <w:tcW w:w="427" w:type="pct"/>
            <w:shd w:val="clear" w:color="000000" w:fill="FFFFFF"/>
            <w:noWrap/>
            <w:vAlign w:val="center"/>
          </w:tcPr>
          <w:p w14:paraId="2FC80BC1"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2877B811"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0A0ACD" w14:paraId="4053C66C" w14:textId="77777777">
        <w:trPr>
          <w:trHeight w:val="397"/>
        </w:trPr>
        <w:tc>
          <w:tcPr>
            <w:tcW w:w="1108" w:type="pct"/>
            <w:gridSpan w:val="2"/>
            <w:shd w:val="clear" w:color="000000" w:fill="FFFFFF"/>
            <w:vAlign w:val="center"/>
          </w:tcPr>
          <w:p w14:paraId="27032F42" w14:textId="77777777" w:rsidR="000A0ACD" w:rsidRDefault="00362A99">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对比公司平均资本结构</w:t>
            </w:r>
          </w:p>
        </w:tc>
        <w:tc>
          <w:tcPr>
            <w:tcW w:w="427" w:type="pct"/>
            <w:shd w:val="clear" w:color="000000" w:fill="FFFFFF"/>
            <w:noWrap/>
            <w:vAlign w:val="center"/>
          </w:tcPr>
          <w:p w14:paraId="4038D17E"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5EC9926F"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6.9</w:t>
            </w:r>
          </w:p>
        </w:tc>
        <w:tc>
          <w:tcPr>
            <w:tcW w:w="512" w:type="pct"/>
            <w:shd w:val="clear" w:color="000000" w:fill="FFFFFF"/>
            <w:noWrap/>
            <w:vAlign w:val="center"/>
          </w:tcPr>
          <w:p w14:paraId="760386FC"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005E6983"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93.1</w:t>
            </w:r>
          </w:p>
        </w:tc>
        <w:tc>
          <w:tcPr>
            <w:tcW w:w="512" w:type="pct"/>
            <w:shd w:val="clear" w:color="000000" w:fill="FFFFFF"/>
            <w:noWrap/>
            <w:vAlign w:val="center"/>
          </w:tcPr>
          <w:p w14:paraId="410272B9"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15F7FC87"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659F7652"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318B193B"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0A0ACD" w14:paraId="562AC18F" w14:textId="77777777">
        <w:trPr>
          <w:trHeight w:val="397"/>
        </w:trPr>
        <w:tc>
          <w:tcPr>
            <w:tcW w:w="1108" w:type="pct"/>
            <w:gridSpan w:val="2"/>
            <w:shd w:val="clear" w:color="000000" w:fill="FFFFFF"/>
            <w:vAlign w:val="center"/>
          </w:tcPr>
          <w:p w14:paraId="68EFFCD7" w14:textId="77777777" w:rsidR="000A0ACD" w:rsidRDefault="00362A99">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被评估企业账面资本结构</w:t>
            </w:r>
          </w:p>
        </w:tc>
        <w:tc>
          <w:tcPr>
            <w:tcW w:w="427" w:type="pct"/>
            <w:shd w:val="clear" w:color="000000" w:fill="FFFFFF"/>
            <w:noWrap/>
            <w:vAlign w:val="center"/>
          </w:tcPr>
          <w:p w14:paraId="59C3BB9D"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5016B5F"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0.0</w:t>
            </w:r>
          </w:p>
        </w:tc>
        <w:tc>
          <w:tcPr>
            <w:tcW w:w="512" w:type="pct"/>
            <w:shd w:val="clear" w:color="000000" w:fill="FFFFFF"/>
            <w:noWrap/>
            <w:vAlign w:val="center"/>
          </w:tcPr>
          <w:p w14:paraId="62810695"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516,177</w:t>
            </w:r>
          </w:p>
        </w:tc>
        <w:tc>
          <w:tcPr>
            <w:tcW w:w="426" w:type="pct"/>
            <w:shd w:val="clear" w:color="000000" w:fill="FFFFFF"/>
            <w:noWrap/>
            <w:vAlign w:val="center"/>
          </w:tcPr>
          <w:p w14:paraId="0AE671A0"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100.0</w:t>
            </w:r>
          </w:p>
        </w:tc>
        <w:tc>
          <w:tcPr>
            <w:tcW w:w="512" w:type="pct"/>
            <w:shd w:val="clear" w:color="000000" w:fill="FFFFFF"/>
            <w:noWrap/>
            <w:vAlign w:val="center"/>
          </w:tcPr>
          <w:p w14:paraId="45A1C564"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6A1E64FE"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2B15520C"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6BF94DCE"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0A0ACD" w14:paraId="0587BAF2" w14:textId="77777777">
        <w:trPr>
          <w:trHeight w:val="397"/>
        </w:trPr>
        <w:tc>
          <w:tcPr>
            <w:tcW w:w="1108" w:type="pct"/>
            <w:gridSpan w:val="2"/>
            <w:shd w:val="clear" w:color="000000" w:fill="FFFFFF"/>
            <w:vAlign w:val="center"/>
          </w:tcPr>
          <w:p w14:paraId="4150702D" w14:textId="77777777" w:rsidR="000A0ACD" w:rsidRDefault="00362A99">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被评估企业的目标资本结构</w:t>
            </w:r>
          </w:p>
        </w:tc>
        <w:tc>
          <w:tcPr>
            <w:tcW w:w="427" w:type="pct"/>
            <w:shd w:val="clear" w:color="000000" w:fill="FFFFFF"/>
            <w:noWrap/>
            <w:vAlign w:val="center"/>
          </w:tcPr>
          <w:p w14:paraId="45EC5766"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16E1B0DC"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6.9</w:t>
            </w:r>
          </w:p>
        </w:tc>
        <w:tc>
          <w:tcPr>
            <w:tcW w:w="512" w:type="pct"/>
            <w:shd w:val="clear" w:color="000000" w:fill="FFFFFF"/>
            <w:noWrap/>
            <w:vAlign w:val="center"/>
          </w:tcPr>
          <w:p w14:paraId="6B4AA25D"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2943BDB3"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93.1</w:t>
            </w:r>
          </w:p>
        </w:tc>
        <w:tc>
          <w:tcPr>
            <w:tcW w:w="512" w:type="pct"/>
            <w:shd w:val="clear" w:color="000000" w:fill="FFFFFF"/>
            <w:noWrap/>
            <w:vAlign w:val="center"/>
          </w:tcPr>
          <w:p w14:paraId="26D155DE"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0.9662</w:t>
            </w:r>
          </w:p>
        </w:tc>
        <w:tc>
          <w:tcPr>
            <w:tcW w:w="683" w:type="pct"/>
            <w:shd w:val="clear" w:color="000000" w:fill="FFFFFF"/>
            <w:noWrap/>
            <w:vAlign w:val="center"/>
          </w:tcPr>
          <w:p w14:paraId="47D7F752"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337DE2E"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15</w:t>
            </w:r>
          </w:p>
        </w:tc>
        <w:tc>
          <w:tcPr>
            <w:tcW w:w="477" w:type="pct"/>
            <w:shd w:val="clear" w:color="000000" w:fill="FFFFFF"/>
            <w:noWrap/>
            <w:vAlign w:val="center"/>
          </w:tcPr>
          <w:p w14:paraId="515358EF"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0A0ACD" w14:paraId="1BE556C2" w14:textId="77777777">
        <w:trPr>
          <w:trHeight w:val="397"/>
        </w:trPr>
        <w:tc>
          <w:tcPr>
            <w:tcW w:w="1108" w:type="pct"/>
            <w:gridSpan w:val="2"/>
            <w:shd w:val="clear" w:color="000000" w:fill="FFFFFF"/>
            <w:vAlign w:val="center"/>
          </w:tcPr>
          <w:p w14:paraId="431B7B87" w14:textId="77777777" w:rsidR="000A0ACD" w:rsidRDefault="00362A99">
            <w:pPr>
              <w:adjustRightInd w:val="0"/>
              <w:snapToGrid w:val="0"/>
              <w:rPr>
                <w:rFonts w:ascii="Times New Roman" w:hAnsi="Times New Roman" w:cs="Times New Roman"/>
                <w:sz w:val="15"/>
                <w:szCs w:val="15"/>
              </w:rPr>
            </w:pPr>
            <w:r>
              <w:rPr>
                <w:rFonts w:ascii="Times New Roman" w:hAnsi="Times New Roman" w:cs="Times New Roman"/>
                <w:sz w:val="15"/>
                <w:szCs w:val="15"/>
              </w:rPr>
              <w:t>Beta</w:t>
            </w:r>
            <w:r>
              <w:rPr>
                <w:rFonts w:ascii="Times New Roman" w:hAnsi="Times New Roman" w:cs="Times New Roman"/>
                <w:sz w:val="15"/>
                <w:szCs w:val="15"/>
              </w:rPr>
              <w:t>系数的</w:t>
            </w:r>
            <w:r>
              <w:rPr>
                <w:rFonts w:ascii="Times New Roman" w:hAnsi="Times New Roman" w:cs="Times New Roman"/>
                <w:sz w:val="15"/>
                <w:szCs w:val="15"/>
              </w:rPr>
              <w:t>Blume</w:t>
            </w:r>
            <w:r>
              <w:rPr>
                <w:rFonts w:ascii="Times New Roman" w:hAnsi="Times New Roman" w:cs="Times New Roman"/>
                <w:sz w:val="15"/>
                <w:szCs w:val="15"/>
              </w:rPr>
              <w:t>调整</w:t>
            </w:r>
          </w:p>
        </w:tc>
        <w:tc>
          <w:tcPr>
            <w:tcW w:w="427" w:type="pct"/>
            <w:shd w:val="clear" w:color="000000" w:fill="FFFFFF"/>
            <w:noWrap/>
            <w:vAlign w:val="center"/>
          </w:tcPr>
          <w:p w14:paraId="105ECAEE"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1F9BBA9E"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3453150B"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725B1212"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2AD13CE5"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0.9781</w:t>
            </w:r>
          </w:p>
        </w:tc>
        <w:tc>
          <w:tcPr>
            <w:tcW w:w="683" w:type="pct"/>
            <w:shd w:val="clear" w:color="000000" w:fill="FFFFFF"/>
            <w:noWrap/>
            <w:vAlign w:val="center"/>
          </w:tcPr>
          <w:p w14:paraId="3819D683"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524737B4"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1130E59C"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0A0ACD" w14:paraId="17897C10" w14:textId="77777777">
        <w:trPr>
          <w:trHeight w:val="397"/>
        </w:trPr>
        <w:tc>
          <w:tcPr>
            <w:tcW w:w="1108" w:type="pct"/>
            <w:gridSpan w:val="2"/>
            <w:shd w:val="clear" w:color="000000" w:fill="FFFFFF"/>
            <w:vAlign w:val="center"/>
          </w:tcPr>
          <w:p w14:paraId="483E1616" w14:textId="77777777" w:rsidR="000A0ACD" w:rsidRDefault="00362A99">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无风险收益率</w:t>
            </w:r>
            <w:r>
              <w:rPr>
                <w:rFonts w:ascii="Times New Roman" w:hAnsi="Times New Roman" w:cs="Times New Roman"/>
                <w:sz w:val="15"/>
                <w:szCs w:val="15"/>
              </w:rPr>
              <w:t>(Rf)</w:t>
            </w:r>
          </w:p>
        </w:tc>
        <w:tc>
          <w:tcPr>
            <w:tcW w:w="427" w:type="pct"/>
            <w:shd w:val="clear" w:color="000000" w:fill="FFFFFF"/>
            <w:noWrap/>
            <w:vAlign w:val="center"/>
          </w:tcPr>
          <w:p w14:paraId="10E21A05"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D0CE4FE"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02B9C070"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2B184C33"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5E300D41"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74796774"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7082BC1B"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62775875"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4.06</w:t>
            </w:r>
          </w:p>
        </w:tc>
      </w:tr>
      <w:tr w:rsidR="000A0ACD" w14:paraId="2844701F" w14:textId="77777777">
        <w:trPr>
          <w:trHeight w:val="397"/>
        </w:trPr>
        <w:tc>
          <w:tcPr>
            <w:tcW w:w="1108" w:type="pct"/>
            <w:gridSpan w:val="2"/>
            <w:shd w:val="clear" w:color="000000" w:fill="FFFFFF"/>
            <w:vAlign w:val="center"/>
          </w:tcPr>
          <w:p w14:paraId="10693972" w14:textId="77777777" w:rsidR="000A0ACD" w:rsidRDefault="00362A99">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超额风险收益率</w:t>
            </w:r>
            <w:r>
              <w:rPr>
                <w:rFonts w:ascii="Times New Roman" w:hAnsi="Times New Roman" w:cs="Times New Roman"/>
                <w:sz w:val="15"/>
                <w:szCs w:val="15"/>
              </w:rPr>
              <w:t>(Rf-Rm)</w:t>
            </w:r>
          </w:p>
        </w:tc>
        <w:tc>
          <w:tcPr>
            <w:tcW w:w="427" w:type="pct"/>
            <w:shd w:val="clear" w:color="000000" w:fill="FFFFFF"/>
            <w:noWrap/>
            <w:vAlign w:val="center"/>
          </w:tcPr>
          <w:p w14:paraId="2FCD96C4"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7D1DBA8F"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788B0C96"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096ED473"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7BD9004A"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4EECFFC8"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751D80E2"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07E64728"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6.33</w:t>
            </w:r>
          </w:p>
        </w:tc>
      </w:tr>
      <w:tr w:rsidR="000A0ACD" w14:paraId="41555857" w14:textId="77777777">
        <w:trPr>
          <w:trHeight w:val="397"/>
        </w:trPr>
        <w:tc>
          <w:tcPr>
            <w:tcW w:w="1108" w:type="pct"/>
            <w:gridSpan w:val="2"/>
            <w:shd w:val="clear" w:color="000000" w:fill="FFFFFF"/>
            <w:vAlign w:val="center"/>
          </w:tcPr>
          <w:p w14:paraId="648E1DA4" w14:textId="77777777" w:rsidR="000A0ACD" w:rsidRDefault="00362A99">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公司特有风险超额收益率</w:t>
            </w:r>
            <w:r>
              <w:rPr>
                <w:rFonts w:ascii="Times New Roman" w:hAnsi="Times New Roman" w:cs="Times New Roman"/>
                <w:sz w:val="15"/>
                <w:szCs w:val="15"/>
              </w:rPr>
              <w:t>(Rs)</w:t>
            </w:r>
          </w:p>
        </w:tc>
        <w:tc>
          <w:tcPr>
            <w:tcW w:w="427" w:type="pct"/>
            <w:shd w:val="clear" w:color="000000" w:fill="FFFFFF"/>
            <w:noWrap/>
            <w:vAlign w:val="center"/>
          </w:tcPr>
          <w:p w14:paraId="3B140840"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0A8D59C4"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6BB977DC"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453833F3"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182DC307"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2E9F9D8A"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3C6B813D"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0349CD4B"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4.00</w:t>
            </w:r>
          </w:p>
        </w:tc>
      </w:tr>
      <w:tr w:rsidR="000A0ACD" w14:paraId="682C706C" w14:textId="77777777">
        <w:trPr>
          <w:trHeight w:val="397"/>
        </w:trPr>
        <w:tc>
          <w:tcPr>
            <w:tcW w:w="1108" w:type="pct"/>
            <w:gridSpan w:val="2"/>
            <w:shd w:val="clear" w:color="000000" w:fill="FFFFFF"/>
            <w:vAlign w:val="center"/>
          </w:tcPr>
          <w:p w14:paraId="022ACDE4" w14:textId="77777777" w:rsidR="000A0ACD" w:rsidRDefault="00362A99">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股权收益率</w:t>
            </w:r>
            <w:r>
              <w:rPr>
                <w:rFonts w:ascii="Times New Roman" w:hAnsi="Times New Roman" w:cs="Times New Roman"/>
                <w:sz w:val="15"/>
                <w:szCs w:val="15"/>
              </w:rPr>
              <w:t>(Re)</w:t>
            </w:r>
          </w:p>
        </w:tc>
        <w:tc>
          <w:tcPr>
            <w:tcW w:w="427" w:type="pct"/>
            <w:shd w:val="clear" w:color="000000" w:fill="FFFFFF"/>
            <w:noWrap/>
            <w:vAlign w:val="center"/>
          </w:tcPr>
          <w:p w14:paraId="3F29447F"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2D359D79"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7CE6F38F"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431AB587"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72B2CA31"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5003A4F3"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36DBCE87"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298ED920"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14.25</w:t>
            </w:r>
          </w:p>
        </w:tc>
      </w:tr>
      <w:tr w:rsidR="000A0ACD" w14:paraId="08116423" w14:textId="77777777">
        <w:trPr>
          <w:trHeight w:val="397"/>
        </w:trPr>
        <w:tc>
          <w:tcPr>
            <w:tcW w:w="1108" w:type="pct"/>
            <w:gridSpan w:val="2"/>
            <w:shd w:val="clear" w:color="000000" w:fill="FFFFFF"/>
            <w:vAlign w:val="center"/>
          </w:tcPr>
          <w:p w14:paraId="0BE1CA3C" w14:textId="77777777" w:rsidR="000A0ACD" w:rsidRDefault="00362A99">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债权收益率</w:t>
            </w:r>
            <w:r>
              <w:rPr>
                <w:rFonts w:ascii="Times New Roman" w:hAnsi="Times New Roman" w:cs="Times New Roman"/>
                <w:sz w:val="15"/>
                <w:szCs w:val="15"/>
              </w:rPr>
              <w:t>(Rd)</w:t>
            </w:r>
          </w:p>
        </w:tc>
        <w:tc>
          <w:tcPr>
            <w:tcW w:w="427" w:type="pct"/>
            <w:shd w:val="clear" w:color="000000" w:fill="FFFFFF"/>
            <w:noWrap/>
            <w:vAlign w:val="center"/>
          </w:tcPr>
          <w:p w14:paraId="701821F5"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68DB9CC0"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4C196F8E"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06D97374"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5F2EECF3"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26450EE1"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2589718"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5BA946E3"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4.35</w:t>
            </w:r>
          </w:p>
        </w:tc>
      </w:tr>
      <w:tr w:rsidR="000A0ACD" w14:paraId="594230C8" w14:textId="77777777">
        <w:trPr>
          <w:trHeight w:val="397"/>
        </w:trPr>
        <w:tc>
          <w:tcPr>
            <w:tcW w:w="1108" w:type="pct"/>
            <w:gridSpan w:val="2"/>
            <w:shd w:val="clear" w:color="000000" w:fill="FFFFFF"/>
            <w:vAlign w:val="center"/>
          </w:tcPr>
          <w:p w14:paraId="1E3B34E2" w14:textId="77777777" w:rsidR="000A0ACD" w:rsidRDefault="00362A99">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加权资金成本</w:t>
            </w:r>
            <w:r>
              <w:rPr>
                <w:rFonts w:ascii="Times New Roman" w:hAnsi="Times New Roman" w:cs="Times New Roman"/>
                <w:sz w:val="15"/>
                <w:szCs w:val="15"/>
              </w:rPr>
              <w:t>(WACC)</w:t>
            </w:r>
          </w:p>
        </w:tc>
        <w:tc>
          <w:tcPr>
            <w:tcW w:w="427" w:type="pct"/>
            <w:shd w:val="clear" w:color="000000" w:fill="FFFFFF"/>
            <w:noWrap/>
            <w:vAlign w:val="center"/>
          </w:tcPr>
          <w:p w14:paraId="60689558"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2736499B"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68B283B7"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2373FD77"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33CF8CFB"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3C604F5A"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55D10530"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4EC0E5F1" w14:textId="77777777" w:rsidR="000A0ACD" w:rsidRDefault="00362A99">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13.5</w:t>
            </w:r>
          </w:p>
        </w:tc>
      </w:tr>
      <w:tr w:rsidR="000A0ACD" w14:paraId="62F3B88A" w14:textId="77777777">
        <w:trPr>
          <w:trHeight w:val="397"/>
        </w:trPr>
        <w:tc>
          <w:tcPr>
            <w:tcW w:w="1108" w:type="pct"/>
            <w:gridSpan w:val="2"/>
            <w:shd w:val="clear" w:color="000000" w:fill="FFFFFF"/>
            <w:noWrap/>
            <w:vAlign w:val="center"/>
          </w:tcPr>
          <w:p w14:paraId="5B564784" w14:textId="77777777" w:rsidR="000A0ACD" w:rsidRDefault="00362A99">
            <w:pPr>
              <w:adjustRightInd w:val="0"/>
              <w:snapToGrid w:val="0"/>
              <w:rPr>
                <w:rFonts w:ascii="Times New Roman" w:hAnsi="Times New Roman" w:cs="Times New Roman"/>
                <w:b/>
                <w:bCs/>
                <w:sz w:val="15"/>
                <w:szCs w:val="15"/>
              </w:rPr>
            </w:pPr>
            <w:r>
              <w:rPr>
                <w:rFonts w:ascii="Times New Roman" w:hAnsi="Times New Roman" w:cs="Times New Roman" w:hint="eastAsia"/>
                <w:b/>
                <w:bCs/>
                <w:sz w:val="15"/>
                <w:szCs w:val="15"/>
              </w:rPr>
              <w:t>被评估企业折现率取值</w:t>
            </w:r>
          </w:p>
        </w:tc>
        <w:tc>
          <w:tcPr>
            <w:tcW w:w="427" w:type="pct"/>
            <w:shd w:val="clear" w:color="000000" w:fill="FFFFFF"/>
            <w:noWrap/>
            <w:vAlign w:val="center"/>
          </w:tcPr>
          <w:p w14:paraId="18026B26" w14:textId="77777777" w:rsidR="000A0ACD" w:rsidRDefault="00362A99">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427" w:type="pct"/>
            <w:shd w:val="clear" w:color="000000" w:fill="FFFFFF"/>
            <w:noWrap/>
            <w:vAlign w:val="center"/>
          </w:tcPr>
          <w:p w14:paraId="2FD53C44" w14:textId="77777777" w:rsidR="000A0ACD" w:rsidRDefault="00362A99">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512" w:type="pct"/>
            <w:shd w:val="clear" w:color="000000" w:fill="FFFFFF"/>
            <w:noWrap/>
            <w:vAlign w:val="center"/>
          </w:tcPr>
          <w:p w14:paraId="2275BDAB" w14:textId="77777777" w:rsidR="000A0ACD" w:rsidRDefault="00362A99">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426" w:type="pct"/>
            <w:shd w:val="clear" w:color="000000" w:fill="FFFFFF"/>
            <w:noWrap/>
            <w:vAlign w:val="center"/>
          </w:tcPr>
          <w:p w14:paraId="19FA0F1B" w14:textId="77777777" w:rsidR="000A0ACD" w:rsidRDefault="00362A99">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512" w:type="pct"/>
            <w:shd w:val="clear" w:color="000000" w:fill="FFFFFF"/>
            <w:noWrap/>
            <w:vAlign w:val="center"/>
          </w:tcPr>
          <w:p w14:paraId="29224B50" w14:textId="77777777" w:rsidR="000A0ACD" w:rsidRDefault="00362A99">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683" w:type="pct"/>
            <w:shd w:val="clear" w:color="000000" w:fill="FFFFFF"/>
            <w:noWrap/>
            <w:vAlign w:val="center"/>
          </w:tcPr>
          <w:p w14:paraId="23B00100" w14:textId="77777777" w:rsidR="000A0ACD" w:rsidRDefault="00362A99">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427" w:type="pct"/>
            <w:shd w:val="clear" w:color="000000" w:fill="FFFFFF"/>
            <w:noWrap/>
            <w:vAlign w:val="center"/>
          </w:tcPr>
          <w:p w14:paraId="322314AC" w14:textId="77777777" w:rsidR="000A0ACD" w:rsidRDefault="00362A99">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477" w:type="pct"/>
            <w:shd w:val="clear" w:color="000000" w:fill="FFFFFF"/>
            <w:noWrap/>
            <w:vAlign w:val="center"/>
          </w:tcPr>
          <w:p w14:paraId="06DCE2C1" w14:textId="77777777" w:rsidR="000A0ACD" w:rsidRDefault="00362A99">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13.5</w:t>
            </w:r>
          </w:p>
        </w:tc>
      </w:tr>
    </w:tbl>
    <w:p w14:paraId="3AFB6957" w14:textId="77777777" w:rsidR="000A0ACD" w:rsidRDefault="00362A99">
      <w:pPr>
        <w:pStyle w:val="affffd"/>
        <w:spacing w:before="156"/>
        <w:ind w:firstLine="482"/>
        <w:rPr>
          <w:b/>
          <w:bCs/>
        </w:rPr>
      </w:pPr>
      <w:r>
        <w:rPr>
          <w:rFonts w:hint="eastAsia"/>
          <w:b/>
          <w:bCs/>
        </w:rPr>
        <w:t>5</w:t>
      </w:r>
      <w:r>
        <w:rPr>
          <w:rFonts w:hint="eastAsia"/>
          <w:b/>
          <w:bCs/>
        </w:rPr>
        <w:t>、非经营性资产负债的评估</w:t>
      </w:r>
    </w:p>
    <w:bookmarkEnd w:id="142"/>
    <w:bookmarkEnd w:id="143"/>
    <w:p w14:paraId="5A04F4F6"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根据评估机构的分析，标的公司非经营性资产负债的情况如下表：</w:t>
      </w:r>
    </w:p>
    <w:p w14:paraId="0B3670B7"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60"/>
        <w:gridCol w:w="1982"/>
        <w:gridCol w:w="1981"/>
        <w:gridCol w:w="1699"/>
      </w:tblGrid>
      <w:tr w:rsidR="000A0ACD" w14:paraId="47573317" w14:textId="77777777">
        <w:trPr>
          <w:trHeight w:val="397"/>
          <w:tblHeader/>
        </w:trPr>
        <w:tc>
          <w:tcPr>
            <w:tcW w:w="1678" w:type="pct"/>
            <w:shd w:val="clear" w:color="auto" w:fill="auto"/>
            <w:vAlign w:val="center"/>
          </w:tcPr>
          <w:p w14:paraId="428ECCCF"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1163" w:type="pct"/>
            <w:shd w:val="clear" w:color="auto" w:fill="auto"/>
            <w:vAlign w:val="center"/>
          </w:tcPr>
          <w:p w14:paraId="7B54011B"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账面价值</w:t>
            </w:r>
          </w:p>
        </w:tc>
        <w:tc>
          <w:tcPr>
            <w:tcW w:w="1162" w:type="pct"/>
            <w:shd w:val="clear" w:color="auto" w:fill="auto"/>
            <w:vAlign w:val="center"/>
          </w:tcPr>
          <w:p w14:paraId="60BB55D4"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评估值</w:t>
            </w:r>
          </w:p>
        </w:tc>
        <w:tc>
          <w:tcPr>
            <w:tcW w:w="997" w:type="pct"/>
            <w:shd w:val="clear" w:color="auto" w:fill="auto"/>
            <w:vAlign w:val="center"/>
          </w:tcPr>
          <w:p w14:paraId="0DD88AF3" w14:textId="77777777" w:rsidR="000A0ACD" w:rsidRDefault="00362A99">
            <w:pPr>
              <w:jc w:val="center"/>
              <w:rPr>
                <w:rFonts w:ascii="Times New Roman" w:hAnsi="Times New Roman" w:cs="Times New Roman"/>
                <w:b/>
                <w:bCs/>
                <w:sz w:val="21"/>
                <w:szCs w:val="21"/>
              </w:rPr>
            </w:pPr>
            <w:r>
              <w:rPr>
                <w:rFonts w:ascii="Times New Roman" w:hAnsi="Times New Roman" w:cs="Times New Roman" w:hint="eastAsia"/>
                <w:b/>
                <w:bCs/>
                <w:sz w:val="21"/>
                <w:szCs w:val="21"/>
              </w:rPr>
              <w:t>备注</w:t>
            </w:r>
          </w:p>
        </w:tc>
      </w:tr>
      <w:tr w:rsidR="000A0ACD" w14:paraId="069F8B7F" w14:textId="77777777">
        <w:trPr>
          <w:trHeight w:val="397"/>
        </w:trPr>
        <w:tc>
          <w:tcPr>
            <w:tcW w:w="1678" w:type="pct"/>
            <w:shd w:val="clear" w:color="auto" w:fill="auto"/>
            <w:vAlign w:val="center"/>
          </w:tcPr>
          <w:p w14:paraId="774FD6A3"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一、现金类非经营性资产</w:t>
            </w:r>
          </w:p>
        </w:tc>
        <w:tc>
          <w:tcPr>
            <w:tcW w:w="1163" w:type="pct"/>
            <w:shd w:val="clear" w:color="auto" w:fill="auto"/>
            <w:vAlign w:val="center"/>
          </w:tcPr>
          <w:p w14:paraId="4CEA30E3" w14:textId="77777777" w:rsidR="000A0ACD" w:rsidRDefault="000A0ACD">
            <w:pPr>
              <w:jc w:val="right"/>
              <w:rPr>
                <w:rFonts w:ascii="Times New Roman" w:hAnsi="Times New Roman" w:cs="Times New Roman"/>
                <w:b/>
                <w:bCs/>
                <w:sz w:val="21"/>
                <w:szCs w:val="21"/>
              </w:rPr>
            </w:pPr>
          </w:p>
        </w:tc>
        <w:tc>
          <w:tcPr>
            <w:tcW w:w="1162" w:type="pct"/>
            <w:shd w:val="clear" w:color="auto" w:fill="auto"/>
            <w:vAlign w:val="center"/>
          </w:tcPr>
          <w:p w14:paraId="4F62501A" w14:textId="77777777" w:rsidR="000A0ACD" w:rsidRDefault="000A0ACD">
            <w:pPr>
              <w:jc w:val="right"/>
              <w:rPr>
                <w:rFonts w:ascii="Times New Roman" w:hAnsi="Times New Roman" w:cs="Times New Roman"/>
                <w:b/>
                <w:bCs/>
                <w:sz w:val="21"/>
                <w:szCs w:val="21"/>
              </w:rPr>
            </w:pPr>
          </w:p>
        </w:tc>
        <w:tc>
          <w:tcPr>
            <w:tcW w:w="997" w:type="pct"/>
            <w:shd w:val="clear" w:color="auto" w:fill="auto"/>
            <w:vAlign w:val="center"/>
          </w:tcPr>
          <w:p w14:paraId="09A7D4E8" w14:textId="77777777" w:rsidR="000A0ACD" w:rsidRDefault="000A0ACD">
            <w:pPr>
              <w:jc w:val="right"/>
              <w:rPr>
                <w:rFonts w:ascii="Times New Roman" w:hAnsi="Times New Roman" w:cs="Times New Roman"/>
                <w:b/>
                <w:bCs/>
                <w:sz w:val="21"/>
                <w:szCs w:val="21"/>
              </w:rPr>
            </w:pPr>
          </w:p>
        </w:tc>
      </w:tr>
      <w:tr w:rsidR="000A0ACD" w14:paraId="61A2E1F5" w14:textId="77777777">
        <w:trPr>
          <w:trHeight w:val="397"/>
        </w:trPr>
        <w:tc>
          <w:tcPr>
            <w:tcW w:w="1678" w:type="pct"/>
            <w:shd w:val="clear" w:color="auto" w:fill="auto"/>
            <w:vAlign w:val="center"/>
          </w:tcPr>
          <w:p w14:paraId="31B737FE"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非正常经营所需货币资金</w:t>
            </w:r>
          </w:p>
        </w:tc>
        <w:tc>
          <w:tcPr>
            <w:tcW w:w="1163" w:type="pct"/>
            <w:shd w:val="clear" w:color="auto" w:fill="auto"/>
            <w:noWrap/>
            <w:vAlign w:val="center"/>
          </w:tcPr>
          <w:p w14:paraId="5CEBCF3B"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c>
          <w:tcPr>
            <w:tcW w:w="1162" w:type="pct"/>
            <w:shd w:val="clear" w:color="auto" w:fill="auto"/>
            <w:noWrap/>
            <w:vAlign w:val="center"/>
          </w:tcPr>
          <w:p w14:paraId="5D7A00F8"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0.00</w:t>
            </w:r>
          </w:p>
        </w:tc>
        <w:tc>
          <w:tcPr>
            <w:tcW w:w="997" w:type="pct"/>
            <w:shd w:val="clear" w:color="auto" w:fill="auto"/>
            <w:vAlign w:val="center"/>
          </w:tcPr>
          <w:p w14:paraId="2C841192" w14:textId="77777777" w:rsidR="000A0ACD" w:rsidRDefault="00362A99">
            <w:pPr>
              <w:jc w:val="right"/>
              <w:rPr>
                <w:rFonts w:ascii="Times New Roman" w:hAnsi="Times New Roman" w:cs="Times New Roman"/>
                <w:b/>
                <w:bCs/>
                <w:sz w:val="21"/>
                <w:szCs w:val="21"/>
              </w:rPr>
            </w:pPr>
            <w:r>
              <w:rPr>
                <w:rFonts w:ascii="Times New Roman" w:hAnsi="Times New Roman" w:cs="Times New Roman"/>
                <w:sz w:val="21"/>
                <w:szCs w:val="21"/>
              </w:rPr>
              <w:t>-</w:t>
            </w:r>
          </w:p>
        </w:tc>
      </w:tr>
      <w:tr w:rsidR="000A0ACD" w14:paraId="47D536B2" w14:textId="77777777">
        <w:trPr>
          <w:trHeight w:val="397"/>
        </w:trPr>
        <w:tc>
          <w:tcPr>
            <w:tcW w:w="1678" w:type="pct"/>
            <w:shd w:val="clear" w:color="auto" w:fill="auto"/>
            <w:vAlign w:val="center"/>
          </w:tcPr>
          <w:p w14:paraId="40C35EA1"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现金类非经营性资产小计</w:t>
            </w:r>
          </w:p>
        </w:tc>
        <w:tc>
          <w:tcPr>
            <w:tcW w:w="1163" w:type="pct"/>
            <w:shd w:val="clear" w:color="auto" w:fill="auto"/>
            <w:noWrap/>
            <w:vAlign w:val="center"/>
          </w:tcPr>
          <w:p w14:paraId="22120C2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0.00</w:t>
            </w:r>
          </w:p>
        </w:tc>
        <w:tc>
          <w:tcPr>
            <w:tcW w:w="1162" w:type="pct"/>
            <w:shd w:val="clear" w:color="auto" w:fill="auto"/>
            <w:noWrap/>
            <w:vAlign w:val="center"/>
          </w:tcPr>
          <w:p w14:paraId="2969CAF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0.00</w:t>
            </w:r>
          </w:p>
        </w:tc>
        <w:tc>
          <w:tcPr>
            <w:tcW w:w="997" w:type="pct"/>
            <w:shd w:val="clear" w:color="auto" w:fill="auto"/>
            <w:vAlign w:val="center"/>
          </w:tcPr>
          <w:p w14:paraId="5A9CAE3D" w14:textId="77777777" w:rsidR="000A0ACD" w:rsidRDefault="00362A99">
            <w:pPr>
              <w:jc w:val="right"/>
              <w:rPr>
                <w:rFonts w:ascii="Times New Roman" w:hAnsi="Times New Roman" w:cs="Times New Roman"/>
                <w:b/>
                <w:bCs/>
                <w:sz w:val="21"/>
                <w:szCs w:val="21"/>
              </w:rPr>
            </w:pPr>
            <w:r>
              <w:rPr>
                <w:rFonts w:ascii="Times New Roman" w:hAnsi="Times New Roman" w:cs="Times New Roman"/>
                <w:sz w:val="21"/>
                <w:szCs w:val="21"/>
              </w:rPr>
              <w:t>-</w:t>
            </w:r>
          </w:p>
        </w:tc>
      </w:tr>
      <w:tr w:rsidR="000A0ACD" w14:paraId="764E81A2" w14:textId="77777777">
        <w:trPr>
          <w:trHeight w:val="397"/>
        </w:trPr>
        <w:tc>
          <w:tcPr>
            <w:tcW w:w="1678" w:type="pct"/>
            <w:shd w:val="clear" w:color="auto" w:fill="auto"/>
            <w:noWrap/>
            <w:vAlign w:val="center"/>
          </w:tcPr>
          <w:p w14:paraId="59A03104"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二、非现金类非经营性资产</w:t>
            </w:r>
          </w:p>
        </w:tc>
        <w:tc>
          <w:tcPr>
            <w:tcW w:w="1163" w:type="pct"/>
            <w:shd w:val="clear" w:color="auto" w:fill="auto"/>
            <w:noWrap/>
            <w:vAlign w:val="center"/>
          </w:tcPr>
          <w:p w14:paraId="718544EF" w14:textId="77777777" w:rsidR="000A0ACD" w:rsidRDefault="000A0ACD">
            <w:pPr>
              <w:jc w:val="right"/>
              <w:rPr>
                <w:rFonts w:ascii="Times New Roman" w:hAnsi="Times New Roman" w:cs="Times New Roman"/>
                <w:b/>
                <w:bCs/>
                <w:sz w:val="21"/>
                <w:szCs w:val="21"/>
              </w:rPr>
            </w:pPr>
          </w:p>
        </w:tc>
        <w:tc>
          <w:tcPr>
            <w:tcW w:w="1162" w:type="pct"/>
            <w:shd w:val="clear" w:color="auto" w:fill="auto"/>
            <w:noWrap/>
            <w:vAlign w:val="center"/>
          </w:tcPr>
          <w:p w14:paraId="20B286E7" w14:textId="77777777" w:rsidR="000A0ACD" w:rsidRDefault="000A0ACD">
            <w:pPr>
              <w:jc w:val="right"/>
              <w:rPr>
                <w:rFonts w:ascii="Times New Roman" w:hAnsi="Times New Roman" w:cs="Times New Roman"/>
                <w:b/>
                <w:bCs/>
                <w:sz w:val="21"/>
                <w:szCs w:val="21"/>
              </w:rPr>
            </w:pPr>
          </w:p>
        </w:tc>
        <w:tc>
          <w:tcPr>
            <w:tcW w:w="997" w:type="pct"/>
            <w:shd w:val="clear" w:color="auto" w:fill="auto"/>
            <w:noWrap/>
            <w:vAlign w:val="center"/>
          </w:tcPr>
          <w:p w14:paraId="7BEE0BFA" w14:textId="77777777" w:rsidR="000A0ACD" w:rsidRDefault="000A0ACD">
            <w:pPr>
              <w:jc w:val="right"/>
              <w:rPr>
                <w:rFonts w:ascii="Times New Roman" w:hAnsi="Times New Roman" w:cs="Times New Roman"/>
                <w:sz w:val="21"/>
                <w:szCs w:val="21"/>
              </w:rPr>
            </w:pPr>
          </w:p>
        </w:tc>
      </w:tr>
      <w:tr w:rsidR="000A0ACD" w14:paraId="27382200" w14:textId="77777777">
        <w:trPr>
          <w:trHeight w:val="397"/>
        </w:trPr>
        <w:tc>
          <w:tcPr>
            <w:tcW w:w="1678" w:type="pct"/>
            <w:shd w:val="clear" w:color="auto" w:fill="auto"/>
            <w:noWrap/>
            <w:vAlign w:val="center"/>
          </w:tcPr>
          <w:p w14:paraId="3CD021F5"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交易性金融资产</w:t>
            </w:r>
          </w:p>
        </w:tc>
        <w:tc>
          <w:tcPr>
            <w:tcW w:w="1163" w:type="pct"/>
            <w:shd w:val="clear" w:color="auto" w:fill="auto"/>
            <w:noWrap/>
            <w:vAlign w:val="center"/>
          </w:tcPr>
          <w:p w14:paraId="17B3827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500.91</w:t>
            </w:r>
          </w:p>
        </w:tc>
        <w:tc>
          <w:tcPr>
            <w:tcW w:w="1162" w:type="pct"/>
            <w:shd w:val="clear" w:color="auto" w:fill="auto"/>
            <w:noWrap/>
            <w:vAlign w:val="center"/>
          </w:tcPr>
          <w:p w14:paraId="5CA07CCC"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500.91</w:t>
            </w:r>
          </w:p>
        </w:tc>
        <w:tc>
          <w:tcPr>
            <w:tcW w:w="997" w:type="pct"/>
            <w:shd w:val="clear" w:color="auto" w:fill="auto"/>
            <w:noWrap/>
            <w:vAlign w:val="center"/>
          </w:tcPr>
          <w:p w14:paraId="13E08417" w14:textId="77777777" w:rsidR="000A0ACD" w:rsidRDefault="00362A99">
            <w:pPr>
              <w:jc w:val="both"/>
              <w:rPr>
                <w:rFonts w:ascii="Times New Roman" w:hAnsi="Times New Roman" w:cs="Times New Roman"/>
                <w:sz w:val="21"/>
                <w:szCs w:val="21"/>
              </w:rPr>
            </w:pPr>
            <w:r>
              <w:rPr>
                <w:rFonts w:ascii="Times New Roman" w:hAnsi="Times New Roman" w:cs="Times New Roman" w:hint="eastAsia"/>
                <w:sz w:val="21"/>
                <w:szCs w:val="21"/>
              </w:rPr>
              <w:t>购买的基金理财</w:t>
            </w:r>
          </w:p>
        </w:tc>
      </w:tr>
      <w:tr w:rsidR="000A0ACD" w14:paraId="5697A7DE" w14:textId="77777777">
        <w:trPr>
          <w:trHeight w:val="397"/>
        </w:trPr>
        <w:tc>
          <w:tcPr>
            <w:tcW w:w="1678" w:type="pct"/>
            <w:shd w:val="clear" w:color="auto" w:fill="auto"/>
            <w:noWrap/>
            <w:vAlign w:val="center"/>
          </w:tcPr>
          <w:p w14:paraId="2F7D23F5"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递延所得税资产</w:t>
            </w:r>
          </w:p>
        </w:tc>
        <w:tc>
          <w:tcPr>
            <w:tcW w:w="1163" w:type="pct"/>
            <w:shd w:val="clear" w:color="auto" w:fill="auto"/>
            <w:noWrap/>
            <w:vAlign w:val="center"/>
          </w:tcPr>
          <w:p w14:paraId="6ED92C31"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89.77</w:t>
            </w:r>
          </w:p>
        </w:tc>
        <w:tc>
          <w:tcPr>
            <w:tcW w:w="1162" w:type="pct"/>
            <w:shd w:val="clear" w:color="auto" w:fill="auto"/>
            <w:noWrap/>
            <w:vAlign w:val="center"/>
          </w:tcPr>
          <w:p w14:paraId="1C814AD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89.77</w:t>
            </w:r>
          </w:p>
        </w:tc>
        <w:tc>
          <w:tcPr>
            <w:tcW w:w="997" w:type="pct"/>
            <w:shd w:val="clear" w:color="auto" w:fill="auto"/>
            <w:noWrap/>
            <w:vAlign w:val="center"/>
          </w:tcPr>
          <w:p w14:paraId="2721CBE4"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7894B805" w14:textId="77777777">
        <w:trPr>
          <w:trHeight w:val="397"/>
        </w:trPr>
        <w:tc>
          <w:tcPr>
            <w:tcW w:w="1678" w:type="pct"/>
            <w:shd w:val="clear" w:color="auto" w:fill="auto"/>
            <w:noWrap/>
            <w:vAlign w:val="center"/>
          </w:tcPr>
          <w:p w14:paraId="130FD8C7"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非现金类非经营性资产小计</w:t>
            </w:r>
          </w:p>
        </w:tc>
        <w:tc>
          <w:tcPr>
            <w:tcW w:w="1163" w:type="pct"/>
            <w:shd w:val="clear" w:color="auto" w:fill="auto"/>
            <w:noWrap/>
            <w:vAlign w:val="center"/>
          </w:tcPr>
          <w:p w14:paraId="61FBF7B3"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590.68</w:t>
            </w:r>
          </w:p>
        </w:tc>
        <w:tc>
          <w:tcPr>
            <w:tcW w:w="1162" w:type="pct"/>
            <w:shd w:val="clear" w:color="auto" w:fill="auto"/>
            <w:noWrap/>
            <w:vAlign w:val="center"/>
          </w:tcPr>
          <w:p w14:paraId="1A5A6AB7"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590.68</w:t>
            </w:r>
          </w:p>
        </w:tc>
        <w:tc>
          <w:tcPr>
            <w:tcW w:w="997" w:type="pct"/>
            <w:shd w:val="clear" w:color="auto" w:fill="auto"/>
            <w:noWrap/>
            <w:vAlign w:val="center"/>
          </w:tcPr>
          <w:p w14:paraId="19BCBC6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7F9AE9FD" w14:textId="77777777">
        <w:trPr>
          <w:trHeight w:val="397"/>
        </w:trPr>
        <w:tc>
          <w:tcPr>
            <w:tcW w:w="1678" w:type="pct"/>
            <w:shd w:val="clear" w:color="auto" w:fill="auto"/>
            <w:vAlign w:val="center"/>
          </w:tcPr>
          <w:p w14:paraId="7C649AA3"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三、非经营性负债</w:t>
            </w:r>
          </w:p>
        </w:tc>
        <w:tc>
          <w:tcPr>
            <w:tcW w:w="1163" w:type="pct"/>
            <w:shd w:val="clear" w:color="auto" w:fill="auto"/>
            <w:vAlign w:val="center"/>
          </w:tcPr>
          <w:p w14:paraId="3A8D651D" w14:textId="77777777" w:rsidR="000A0ACD" w:rsidRDefault="000A0ACD">
            <w:pPr>
              <w:jc w:val="right"/>
              <w:rPr>
                <w:rFonts w:ascii="Times New Roman" w:hAnsi="Times New Roman" w:cs="Times New Roman"/>
                <w:b/>
                <w:bCs/>
                <w:sz w:val="21"/>
                <w:szCs w:val="21"/>
              </w:rPr>
            </w:pPr>
          </w:p>
        </w:tc>
        <w:tc>
          <w:tcPr>
            <w:tcW w:w="1162" w:type="pct"/>
            <w:shd w:val="clear" w:color="auto" w:fill="auto"/>
            <w:noWrap/>
            <w:vAlign w:val="center"/>
          </w:tcPr>
          <w:p w14:paraId="5D6CD3CA" w14:textId="77777777" w:rsidR="000A0ACD" w:rsidRDefault="000A0ACD">
            <w:pPr>
              <w:jc w:val="right"/>
              <w:rPr>
                <w:rFonts w:ascii="Times New Roman" w:hAnsi="Times New Roman" w:cs="Times New Roman"/>
                <w:sz w:val="21"/>
                <w:szCs w:val="21"/>
              </w:rPr>
            </w:pPr>
          </w:p>
        </w:tc>
        <w:tc>
          <w:tcPr>
            <w:tcW w:w="997" w:type="pct"/>
            <w:shd w:val="clear" w:color="auto" w:fill="auto"/>
            <w:noWrap/>
            <w:vAlign w:val="center"/>
          </w:tcPr>
          <w:p w14:paraId="3305C673" w14:textId="77777777" w:rsidR="000A0ACD" w:rsidRDefault="000A0ACD">
            <w:pPr>
              <w:jc w:val="right"/>
              <w:rPr>
                <w:rFonts w:ascii="Times New Roman" w:hAnsi="Times New Roman" w:cs="Times New Roman"/>
                <w:sz w:val="21"/>
                <w:szCs w:val="21"/>
              </w:rPr>
            </w:pPr>
          </w:p>
        </w:tc>
      </w:tr>
      <w:tr w:rsidR="000A0ACD" w14:paraId="1F963E0A" w14:textId="77777777">
        <w:trPr>
          <w:trHeight w:val="397"/>
        </w:trPr>
        <w:tc>
          <w:tcPr>
            <w:tcW w:w="1678" w:type="pct"/>
            <w:shd w:val="clear" w:color="auto" w:fill="auto"/>
            <w:vAlign w:val="center"/>
          </w:tcPr>
          <w:p w14:paraId="750F824C"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预计负债</w:t>
            </w:r>
          </w:p>
        </w:tc>
        <w:tc>
          <w:tcPr>
            <w:tcW w:w="1163" w:type="pct"/>
            <w:shd w:val="clear" w:color="auto" w:fill="auto"/>
            <w:noWrap/>
            <w:vAlign w:val="center"/>
          </w:tcPr>
          <w:p w14:paraId="6F06935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107.10</w:t>
            </w:r>
          </w:p>
        </w:tc>
        <w:tc>
          <w:tcPr>
            <w:tcW w:w="1162" w:type="pct"/>
            <w:shd w:val="clear" w:color="auto" w:fill="auto"/>
            <w:noWrap/>
            <w:vAlign w:val="center"/>
          </w:tcPr>
          <w:p w14:paraId="6A4E986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107.10</w:t>
            </w:r>
          </w:p>
        </w:tc>
        <w:tc>
          <w:tcPr>
            <w:tcW w:w="997" w:type="pct"/>
            <w:shd w:val="clear" w:color="auto" w:fill="auto"/>
            <w:noWrap/>
            <w:vAlign w:val="center"/>
          </w:tcPr>
          <w:p w14:paraId="6439FC7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w:t>
            </w:r>
          </w:p>
        </w:tc>
      </w:tr>
      <w:tr w:rsidR="000A0ACD" w14:paraId="5702459E" w14:textId="77777777">
        <w:trPr>
          <w:trHeight w:val="397"/>
        </w:trPr>
        <w:tc>
          <w:tcPr>
            <w:tcW w:w="1678" w:type="pct"/>
            <w:shd w:val="clear" w:color="auto" w:fill="auto"/>
            <w:noWrap/>
            <w:vAlign w:val="center"/>
          </w:tcPr>
          <w:p w14:paraId="61D6C7F1"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非经营性负债小计</w:t>
            </w:r>
          </w:p>
        </w:tc>
        <w:tc>
          <w:tcPr>
            <w:tcW w:w="1163" w:type="pct"/>
            <w:shd w:val="clear" w:color="auto" w:fill="auto"/>
            <w:noWrap/>
            <w:vAlign w:val="center"/>
          </w:tcPr>
          <w:p w14:paraId="07C15F3E"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107.10</w:t>
            </w:r>
          </w:p>
        </w:tc>
        <w:tc>
          <w:tcPr>
            <w:tcW w:w="1162" w:type="pct"/>
            <w:shd w:val="clear" w:color="auto" w:fill="auto"/>
            <w:noWrap/>
            <w:vAlign w:val="center"/>
          </w:tcPr>
          <w:p w14:paraId="206F7636"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107.10</w:t>
            </w:r>
          </w:p>
        </w:tc>
        <w:tc>
          <w:tcPr>
            <w:tcW w:w="997" w:type="pct"/>
            <w:shd w:val="clear" w:color="auto" w:fill="auto"/>
            <w:noWrap/>
            <w:vAlign w:val="center"/>
          </w:tcPr>
          <w:p w14:paraId="6F16C14B" w14:textId="77777777" w:rsidR="000A0ACD" w:rsidRDefault="00362A99">
            <w:pPr>
              <w:jc w:val="right"/>
              <w:rPr>
                <w:rFonts w:ascii="Times New Roman" w:hAnsi="Times New Roman" w:cs="Times New Roman"/>
                <w:b/>
                <w:bCs/>
                <w:sz w:val="21"/>
                <w:szCs w:val="21"/>
              </w:rPr>
            </w:pPr>
            <w:r>
              <w:rPr>
                <w:rFonts w:ascii="Times New Roman" w:hAnsi="Times New Roman" w:cs="Times New Roman"/>
                <w:sz w:val="21"/>
                <w:szCs w:val="21"/>
              </w:rPr>
              <w:t>-</w:t>
            </w:r>
          </w:p>
        </w:tc>
      </w:tr>
      <w:tr w:rsidR="000A0ACD" w14:paraId="39B454D9" w14:textId="77777777">
        <w:trPr>
          <w:trHeight w:val="397"/>
        </w:trPr>
        <w:tc>
          <w:tcPr>
            <w:tcW w:w="1678" w:type="pct"/>
            <w:shd w:val="clear" w:color="auto" w:fill="auto"/>
            <w:vAlign w:val="center"/>
          </w:tcPr>
          <w:p w14:paraId="0D35A37B" w14:textId="77777777" w:rsidR="000A0ACD" w:rsidRDefault="00362A99">
            <w:pPr>
              <w:rPr>
                <w:rFonts w:ascii="Times New Roman" w:hAnsi="Times New Roman" w:cs="Times New Roman"/>
                <w:b/>
                <w:bCs/>
                <w:sz w:val="21"/>
                <w:szCs w:val="21"/>
              </w:rPr>
            </w:pPr>
            <w:r>
              <w:rPr>
                <w:rFonts w:ascii="Times New Roman" w:hAnsi="Times New Roman" w:cs="Times New Roman" w:hint="eastAsia"/>
                <w:b/>
                <w:bCs/>
                <w:sz w:val="21"/>
                <w:szCs w:val="21"/>
              </w:rPr>
              <w:t>非经营性资产、负债净值</w:t>
            </w:r>
          </w:p>
        </w:tc>
        <w:tc>
          <w:tcPr>
            <w:tcW w:w="1163" w:type="pct"/>
            <w:shd w:val="clear" w:color="auto" w:fill="auto"/>
            <w:noWrap/>
            <w:vAlign w:val="center"/>
          </w:tcPr>
          <w:p w14:paraId="5DCD5A6E"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483.59</w:t>
            </w:r>
          </w:p>
        </w:tc>
        <w:tc>
          <w:tcPr>
            <w:tcW w:w="1162" w:type="pct"/>
            <w:shd w:val="clear" w:color="auto" w:fill="auto"/>
            <w:noWrap/>
            <w:vAlign w:val="center"/>
          </w:tcPr>
          <w:p w14:paraId="2A13295F"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483.59</w:t>
            </w:r>
          </w:p>
        </w:tc>
        <w:tc>
          <w:tcPr>
            <w:tcW w:w="997" w:type="pct"/>
            <w:shd w:val="clear" w:color="auto" w:fill="auto"/>
            <w:noWrap/>
            <w:vAlign w:val="center"/>
          </w:tcPr>
          <w:p w14:paraId="3C26DB35" w14:textId="77777777" w:rsidR="000A0ACD" w:rsidRDefault="00362A99">
            <w:pPr>
              <w:jc w:val="right"/>
              <w:rPr>
                <w:rFonts w:ascii="Times New Roman" w:hAnsi="Times New Roman" w:cs="Times New Roman"/>
                <w:b/>
                <w:bCs/>
                <w:sz w:val="21"/>
                <w:szCs w:val="21"/>
              </w:rPr>
            </w:pPr>
            <w:r>
              <w:rPr>
                <w:rFonts w:ascii="Times New Roman" w:hAnsi="Times New Roman" w:cs="Times New Roman"/>
                <w:sz w:val="21"/>
                <w:szCs w:val="21"/>
              </w:rPr>
              <w:t>-</w:t>
            </w:r>
          </w:p>
        </w:tc>
      </w:tr>
    </w:tbl>
    <w:p w14:paraId="5627E571"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对于非经营性负债和非经营性资产中的货币资金、其他流动资产、递延所得税资产、预计负债等，按审计后的账面值确定为评估值。</w:t>
      </w:r>
    </w:p>
    <w:p w14:paraId="539A0D5F" w14:textId="77777777" w:rsidR="000A0ACD" w:rsidRDefault="00362A99">
      <w:pPr>
        <w:pStyle w:val="affffd"/>
        <w:spacing w:before="156"/>
        <w:ind w:firstLine="482"/>
        <w:rPr>
          <w:b/>
          <w:bCs/>
        </w:rPr>
      </w:pPr>
      <w:r>
        <w:rPr>
          <w:rFonts w:hint="eastAsia"/>
          <w:b/>
          <w:bCs/>
        </w:rPr>
        <w:t>6</w:t>
      </w:r>
      <w:r>
        <w:rPr>
          <w:rFonts w:hint="eastAsia"/>
          <w:b/>
          <w:bCs/>
        </w:rPr>
        <w:t>、付息负债的评估</w:t>
      </w:r>
    </w:p>
    <w:p w14:paraId="57FFCFE0" w14:textId="77777777" w:rsidR="000A0ACD" w:rsidRDefault="00362A99">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标的公司基准日无付息负债。</w:t>
      </w:r>
    </w:p>
    <w:p w14:paraId="0BD6A077" w14:textId="77777777" w:rsidR="000A0ACD" w:rsidRDefault="00362A99">
      <w:pPr>
        <w:pStyle w:val="affffd"/>
        <w:spacing w:before="156"/>
        <w:ind w:firstLine="482"/>
        <w:rPr>
          <w:b/>
          <w:bCs/>
        </w:rPr>
      </w:pPr>
      <w:bookmarkStart w:id="144" w:name="_Toc163542874"/>
      <w:r>
        <w:rPr>
          <w:rFonts w:hint="eastAsia"/>
          <w:b/>
          <w:bCs/>
        </w:rPr>
        <w:t>7</w:t>
      </w:r>
      <w:r>
        <w:rPr>
          <w:rFonts w:hint="eastAsia"/>
          <w:b/>
          <w:bCs/>
        </w:rPr>
        <w:t>、收益法评估</w:t>
      </w:r>
      <w:bookmarkEnd w:id="144"/>
      <w:r>
        <w:rPr>
          <w:rFonts w:hint="eastAsia"/>
          <w:b/>
          <w:bCs/>
        </w:rPr>
        <w:t>结论及分析</w:t>
      </w:r>
    </w:p>
    <w:p w14:paraId="43D6B1C6" w14:textId="77777777" w:rsidR="000A0ACD" w:rsidRDefault="00362A99">
      <w:pPr>
        <w:pStyle w:val="ac"/>
        <w:spacing w:beforeLines="50" w:before="156" w:after="0" w:line="360" w:lineRule="auto"/>
        <w:ind w:firstLineChars="200" w:firstLine="480"/>
        <w:rPr>
          <w:rFonts w:ascii="宋体" w:eastAsia="宋体" w:hAnsi="宋体" w:cs="宋体"/>
          <w:sz w:val="24"/>
        </w:rPr>
      </w:pPr>
      <w:r>
        <w:rPr>
          <w:rFonts w:ascii="宋体" w:eastAsia="宋体" w:hAnsi="宋体" w:cs="宋体" w:hint="eastAsia"/>
          <w:sz w:val="24"/>
        </w:rPr>
        <w:t>经评估，</w:t>
      </w:r>
      <w:r>
        <w:rPr>
          <w:rFonts w:ascii="宋体" w:eastAsia="宋体" w:hAnsi="宋体" w:cs="宋体" w:hint="eastAsia"/>
          <w:sz w:val="24"/>
          <w:lang w:val="en-US"/>
        </w:rPr>
        <w:t>截至</w:t>
      </w:r>
      <w:r>
        <w:rPr>
          <w:rFonts w:ascii="宋体" w:eastAsia="宋体" w:hAnsi="宋体" w:cs="宋体" w:hint="eastAsia"/>
          <w:sz w:val="24"/>
        </w:rPr>
        <w:t>评估基准日</w:t>
      </w:r>
      <w:r>
        <w:rPr>
          <w:rFonts w:ascii="宋体" w:eastAsia="宋体" w:hAnsi="宋体" w:cs="宋体"/>
          <w:sz w:val="24"/>
        </w:rPr>
        <w:t>2020</w:t>
      </w:r>
      <w:r>
        <w:rPr>
          <w:rFonts w:ascii="宋体" w:eastAsia="宋体" w:hAnsi="宋体" w:cs="宋体" w:hint="eastAsia"/>
          <w:sz w:val="24"/>
        </w:rPr>
        <w:t>年</w:t>
      </w:r>
      <w:r>
        <w:rPr>
          <w:rFonts w:ascii="宋体" w:eastAsia="宋体" w:hAnsi="宋体" w:cs="宋体"/>
          <w:sz w:val="24"/>
        </w:rPr>
        <w:t>6</w:t>
      </w:r>
      <w:r>
        <w:rPr>
          <w:rFonts w:ascii="宋体" w:eastAsia="宋体" w:hAnsi="宋体" w:cs="宋体" w:hint="eastAsia"/>
          <w:sz w:val="24"/>
        </w:rPr>
        <w:t>月</w:t>
      </w:r>
      <w:r>
        <w:rPr>
          <w:rFonts w:ascii="宋体" w:eastAsia="宋体" w:hAnsi="宋体" w:cs="宋体"/>
          <w:sz w:val="24"/>
        </w:rPr>
        <w:t>30</w:t>
      </w:r>
      <w:r>
        <w:rPr>
          <w:rFonts w:ascii="宋体" w:eastAsia="宋体" w:hAnsi="宋体" w:cs="宋体" w:hint="eastAsia"/>
          <w:sz w:val="24"/>
        </w:rPr>
        <w:t>日，北洋天青的股东全部权益，在持续经营条件下收益法的评估值为人民币</w:t>
      </w:r>
      <w:r>
        <w:rPr>
          <w:rFonts w:ascii="宋体" w:eastAsia="宋体" w:hAnsi="宋体" w:cs="宋体"/>
          <w:sz w:val="24"/>
        </w:rPr>
        <w:t>30,800.00</w:t>
      </w:r>
      <w:r>
        <w:rPr>
          <w:rFonts w:ascii="宋体" w:eastAsia="宋体" w:hAnsi="宋体" w:cs="宋体" w:hint="eastAsia"/>
          <w:sz w:val="24"/>
        </w:rPr>
        <w:t>万元，即：人民币叁亿零捌佰万元。</w:t>
      </w:r>
    </w:p>
    <w:bookmarkEnd w:id="105"/>
    <w:p w14:paraId="1E6EC9C8" w14:textId="77777777" w:rsidR="000A0ACD" w:rsidRDefault="00362A99">
      <w:pPr>
        <w:pStyle w:val="ac"/>
        <w:spacing w:beforeLines="50" w:before="156" w:after="0" w:line="360" w:lineRule="auto"/>
        <w:ind w:firstLineChars="200" w:firstLine="482"/>
        <w:outlineLvl w:val="3"/>
        <w:rPr>
          <w:rFonts w:eastAsia="宋体"/>
          <w:b/>
          <w:bCs/>
          <w:sz w:val="24"/>
        </w:rPr>
      </w:pPr>
      <w:r>
        <w:rPr>
          <w:rFonts w:eastAsia="宋体" w:hint="eastAsia"/>
          <w:b/>
          <w:bCs/>
          <w:sz w:val="24"/>
        </w:rPr>
        <w:t>（二）补充披露情况</w:t>
      </w:r>
    </w:p>
    <w:p w14:paraId="1B3FB0C3" w14:textId="77777777" w:rsidR="000A0ACD" w:rsidRDefault="00362A99">
      <w:pPr>
        <w:pStyle w:val="ac"/>
        <w:spacing w:beforeLines="50" w:before="156" w:after="0" w:line="360" w:lineRule="auto"/>
        <w:ind w:firstLineChars="200" w:firstLine="480"/>
        <w:rPr>
          <w:rFonts w:eastAsia="宋体"/>
          <w:sz w:val="24"/>
        </w:rPr>
      </w:pPr>
      <w:r>
        <w:rPr>
          <w:rFonts w:eastAsia="宋体" w:hint="eastAsia"/>
          <w:bCs/>
          <w:sz w:val="24"/>
        </w:rPr>
        <w:t>以上内容已于重组报告书“第六节</w:t>
      </w:r>
      <w:r>
        <w:rPr>
          <w:rFonts w:eastAsia="宋体"/>
          <w:bCs/>
          <w:sz w:val="24"/>
        </w:rPr>
        <w:t xml:space="preserve"> </w:t>
      </w:r>
      <w:r>
        <w:rPr>
          <w:rFonts w:eastAsia="宋体" w:hint="eastAsia"/>
          <w:bCs/>
          <w:sz w:val="24"/>
        </w:rPr>
        <w:t>标的资产评估情况”之“三、收益法评估情况”中补充披露。</w:t>
      </w:r>
    </w:p>
    <w:p w14:paraId="756CD7AB" w14:textId="77777777" w:rsidR="000A0ACD" w:rsidRDefault="00362A99">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二、截至</w:t>
      </w:r>
      <w:r>
        <w:rPr>
          <w:rFonts w:ascii="Times New Roman" w:hAnsi="Times New Roman" w:cs="Times New Roman"/>
          <w:b/>
          <w:bCs/>
          <w:color w:val="000000"/>
          <w:kern w:val="1"/>
        </w:rPr>
        <w:t>2020</w:t>
      </w:r>
      <w:r>
        <w:rPr>
          <w:rFonts w:ascii="Times New Roman" w:hAnsi="Times New Roman" w:cs="Times New Roman" w:hint="eastAsia"/>
          <w:b/>
          <w:bCs/>
          <w:color w:val="000000"/>
          <w:kern w:val="1"/>
        </w:rPr>
        <w:t>年</w:t>
      </w:r>
      <w:r>
        <w:rPr>
          <w:rFonts w:ascii="Times New Roman" w:hAnsi="Times New Roman" w:cs="Times New Roman"/>
          <w:b/>
          <w:bCs/>
          <w:color w:val="000000"/>
          <w:kern w:val="1"/>
        </w:rPr>
        <w:t>12</w:t>
      </w:r>
      <w:r>
        <w:rPr>
          <w:rFonts w:ascii="Times New Roman" w:hAnsi="Times New Roman" w:cs="Times New Roman" w:hint="eastAsia"/>
          <w:b/>
          <w:bCs/>
          <w:color w:val="000000"/>
          <w:kern w:val="1"/>
        </w:rPr>
        <w:t>月</w:t>
      </w:r>
      <w:r>
        <w:rPr>
          <w:rFonts w:ascii="Times New Roman" w:hAnsi="Times New Roman" w:cs="Times New Roman"/>
          <w:b/>
          <w:bCs/>
          <w:color w:val="000000"/>
          <w:kern w:val="1"/>
        </w:rPr>
        <w:t>31</w:t>
      </w:r>
      <w:r>
        <w:rPr>
          <w:rFonts w:ascii="Times New Roman" w:hAnsi="Times New Roman" w:cs="Times New Roman" w:hint="eastAsia"/>
          <w:b/>
          <w:bCs/>
          <w:color w:val="000000"/>
          <w:kern w:val="1"/>
        </w:rPr>
        <w:t>日，标的公司关联方资金占用情况</w:t>
      </w:r>
    </w:p>
    <w:p w14:paraId="6B9AA91D"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截至本回复出具日，标的公司不存在关联方采购及销售情况，具体如下：</w:t>
      </w:r>
    </w:p>
    <w:p w14:paraId="2756B041" w14:textId="77777777" w:rsidR="000A0ACD" w:rsidRDefault="00362A99">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17"/>
        <w:gridCol w:w="821"/>
        <w:gridCol w:w="1137"/>
        <w:gridCol w:w="1139"/>
        <w:gridCol w:w="1139"/>
        <w:gridCol w:w="1139"/>
        <w:gridCol w:w="1139"/>
        <w:gridCol w:w="1131"/>
      </w:tblGrid>
      <w:tr w:rsidR="000A0ACD" w14:paraId="58BBB0B2" w14:textId="77777777">
        <w:trPr>
          <w:cantSplit/>
          <w:trHeight w:val="397"/>
          <w:tblHeader/>
          <w:jc w:val="center"/>
        </w:trPr>
        <w:tc>
          <w:tcPr>
            <w:tcW w:w="428" w:type="pct"/>
            <w:vMerge w:val="restart"/>
            <w:tcBorders>
              <w:top w:val="single" w:sz="12" w:space="0" w:color="auto"/>
              <w:left w:val="nil"/>
              <w:bottom w:val="single" w:sz="4" w:space="0" w:color="auto"/>
              <w:right w:val="single" w:sz="4" w:space="0" w:color="auto"/>
            </w:tcBorders>
            <w:tcMar>
              <w:top w:w="0" w:type="dxa"/>
              <w:left w:w="28" w:type="dxa"/>
              <w:bottom w:w="0" w:type="dxa"/>
              <w:right w:w="28" w:type="dxa"/>
            </w:tcMar>
            <w:vAlign w:val="center"/>
          </w:tcPr>
          <w:p w14:paraId="43B464B0" w14:textId="77777777" w:rsidR="000A0ACD" w:rsidRDefault="00362A99">
            <w:pPr>
              <w:keepNext/>
              <w:jc w:val="center"/>
              <w:rPr>
                <w:rFonts w:ascii="Times New Roman" w:hAnsi="Times New Roman" w:cs="Times New Roman"/>
                <w:b/>
                <w:sz w:val="21"/>
                <w:szCs w:val="21"/>
              </w:rPr>
            </w:pPr>
            <w:bookmarkStart w:id="145" w:name="OLE_LINK2"/>
            <w:r>
              <w:rPr>
                <w:rFonts w:ascii="Times New Roman" w:hAnsi="Times New Roman" w:cs="Times New Roman" w:hint="eastAsia"/>
                <w:b/>
                <w:sz w:val="21"/>
                <w:szCs w:val="21"/>
              </w:rPr>
              <w:t>项目名称</w:t>
            </w:r>
          </w:p>
        </w:tc>
        <w:tc>
          <w:tcPr>
            <w:tcW w:w="491" w:type="pct"/>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877AD1" w14:textId="77777777" w:rsidR="000A0ACD" w:rsidRDefault="00362A99">
            <w:pPr>
              <w:keepNext/>
              <w:jc w:val="center"/>
              <w:rPr>
                <w:rFonts w:ascii="Times New Roman" w:hAnsi="Times New Roman" w:cs="Times New Roman"/>
                <w:color w:val="000000"/>
                <w:spacing w:val="-10"/>
                <w:sz w:val="21"/>
                <w:szCs w:val="21"/>
              </w:rPr>
            </w:pPr>
            <w:r>
              <w:rPr>
                <w:rFonts w:ascii="Times New Roman" w:hAnsi="Times New Roman" w:cs="Times New Roman" w:hint="eastAsia"/>
                <w:b/>
                <w:bCs/>
                <w:spacing w:val="-10"/>
                <w:sz w:val="21"/>
                <w:szCs w:val="21"/>
              </w:rPr>
              <w:t>关联方</w:t>
            </w:r>
          </w:p>
        </w:tc>
        <w:tc>
          <w:tcPr>
            <w:tcW w:w="1361" w:type="pct"/>
            <w:gridSpan w:val="2"/>
            <w:tcBorders>
              <w:top w:val="single" w:sz="12" w:space="0" w:color="auto"/>
              <w:left w:val="single" w:sz="4" w:space="0" w:color="auto"/>
              <w:bottom w:val="single" w:sz="4" w:space="0" w:color="auto"/>
              <w:right w:val="single" w:sz="4" w:space="0" w:color="auto"/>
            </w:tcBorders>
            <w:vAlign w:val="center"/>
          </w:tcPr>
          <w:p w14:paraId="3A7F9DAF" w14:textId="77777777" w:rsidR="000A0ACD" w:rsidRDefault="00362A99">
            <w:pPr>
              <w:keepNext/>
              <w:jc w:val="center"/>
              <w:rPr>
                <w:rFonts w:ascii="Times New Roman" w:hAnsi="Times New Roman" w:cs="Times New Roman"/>
                <w:b/>
                <w:sz w:val="21"/>
                <w:szCs w:val="21"/>
              </w:rPr>
            </w:pP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w:t>
            </w:r>
          </w:p>
        </w:tc>
        <w:tc>
          <w:tcPr>
            <w:tcW w:w="1362" w:type="pct"/>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D122DB" w14:textId="77777777" w:rsidR="000A0ACD" w:rsidRDefault="00362A99">
            <w:pPr>
              <w:keepNext/>
              <w:jc w:val="center"/>
              <w:rPr>
                <w:rFonts w:ascii="Times New Roman" w:hAnsi="Times New Roman" w:cs="Times New Roman"/>
                <w:b/>
                <w:sz w:val="21"/>
                <w:szCs w:val="21"/>
              </w:rPr>
            </w:pP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w:t>
            </w:r>
          </w:p>
        </w:tc>
        <w:tc>
          <w:tcPr>
            <w:tcW w:w="1357" w:type="pct"/>
            <w:gridSpan w:val="2"/>
            <w:tcBorders>
              <w:top w:val="single" w:sz="12" w:space="0" w:color="auto"/>
              <w:left w:val="single" w:sz="4" w:space="0" w:color="auto"/>
              <w:bottom w:val="single" w:sz="4" w:space="0" w:color="auto"/>
              <w:right w:val="nil"/>
            </w:tcBorders>
            <w:tcMar>
              <w:top w:w="0" w:type="dxa"/>
              <w:left w:w="28" w:type="dxa"/>
              <w:bottom w:w="0" w:type="dxa"/>
              <w:right w:w="28" w:type="dxa"/>
            </w:tcMar>
            <w:vAlign w:val="center"/>
          </w:tcPr>
          <w:p w14:paraId="0E331510" w14:textId="77777777" w:rsidR="000A0ACD" w:rsidRDefault="00362A99">
            <w:pPr>
              <w:keepNext/>
              <w:jc w:val="center"/>
              <w:rPr>
                <w:rFonts w:ascii="Times New Roman" w:hAnsi="Times New Roman" w:cs="Times New Roman"/>
                <w:b/>
                <w:sz w:val="21"/>
                <w:szCs w:val="21"/>
              </w:rPr>
            </w:pPr>
            <w:r>
              <w:rPr>
                <w:rFonts w:ascii="Times New Roman" w:hAnsi="Times New Roman" w:cs="Times New Roman" w:hint="eastAsia"/>
                <w:b/>
                <w:sz w:val="21"/>
                <w:szCs w:val="21"/>
              </w:rPr>
              <w:t>2019</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w:t>
            </w:r>
          </w:p>
        </w:tc>
      </w:tr>
      <w:tr w:rsidR="000A0ACD" w14:paraId="3D2BFDF5" w14:textId="77777777">
        <w:trPr>
          <w:cantSplit/>
          <w:trHeight w:val="397"/>
          <w:tblHeader/>
          <w:jc w:val="center"/>
        </w:trPr>
        <w:tc>
          <w:tcPr>
            <w:tcW w:w="428" w:type="pct"/>
            <w:vMerge/>
            <w:tcBorders>
              <w:top w:val="single" w:sz="12" w:space="0" w:color="auto"/>
              <w:left w:val="nil"/>
              <w:bottom w:val="single" w:sz="4" w:space="0" w:color="auto"/>
              <w:right w:val="single" w:sz="4" w:space="0" w:color="auto"/>
            </w:tcBorders>
            <w:vAlign w:val="center"/>
          </w:tcPr>
          <w:p w14:paraId="33768B1C" w14:textId="77777777" w:rsidR="000A0ACD" w:rsidRDefault="000A0ACD">
            <w:pPr>
              <w:rPr>
                <w:rFonts w:ascii="Times New Roman" w:hAnsi="Times New Roman" w:cs="Times New Roman"/>
                <w:b/>
                <w:sz w:val="21"/>
                <w:szCs w:val="21"/>
              </w:rPr>
            </w:pPr>
          </w:p>
        </w:tc>
        <w:tc>
          <w:tcPr>
            <w:tcW w:w="491" w:type="pct"/>
            <w:vMerge/>
            <w:tcBorders>
              <w:top w:val="single" w:sz="12" w:space="0" w:color="auto"/>
              <w:left w:val="single" w:sz="4" w:space="0" w:color="auto"/>
              <w:bottom w:val="single" w:sz="4" w:space="0" w:color="auto"/>
              <w:right w:val="single" w:sz="4" w:space="0" w:color="auto"/>
            </w:tcBorders>
            <w:vAlign w:val="center"/>
          </w:tcPr>
          <w:p w14:paraId="65C380F8" w14:textId="77777777" w:rsidR="000A0ACD" w:rsidRDefault="000A0ACD">
            <w:pPr>
              <w:rPr>
                <w:rFonts w:ascii="Times New Roman" w:hAnsi="Times New Roman" w:cs="Times New Roman"/>
                <w:color w:val="000000"/>
                <w:spacing w:val="-10"/>
                <w:sz w:val="21"/>
                <w:szCs w:val="21"/>
              </w:rPr>
            </w:pPr>
          </w:p>
        </w:tc>
        <w:tc>
          <w:tcPr>
            <w:tcW w:w="680" w:type="pct"/>
            <w:tcBorders>
              <w:top w:val="single" w:sz="4" w:space="0" w:color="auto"/>
              <w:left w:val="single" w:sz="4" w:space="0" w:color="auto"/>
              <w:bottom w:val="single" w:sz="4" w:space="0" w:color="auto"/>
              <w:right w:val="single" w:sz="4" w:space="0" w:color="auto"/>
            </w:tcBorders>
            <w:vAlign w:val="center"/>
          </w:tcPr>
          <w:p w14:paraId="18379518" w14:textId="77777777" w:rsidR="000A0ACD" w:rsidRDefault="00362A99">
            <w:pPr>
              <w:keepNext/>
              <w:jc w:val="center"/>
              <w:rPr>
                <w:rFonts w:ascii="Times New Roman" w:hAnsi="Times New Roman" w:cs="Times New Roman"/>
                <w:b/>
                <w:sz w:val="21"/>
                <w:szCs w:val="21"/>
              </w:rPr>
            </w:pPr>
            <w:r>
              <w:rPr>
                <w:rFonts w:ascii="Times New Roman" w:hAnsi="Times New Roman" w:cs="Times New Roman" w:hint="eastAsia"/>
                <w:b/>
                <w:sz w:val="21"/>
                <w:szCs w:val="21"/>
              </w:rPr>
              <w:t>账面余额</w:t>
            </w:r>
          </w:p>
        </w:tc>
        <w:tc>
          <w:tcPr>
            <w:tcW w:w="681" w:type="pct"/>
            <w:tcBorders>
              <w:top w:val="single" w:sz="4" w:space="0" w:color="auto"/>
              <w:left w:val="single" w:sz="4" w:space="0" w:color="auto"/>
              <w:bottom w:val="single" w:sz="4" w:space="0" w:color="auto"/>
              <w:right w:val="single" w:sz="4" w:space="0" w:color="auto"/>
            </w:tcBorders>
            <w:vAlign w:val="center"/>
          </w:tcPr>
          <w:p w14:paraId="275F7BE2" w14:textId="77777777" w:rsidR="000A0ACD" w:rsidRDefault="00362A99">
            <w:pPr>
              <w:keepNext/>
              <w:jc w:val="center"/>
              <w:rPr>
                <w:rFonts w:ascii="Times New Roman" w:hAnsi="Times New Roman" w:cs="Times New Roman"/>
                <w:b/>
                <w:sz w:val="21"/>
                <w:szCs w:val="21"/>
              </w:rPr>
            </w:pPr>
            <w:r>
              <w:rPr>
                <w:rFonts w:ascii="Times New Roman" w:hAnsi="Times New Roman" w:cs="Times New Roman" w:hint="eastAsia"/>
                <w:b/>
                <w:sz w:val="21"/>
                <w:szCs w:val="21"/>
              </w:rPr>
              <w:t>坏账准备</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204F7E" w14:textId="77777777" w:rsidR="000A0ACD" w:rsidRDefault="00362A99">
            <w:pPr>
              <w:keepNext/>
              <w:jc w:val="center"/>
              <w:rPr>
                <w:rFonts w:ascii="Times New Roman" w:hAnsi="Times New Roman" w:cs="Times New Roman"/>
                <w:b/>
                <w:sz w:val="21"/>
                <w:szCs w:val="21"/>
              </w:rPr>
            </w:pPr>
            <w:r>
              <w:rPr>
                <w:rFonts w:ascii="Times New Roman" w:hAnsi="Times New Roman" w:cs="Times New Roman" w:hint="eastAsia"/>
                <w:b/>
                <w:sz w:val="21"/>
                <w:szCs w:val="21"/>
              </w:rPr>
              <w:t>账面余额</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9645B4" w14:textId="77777777" w:rsidR="000A0ACD" w:rsidRDefault="00362A99">
            <w:pPr>
              <w:keepNext/>
              <w:jc w:val="center"/>
              <w:rPr>
                <w:rFonts w:ascii="Times New Roman" w:hAnsi="Times New Roman" w:cs="Times New Roman"/>
                <w:b/>
                <w:sz w:val="21"/>
                <w:szCs w:val="21"/>
              </w:rPr>
            </w:pPr>
            <w:r>
              <w:rPr>
                <w:rFonts w:ascii="Times New Roman" w:hAnsi="Times New Roman" w:cs="Times New Roman" w:hint="eastAsia"/>
                <w:b/>
                <w:sz w:val="21"/>
                <w:szCs w:val="21"/>
              </w:rPr>
              <w:t>坏账准备</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FCD553" w14:textId="77777777" w:rsidR="000A0ACD" w:rsidRDefault="00362A99">
            <w:pPr>
              <w:keepNext/>
              <w:jc w:val="center"/>
              <w:rPr>
                <w:rFonts w:ascii="Times New Roman" w:hAnsi="Times New Roman" w:cs="Times New Roman"/>
                <w:b/>
                <w:sz w:val="21"/>
                <w:szCs w:val="21"/>
              </w:rPr>
            </w:pPr>
            <w:r>
              <w:rPr>
                <w:rFonts w:ascii="Times New Roman" w:hAnsi="Times New Roman" w:cs="Times New Roman" w:hint="eastAsia"/>
                <w:b/>
                <w:sz w:val="21"/>
                <w:szCs w:val="21"/>
              </w:rPr>
              <w:t>账面余额</w:t>
            </w:r>
          </w:p>
        </w:tc>
        <w:tc>
          <w:tcPr>
            <w:tcW w:w="676"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2C9076D8" w14:textId="77777777" w:rsidR="000A0ACD" w:rsidRDefault="00362A99">
            <w:pPr>
              <w:keepNext/>
              <w:jc w:val="center"/>
              <w:rPr>
                <w:rFonts w:ascii="Times New Roman" w:hAnsi="Times New Roman" w:cs="Times New Roman"/>
                <w:b/>
                <w:sz w:val="21"/>
                <w:szCs w:val="21"/>
              </w:rPr>
            </w:pPr>
            <w:r>
              <w:rPr>
                <w:rFonts w:ascii="Times New Roman" w:hAnsi="Times New Roman" w:cs="Times New Roman" w:hint="eastAsia"/>
                <w:b/>
                <w:sz w:val="21"/>
                <w:szCs w:val="21"/>
              </w:rPr>
              <w:t>坏账准备</w:t>
            </w:r>
          </w:p>
        </w:tc>
      </w:tr>
      <w:tr w:rsidR="000A0ACD" w14:paraId="7B7E8AE3" w14:textId="77777777">
        <w:trPr>
          <w:cantSplit/>
          <w:trHeight w:val="397"/>
          <w:jc w:val="center"/>
        </w:trPr>
        <w:tc>
          <w:tcPr>
            <w:tcW w:w="42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BBA7067"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其他应收款</w:t>
            </w:r>
          </w:p>
        </w:tc>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76F570"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肖中海</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60B2913E"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3D7AE345"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0.00</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6DAF8D"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0.00</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F473C3"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0.00</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09DAE0"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10,145.63</w:t>
            </w:r>
          </w:p>
        </w:tc>
        <w:tc>
          <w:tcPr>
            <w:tcW w:w="676"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7E1EB7CF"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84.99</w:t>
            </w:r>
          </w:p>
        </w:tc>
      </w:tr>
      <w:tr w:rsidR="000A0ACD" w14:paraId="5E114B8F" w14:textId="77777777">
        <w:trPr>
          <w:cantSplit/>
          <w:trHeight w:val="397"/>
          <w:jc w:val="center"/>
        </w:trPr>
        <w:tc>
          <w:tcPr>
            <w:tcW w:w="42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0A32F0F" w14:textId="77777777" w:rsidR="000A0ACD" w:rsidRDefault="00362A99">
            <w:pPr>
              <w:rPr>
                <w:rFonts w:ascii="Times New Roman" w:hAnsi="Times New Roman" w:cs="Times New Roman"/>
                <w:sz w:val="21"/>
                <w:szCs w:val="21"/>
              </w:rPr>
            </w:pPr>
            <w:r>
              <w:rPr>
                <w:rFonts w:ascii="Times New Roman" w:hAnsi="Times New Roman" w:cs="Times New Roman" w:hint="eastAsia"/>
                <w:sz w:val="21"/>
                <w:szCs w:val="21"/>
              </w:rPr>
              <w:t>其他应收款</w:t>
            </w:r>
          </w:p>
        </w:tc>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513162" w14:textId="77777777" w:rsidR="000A0ACD" w:rsidRDefault="00362A99">
            <w:pPr>
              <w:jc w:val="center"/>
              <w:rPr>
                <w:rFonts w:ascii="Times New Roman" w:hAnsi="Times New Roman" w:cs="Times New Roman"/>
                <w:sz w:val="21"/>
                <w:szCs w:val="21"/>
              </w:rPr>
            </w:pPr>
            <w:r>
              <w:rPr>
                <w:rFonts w:ascii="Times New Roman" w:hAnsi="Times New Roman" w:cs="Times New Roman" w:hint="eastAsia"/>
                <w:sz w:val="21"/>
                <w:szCs w:val="21"/>
              </w:rPr>
              <w:t>徐炳雷</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78E05BC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11,834.70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522D158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99.14</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A036E9"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33,979.70</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67521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284.66</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C47D0A"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13,000.00</w:t>
            </w:r>
          </w:p>
        </w:tc>
        <w:tc>
          <w:tcPr>
            <w:tcW w:w="676"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0DFDD642" w14:textId="77777777" w:rsidR="000A0ACD" w:rsidRDefault="00362A99">
            <w:pPr>
              <w:jc w:val="right"/>
              <w:rPr>
                <w:rFonts w:ascii="Times New Roman" w:hAnsi="Times New Roman" w:cs="Times New Roman"/>
                <w:sz w:val="21"/>
                <w:szCs w:val="21"/>
              </w:rPr>
            </w:pPr>
            <w:r>
              <w:rPr>
                <w:rFonts w:ascii="Times New Roman" w:hAnsi="Times New Roman" w:cs="Times New Roman"/>
                <w:sz w:val="21"/>
                <w:szCs w:val="21"/>
              </w:rPr>
              <w:t>108.90</w:t>
            </w:r>
          </w:p>
        </w:tc>
      </w:tr>
      <w:bookmarkEnd w:id="145"/>
      <w:tr w:rsidR="000A0ACD" w14:paraId="00F87F91" w14:textId="77777777">
        <w:trPr>
          <w:cantSplit/>
          <w:trHeight w:val="397"/>
          <w:jc w:val="center"/>
        </w:trPr>
        <w:tc>
          <w:tcPr>
            <w:tcW w:w="428" w:type="pct"/>
            <w:tcBorders>
              <w:top w:val="single" w:sz="4" w:space="0" w:color="auto"/>
              <w:left w:val="nil"/>
              <w:bottom w:val="single" w:sz="12" w:space="0" w:color="auto"/>
              <w:right w:val="single" w:sz="4" w:space="0" w:color="auto"/>
            </w:tcBorders>
            <w:tcMar>
              <w:top w:w="0" w:type="dxa"/>
              <w:left w:w="28" w:type="dxa"/>
              <w:bottom w:w="0" w:type="dxa"/>
              <w:right w:w="28" w:type="dxa"/>
            </w:tcMar>
            <w:vAlign w:val="center"/>
          </w:tcPr>
          <w:p w14:paraId="588CA5E2" w14:textId="77777777" w:rsidR="000A0ACD" w:rsidRDefault="00362A99">
            <w:pPr>
              <w:jc w:val="center"/>
              <w:rPr>
                <w:rFonts w:ascii="Times New Roman" w:hAnsi="Times New Roman" w:cs="Times New Roman"/>
                <w:b/>
                <w:sz w:val="21"/>
                <w:szCs w:val="21"/>
              </w:rPr>
            </w:pPr>
            <w:r>
              <w:rPr>
                <w:rFonts w:ascii="Times New Roman" w:hAnsi="Times New Roman" w:cs="Times New Roman" w:hint="eastAsia"/>
                <w:b/>
                <w:sz w:val="21"/>
                <w:szCs w:val="21"/>
              </w:rPr>
              <w:t>合计</w:t>
            </w:r>
          </w:p>
        </w:tc>
        <w:tc>
          <w:tcPr>
            <w:tcW w:w="491" w:type="pct"/>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6C4AF63" w14:textId="77777777" w:rsidR="000A0ACD" w:rsidRDefault="00362A99">
            <w:pPr>
              <w:jc w:val="center"/>
              <w:rPr>
                <w:rFonts w:ascii="Times New Roman" w:hAnsi="Times New Roman" w:cs="Times New Roman"/>
                <w:b/>
                <w:sz w:val="21"/>
                <w:szCs w:val="21"/>
              </w:rPr>
            </w:pPr>
            <w:r>
              <w:rPr>
                <w:rFonts w:ascii="Times New Roman" w:hAnsi="Times New Roman" w:cs="Times New Roman"/>
                <w:b/>
                <w:sz w:val="21"/>
                <w:szCs w:val="21"/>
              </w:rPr>
              <w:t>—</w:t>
            </w:r>
          </w:p>
        </w:tc>
        <w:tc>
          <w:tcPr>
            <w:tcW w:w="680" w:type="pct"/>
            <w:tcBorders>
              <w:top w:val="single" w:sz="4" w:space="0" w:color="auto"/>
              <w:left w:val="single" w:sz="4" w:space="0" w:color="auto"/>
              <w:bottom w:val="single" w:sz="12" w:space="0" w:color="auto"/>
              <w:right w:val="single" w:sz="4" w:space="0" w:color="auto"/>
            </w:tcBorders>
            <w:shd w:val="clear" w:color="auto" w:fill="auto"/>
            <w:vAlign w:val="center"/>
          </w:tcPr>
          <w:p w14:paraId="62892C19"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11,834.70</w:t>
            </w:r>
          </w:p>
        </w:tc>
        <w:tc>
          <w:tcPr>
            <w:tcW w:w="681" w:type="pct"/>
            <w:tcBorders>
              <w:top w:val="single" w:sz="4" w:space="0" w:color="auto"/>
              <w:left w:val="single" w:sz="4" w:space="0" w:color="auto"/>
              <w:bottom w:val="single" w:sz="12" w:space="0" w:color="auto"/>
              <w:right w:val="single" w:sz="4" w:space="0" w:color="auto"/>
            </w:tcBorders>
            <w:shd w:val="clear" w:color="auto" w:fill="auto"/>
            <w:vAlign w:val="center"/>
          </w:tcPr>
          <w:p w14:paraId="436DB1B2" w14:textId="77777777" w:rsidR="000A0ACD" w:rsidRDefault="00362A99">
            <w:pPr>
              <w:jc w:val="right"/>
              <w:rPr>
                <w:rFonts w:ascii="Times New Roman" w:hAnsi="Times New Roman" w:cs="Times New Roman"/>
                <w:b/>
                <w:bCs/>
                <w:sz w:val="21"/>
                <w:szCs w:val="21"/>
              </w:rPr>
            </w:pPr>
            <w:r>
              <w:rPr>
                <w:rFonts w:ascii="Times New Roman" w:hAnsi="Times New Roman" w:cs="Times New Roman"/>
                <w:b/>
                <w:bCs/>
                <w:sz w:val="21"/>
                <w:szCs w:val="21"/>
              </w:rPr>
              <w:t>99.14</w:t>
            </w:r>
          </w:p>
        </w:tc>
        <w:tc>
          <w:tcPr>
            <w:tcW w:w="681" w:type="pct"/>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246C1BE" w14:textId="77777777" w:rsidR="000A0ACD" w:rsidRDefault="00362A99">
            <w:pPr>
              <w:jc w:val="right"/>
              <w:rPr>
                <w:rFonts w:ascii="Times New Roman" w:hAnsi="Times New Roman" w:cs="Times New Roman"/>
                <w:b/>
                <w:sz w:val="21"/>
                <w:szCs w:val="21"/>
              </w:rPr>
            </w:pPr>
            <w:r>
              <w:rPr>
                <w:rFonts w:ascii="Times New Roman" w:hAnsi="Times New Roman" w:cs="Times New Roman"/>
                <w:b/>
                <w:sz w:val="21"/>
                <w:szCs w:val="21"/>
              </w:rPr>
              <w:t>33,979.70</w:t>
            </w:r>
          </w:p>
        </w:tc>
        <w:tc>
          <w:tcPr>
            <w:tcW w:w="681" w:type="pct"/>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F838C2F" w14:textId="77777777" w:rsidR="000A0ACD" w:rsidRDefault="00362A99">
            <w:pPr>
              <w:jc w:val="right"/>
              <w:rPr>
                <w:rFonts w:ascii="Times New Roman" w:hAnsi="Times New Roman" w:cs="Times New Roman"/>
                <w:b/>
                <w:sz w:val="21"/>
                <w:szCs w:val="21"/>
              </w:rPr>
            </w:pPr>
            <w:r>
              <w:rPr>
                <w:rFonts w:ascii="Times New Roman" w:hAnsi="Times New Roman" w:cs="Times New Roman"/>
                <w:b/>
                <w:sz w:val="21"/>
                <w:szCs w:val="21"/>
              </w:rPr>
              <w:t>284.66</w:t>
            </w:r>
          </w:p>
        </w:tc>
        <w:tc>
          <w:tcPr>
            <w:tcW w:w="681" w:type="pct"/>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4A5D213" w14:textId="77777777" w:rsidR="000A0ACD" w:rsidRDefault="00362A99">
            <w:pPr>
              <w:jc w:val="right"/>
              <w:rPr>
                <w:rFonts w:ascii="Times New Roman" w:hAnsi="Times New Roman" w:cs="Times New Roman"/>
                <w:b/>
                <w:sz w:val="21"/>
                <w:szCs w:val="21"/>
              </w:rPr>
            </w:pPr>
            <w:r>
              <w:rPr>
                <w:rFonts w:ascii="Times New Roman" w:hAnsi="Times New Roman" w:cs="Times New Roman"/>
                <w:b/>
                <w:sz w:val="21"/>
                <w:szCs w:val="21"/>
              </w:rPr>
              <w:t>23,145.63</w:t>
            </w:r>
          </w:p>
        </w:tc>
        <w:tc>
          <w:tcPr>
            <w:tcW w:w="676" w:type="pct"/>
            <w:tcBorders>
              <w:top w:val="single" w:sz="4" w:space="0" w:color="auto"/>
              <w:left w:val="single" w:sz="4" w:space="0" w:color="auto"/>
              <w:bottom w:val="single" w:sz="12" w:space="0" w:color="auto"/>
              <w:right w:val="nil"/>
            </w:tcBorders>
            <w:tcMar>
              <w:top w:w="0" w:type="dxa"/>
              <w:left w:w="28" w:type="dxa"/>
              <w:bottom w:w="0" w:type="dxa"/>
              <w:right w:w="28" w:type="dxa"/>
            </w:tcMar>
            <w:vAlign w:val="center"/>
          </w:tcPr>
          <w:p w14:paraId="6878E510" w14:textId="77777777" w:rsidR="000A0ACD" w:rsidRDefault="00362A99">
            <w:pPr>
              <w:jc w:val="right"/>
              <w:rPr>
                <w:rFonts w:ascii="Times New Roman" w:hAnsi="Times New Roman" w:cs="Times New Roman"/>
                <w:b/>
                <w:sz w:val="21"/>
                <w:szCs w:val="21"/>
              </w:rPr>
            </w:pPr>
            <w:r>
              <w:rPr>
                <w:rFonts w:ascii="Times New Roman" w:hAnsi="Times New Roman" w:cs="Times New Roman"/>
                <w:b/>
                <w:sz w:val="21"/>
                <w:szCs w:val="21"/>
              </w:rPr>
              <w:t>193.89</w:t>
            </w:r>
          </w:p>
        </w:tc>
      </w:tr>
    </w:tbl>
    <w:p w14:paraId="58428E9A"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上述内容已在草案“第十一节</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同业竞争和关联交易”之“二、本次交易对关联交易的影响”之“（二）标的公司报告期内关联交易情况”中更新披露。</w:t>
      </w:r>
    </w:p>
    <w:p w14:paraId="0C659B3E" w14:textId="77777777" w:rsidR="000A0ACD" w:rsidRDefault="00362A99">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三、好品海智向标的资产销售机器人及相关配套服务的情形</w:t>
      </w:r>
    </w:p>
    <w:p w14:paraId="31014AAD" w14:textId="77777777"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标的资产就川崎机器人等产品可以较青岛好品海智信息技术有限公司获得更优惠的采购价格，因此存在标的公司向好品海智销售机器人及相关配套服务的情形。如</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30</w:t>
      </w:r>
      <w:r>
        <w:rPr>
          <w:rFonts w:ascii="Times New Roman" w:hAnsi="Times New Roman" w:cs="Times New Roman" w:hint="eastAsia"/>
          <w:bCs/>
          <w:color w:val="000000"/>
          <w:szCs w:val="21"/>
        </w:rPr>
        <w:t>日和</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5</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22</w:t>
      </w:r>
      <w:r>
        <w:rPr>
          <w:rFonts w:ascii="Times New Roman" w:hAnsi="Times New Roman" w:cs="Times New Roman" w:hint="eastAsia"/>
          <w:bCs/>
          <w:color w:val="000000"/>
          <w:szCs w:val="21"/>
        </w:rPr>
        <w:t>日，好品海智分别从北洋天青采购各型号川崎机器人</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台和</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台。</w:t>
      </w:r>
    </w:p>
    <w:p w14:paraId="199AAEAF" w14:textId="77777777" w:rsidR="000A0ACD" w:rsidRDefault="00362A99">
      <w:pPr>
        <w:suppressAutoHyphens/>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rPr>
        <w:t>以上内容已于重组报告书“第四节</w:t>
      </w:r>
      <w:r>
        <w:rPr>
          <w:rFonts w:ascii="Times New Roman" w:hAnsi="Times New Roman" w:cs="Times New Roman"/>
          <w:bCs/>
        </w:rPr>
        <w:t xml:space="preserve"> </w:t>
      </w:r>
      <w:r>
        <w:rPr>
          <w:rFonts w:ascii="Times New Roman" w:hAnsi="Times New Roman" w:cs="Times New Roman"/>
          <w:bCs/>
        </w:rPr>
        <w:t>交易标的基本情况</w:t>
      </w:r>
      <w:r>
        <w:rPr>
          <w:rFonts w:ascii="Times New Roman" w:hAnsi="Times New Roman" w:cs="Times New Roman" w:hint="eastAsia"/>
          <w:bCs/>
        </w:rPr>
        <w:t>”之“五、主营业务发展情况”之“（十）标的公司与海尔集团公司销售及采购情况”中补充披露。</w:t>
      </w:r>
    </w:p>
    <w:p w14:paraId="5E2C2F43" w14:textId="77777777" w:rsidR="000A0ACD" w:rsidRDefault="00362A99">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四、已删除相关风险提示</w:t>
      </w:r>
    </w:p>
    <w:p w14:paraId="601E0650" w14:textId="09FDBADA" w:rsidR="000A0ACD" w:rsidRDefault="00362A9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上市公司</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1</w:t>
      </w:r>
      <w:r>
        <w:rPr>
          <w:rFonts w:ascii="Times New Roman" w:hAnsi="Times New Roman" w:cs="Times New Roman" w:hint="eastAsia"/>
          <w:bCs/>
          <w:color w:val="000000"/>
          <w:szCs w:val="21"/>
        </w:rPr>
        <w:t>日公告《关于公司</w:t>
      </w:r>
      <w:r>
        <w:rPr>
          <w:rFonts w:ascii="Times New Roman" w:hAnsi="Times New Roman" w:cs="Times New Roman" w:hint="eastAsia"/>
          <w:bCs/>
          <w:color w:val="000000"/>
          <w:szCs w:val="21"/>
        </w:rPr>
        <w:t>A</w:t>
      </w:r>
      <w:r>
        <w:rPr>
          <w:rFonts w:ascii="Times New Roman" w:hAnsi="Times New Roman" w:cs="Times New Roman" w:hint="eastAsia"/>
          <w:bCs/>
          <w:color w:val="000000"/>
          <w:szCs w:val="21"/>
        </w:rPr>
        <w:t>股股票撤销退市风险警示暨停牌的公告》，上市公司股票已被撤销退市风险警示。根据上交所</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12</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31</w:t>
      </w:r>
      <w:r>
        <w:rPr>
          <w:rFonts w:ascii="Times New Roman" w:hAnsi="Times New Roman" w:cs="Times New Roman" w:hint="eastAsia"/>
          <w:bCs/>
          <w:color w:val="000000"/>
          <w:szCs w:val="21"/>
        </w:rPr>
        <w:t>日发布的《上海证券交易所股票上市规则（</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12</w:t>
      </w:r>
      <w:r>
        <w:rPr>
          <w:rFonts w:ascii="Times New Roman" w:hAnsi="Times New Roman" w:cs="Times New Roman" w:hint="eastAsia"/>
          <w:bCs/>
          <w:color w:val="000000"/>
          <w:szCs w:val="21"/>
        </w:rPr>
        <w:t>月修订）》和于</w:t>
      </w:r>
      <w:r>
        <w:rPr>
          <w:rFonts w:ascii="Times New Roman" w:hAnsi="Times New Roman" w:cs="Times New Roman" w:hint="eastAsia"/>
          <w:bCs/>
          <w:color w:val="000000"/>
          <w:szCs w:val="21"/>
        </w:rPr>
        <w:t>2021</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19</w:t>
      </w:r>
      <w:r>
        <w:rPr>
          <w:rFonts w:ascii="Times New Roman" w:hAnsi="Times New Roman" w:cs="Times New Roman" w:hint="eastAsia"/>
          <w:bCs/>
          <w:color w:val="000000"/>
          <w:szCs w:val="21"/>
        </w:rPr>
        <w:t>日发布《上海证券交易所主板股票上市和终止上市审核实施细则》，已删除重组报告书“第十二节</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风险因素”之“一、与本次交易相关的风险”之“（五）上市公司暂停上市的风险”。</w:t>
      </w:r>
    </w:p>
    <w:p w14:paraId="7AE51741" w14:textId="77777777" w:rsidR="000A0ACD" w:rsidRDefault="00362A99">
      <w:pPr>
        <w:spacing w:beforeLines="50" w:before="156" w:line="360" w:lineRule="auto"/>
        <w:jc w:val="both"/>
        <w:rPr>
          <w:rFonts w:ascii="Times New Roman" w:hAnsi="Times New Roman"/>
          <w:color w:val="000000"/>
          <w:szCs w:val="22"/>
        </w:rPr>
      </w:pPr>
      <w:r>
        <w:rPr>
          <w:color w:val="000000"/>
        </w:rPr>
        <w:br w:type="page"/>
      </w:r>
      <w:r>
        <w:rPr>
          <w:rFonts w:ascii="Times New Roman" w:hAnsi="Times New Roman" w:hint="eastAsia"/>
          <w:color w:val="000000"/>
          <w:szCs w:val="22"/>
        </w:rPr>
        <w:t>（本页无正文，为《北京京城机电股份有限公司关于发行股份及支付现金购买资产并募集配套资金的</w:t>
      </w:r>
      <w:r>
        <w:rPr>
          <w:rFonts w:ascii="Times New Roman" w:hAnsi="Times New Roman"/>
          <w:color w:val="000000"/>
          <w:szCs w:val="22"/>
        </w:rPr>
        <w:t>&lt;</w:t>
      </w:r>
      <w:r>
        <w:rPr>
          <w:rFonts w:ascii="Times New Roman" w:hAnsi="Times New Roman"/>
          <w:color w:val="000000"/>
          <w:szCs w:val="22"/>
        </w:rPr>
        <w:t>中国证监会行政许可项目审查一次反馈意见通知书</w:t>
      </w:r>
      <w:r>
        <w:rPr>
          <w:rFonts w:ascii="Times New Roman" w:hAnsi="Times New Roman"/>
          <w:color w:val="000000"/>
          <w:szCs w:val="22"/>
        </w:rPr>
        <w:t>&gt;</w:t>
      </w:r>
      <w:r>
        <w:rPr>
          <w:rFonts w:ascii="Times New Roman" w:hAnsi="Times New Roman" w:hint="eastAsia"/>
          <w:color w:val="000000"/>
          <w:szCs w:val="22"/>
        </w:rPr>
        <w:t>之反馈意见回复》之盖章页）</w:t>
      </w:r>
    </w:p>
    <w:p w14:paraId="41BA23E8" w14:textId="7E9A950A" w:rsidR="000A0ACD" w:rsidRPr="00E03D50" w:rsidRDefault="000A0ACD">
      <w:pPr>
        <w:spacing w:beforeLines="50" w:before="156" w:line="360" w:lineRule="auto"/>
        <w:jc w:val="both"/>
        <w:rPr>
          <w:rFonts w:ascii="Times New Roman" w:hAnsi="Times New Roman"/>
          <w:color w:val="000000"/>
          <w:szCs w:val="22"/>
        </w:rPr>
      </w:pPr>
    </w:p>
    <w:p w14:paraId="1D004889" w14:textId="3E58139A" w:rsidR="000A0ACD" w:rsidRDefault="000A0ACD">
      <w:pPr>
        <w:spacing w:beforeLines="50" w:before="156" w:line="360" w:lineRule="auto"/>
        <w:jc w:val="both"/>
        <w:rPr>
          <w:rFonts w:ascii="Times New Roman" w:hAnsi="Times New Roman"/>
          <w:color w:val="000000"/>
          <w:szCs w:val="22"/>
        </w:rPr>
      </w:pPr>
    </w:p>
    <w:p w14:paraId="2EEB6DA9" w14:textId="3DBE48AF" w:rsidR="000A0ACD" w:rsidRDefault="000A0ACD">
      <w:pPr>
        <w:spacing w:beforeLines="50" w:before="156" w:line="360" w:lineRule="auto"/>
        <w:jc w:val="both"/>
        <w:rPr>
          <w:rFonts w:ascii="Times New Roman" w:hAnsi="Times New Roman"/>
          <w:color w:val="000000"/>
          <w:szCs w:val="22"/>
        </w:rPr>
      </w:pPr>
    </w:p>
    <w:p w14:paraId="18DAC796" w14:textId="3BC265D2" w:rsidR="000A0ACD" w:rsidRDefault="000A0ACD">
      <w:pPr>
        <w:spacing w:beforeLines="50" w:before="156" w:line="360" w:lineRule="auto"/>
        <w:jc w:val="both"/>
        <w:rPr>
          <w:rFonts w:ascii="Times New Roman" w:hAnsi="Times New Roman"/>
          <w:color w:val="000000"/>
          <w:szCs w:val="22"/>
        </w:rPr>
      </w:pPr>
    </w:p>
    <w:p w14:paraId="1C277B25" w14:textId="77777777" w:rsidR="000A0ACD" w:rsidRDefault="000A0ACD">
      <w:pPr>
        <w:spacing w:beforeLines="50" w:before="156" w:line="360" w:lineRule="auto"/>
        <w:jc w:val="both"/>
        <w:rPr>
          <w:rFonts w:ascii="Times New Roman" w:hAnsi="Times New Roman"/>
          <w:color w:val="000000"/>
          <w:szCs w:val="22"/>
        </w:rPr>
      </w:pPr>
    </w:p>
    <w:p w14:paraId="31ABF004" w14:textId="77777777" w:rsidR="000A0ACD" w:rsidRDefault="00362A99">
      <w:pPr>
        <w:spacing w:beforeLines="50" w:before="156" w:line="360" w:lineRule="auto"/>
        <w:jc w:val="right"/>
        <w:rPr>
          <w:rFonts w:ascii="Times New Roman" w:hAnsi="Times New Roman"/>
          <w:color w:val="000000"/>
          <w:szCs w:val="22"/>
        </w:rPr>
      </w:pPr>
      <w:r>
        <w:rPr>
          <w:rFonts w:ascii="Times New Roman" w:hAnsi="Times New Roman" w:hint="eastAsia"/>
          <w:color w:val="000000"/>
          <w:szCs w:val="22"/>
        </w:rPr>
        <w:t>北京京城机电股份有限公司</w:t>
      </w:r>
    </w:p>
    <w:p w14:paraId="2C239E6C" w14:textId="77777777" w:rsidR="000A0ACD" w:rsidRDefault="000A0ACD">
      <w:pPr>
        <w:spacing w:beforeLines="50" w:before="156" w:line="360" w:lineRule="auto"/>
        <w:jc w:val="right"/>
        <w:rPr>
          <w:rFonts w:ascii="Times New Roman" w:hAnsi="Times New Roman"/>
          <w:color w:val="000000"/>
          <w:szCs w:val="22"/>
        </w:rPr>
      </w:pPr>
    </w:p>
    <w:p w14:paraId="6D816E52" w14:textId="77777777" w:rsidR="000A0ACD" w:rsidRDefault="00362A99">
      <w:pPr>
        <w:wordWrap w:val="0"/>
        <w:spacing w:beforeLines="50" w:before="156" w:line="360" w:lineRule="auto"/>
        <w:jc w:val="right"/>
        <w:rPr>
          <w:rFonts w:ascii="Times New Roman" w:hAnsi="Times New Roman"/>
          <w:color w:val="000000"/>
          <w:szCs w:val="22"/>
        </w:rPr>
      </w:pPr>
      <w:r>
        <w:rPr>
          <w:rFonts w:ascii="Times New Roman" w:hAnsi="Times New Roman" w:hint="eastAsia"/>
          <w:color w:val="000000"/>
          <w:szCs w:val="22"/>
        </w:rPr>
        <w:t>年</w:t>
      </w:r>
      <w:r>
        <w:rPr>
          <w:rFonts w:ascii="Times New Roman" w:hAnsi="Times New Roman"/>
          <w:color w:val="000000"/>
          <w:szCs w:val="22"/>
        </w:rPr>
        <w:t xml:space="preserve">     </w:t>
      </w:r>
      <w:r>
        <w:rPr>
          <w:rFonts w:ascii="Times New Roman" w:hAnsi="Times New Roman" w:hint="eastAsia"/>
          <w:color w:val="000000"/>
          <w:szCs w:val="22"/>
        </w:rPr>
        <w:t>月</w:t>
      </w:r>
      <w:r>
        <w:rPr>
          <w:rFonts w:ascii="Times New Roman" w:hAnsi="Times New Roman"/>
          <w:color w:val="000000"/>
          <w:szCs w:val="22"/>
        </w:rPr>
        <w:t xml:space="preserve">     </w:t>
      </w:r>
      <w:r>
        <w:rPr>
          <w:rFonts w:ascii="Times New Roman" w:hAnsi="Times New Roman" w:hint="eastAsia"/>
          <w:color w:val="000000"/>
          <w:szCs w:val="22"/>
        </w:rPr>
        <w:t>日</w:t>
      </w:r>
    </w:p>
    <w:sectPr w:rsidR="000A0A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DBFB" w14:textId="77777777" w:rsidR="007D7C70" w:rsidRDefault="007D7C70">
      <w:r>
        <w:separator/>
      </w:r>
    </w:p>
  </w:endnote>
  <w:endnote w:type="continuationSeparator" w:id="0">
    <w:p w14:paraId="2CEF465F" w14:textId="77777777" w:rsidR="007D7C70" w:rsidRDefault="007D7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default"/>
    <w:sig w:usb0="00000000" w:usb1="0000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昆仑楷体">
    <w:altName w:val="黑体"/>
    <w:charset w:val="86"/>
    <w:family w:val="modern"/>
    <w:pitch w:val="default"/>
    <w:sig w:usb0="00000000" w:usb1="00000000" w:usb2="00000010" w:usb3="00000000" w:csb0="00040000" w:csb1="00000000"/>
  </w:font>
  <w:font w:name="Sim Sun">
    <w:altName w:val="微软雅黑"/>
    <w:charset w:val="00"/>
    <w:family w:val="roman"/>
    <w:pitch w:val="default"/>
  </w:font>
  <w:font w:name="幼圆">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方正仿宋简体">
    <w:altName w:val="Arial Unicode MS"/>
    <w:charset w:val="86"/>
    <w:family w:val="roman"/>
    <w:pitch w:val="default"/>
  </w:font>
  <w:font w:name="Garamond">
    <w:panose1 w:val="02020404030301010803"/>
    <w:charset w:val="00"/>
    <w:family w:val="roman"/>
    <w:pitch w:val="variable"/>
    <w:sig w:usb0="00000287" w:usb1="00000000" w:usb2="00000000" w:usb3="00000000" w:csb0="0000009F" w:csb1="00000000"/>
  </w:font>
  <w:font w:name="MS Sans Serif">
    <w:altName w:val="Arial"/>
    <w:charset w:val="00"/>
    <w:family w:val="roman"/>
    <w:pitch w:val="default"/>
  </w:font>
  <w:font w:name="文鼎小标宋简">
    <w:altName w:val="宋体"/>
    <w:charset w:val="86"/>
    <w:family w:val="roman"/>
    <w:pitch w:val="default"/>
  </w:font>
  <w:font w:name="UBSHeadline">
    <w:altName w:val="Times New Roman"/>
    <w:charset w:val="00"/>
    <w:family w:val="roman"/>
    <w:pitch w:val="default"/>
    <w:sig w:usb0="00000000" w:usb1="000000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Angsana New">
    <w:panose1 w:val="02020603050405020304"/>
    <w:charset w:val="DE"/>
    <w:family w:val="roman"/>
    <w:pitch w:val="variable"/>
    <w:sig w:usb0="81000003" w:usb1="00000000" w:usb2="00000000" w:usb3="00000000" w:csb0="00010001" w:csb1="00000000"/>
  </w:font>
  <w:font w:name="ˎ̥">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
    <w:altName w:val="等线"/>
    <w:charset w:val="00"/>
    <w:family w:val="auto"/>
    <w:pitch w:val="default"/>
    <w:sig w:usb0="00000000" w:usb1="00000000" w:usb2="00000000" w:usb3="00000000" w:csb0="00040001" w:csb1="00000000"/>
  </w:font>
  <w:font w:name="Times">
    <w:panose1 w:val="02020603050405020304"/>
    <w:charset w:val="00"/>
    <w:family w:val="roman"/>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pitch w:val="default"/>
    <w:sig w:usb0="00000000"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ZShuSong-Z01">
    <w:altName w:val="宋体"/>
    <w:charset w:val="00"/>
    <w:family w:val="roman"/>
    <w:pitch w:val="default"/>
  </w:font>
  <w:font w:name="Lucida Grande">
    <w:altName w:val="Courier New"/>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7A358" w14:textId="3135AD00" w:rsidR="008918B1" w:rsidRPr="00FA5D2C" w:rsidRDefault="008918B1">
    <w:pPr>
      <w:pStyle w:val="aff8"/>
      <w:jc w:val="center"/>
      <w:rPr>
        <w:rFonts w:ascii="Times New Roman" w:hAnsi="Times New Roman" w:cs="Times New Roman"/>
        <w:sz w:val="21"/>
        <w:szCs w:val="21"/>
      </w:rPr>
    </w:pPr>
    <w:r w:rsidRPr="00FA5D2C">
      <w:rPr>
        <w:rFonts w:ascii="Times New Roman" w:hAnsi="Times New Roman" w:cs="Times New Roman"/>
        <w:sz w:val="21"/>
        <w:szCs w:val="21"/>
      </w:rPr>
      <w:t>1-1-</w:t>
    </w:r>
    <w:sdt>
      <w:sdtPr>
        <w:rPr>
          <w:rFonts w:ascii="Times New Roman" w:hAnsi="Times New Roman" w:cs="Times New Roman"/>
          <w:sz w:val="21"/>
          <w:szCs w:val="21"/>
        </w:rPr>
        <w:id w:val="1336802453"/>
        <w:docPartObj>
          <w:docPartGallery w:val="Page Numbers (Bottom of Page)"/>
          <w:docPartUnique/>
        </w:docPartObj>
      </w:sdtPr>
      <w:sdtEndPr/>
      <w:sdtContent>
        <w:r w:rsidRPr="00FA5D2C">
          <w:rPr>
            <w:rFonts w:ascii="Times New Roman" w:hAnsi="Times New Roman" w:cs="Times New Roman"/>
            <w:sz w:val="21"/>
            <w:szCs w:val="21"/>
          </w:rPr>
          <w:fldChar w:fldCharType="begin"/>
        </w:r>
        <w:r w:rsidRPr="00FA5D2C">
          <w:rPr>
            <w:rFonts w:ascii="Times New Roman" w:hAnsi="Times New Roman" w:cs="Times New Roman"/>
            <w:sz w:val="21"/>
            <w:szCs w:val="21"/>
          </w:rPr>
          <w:instrText>PAGE   \* MERGEFORMAT</w:instrText>
        </w:r>
        <w:r w:rsidRPr="00FA5D2C">
          <w:rPr>
            <w:rFonts w:ascii="Times New Roman" w:hAnsi="Times New Roman" w:cs="Times New Roman"/>
            <w:sz w:val="21"/>
            <w:szCs w:val="21"/>
          </w:rPr>
          <w:fldChar w:fldCharType="separate"/>
        </w:r>
        <w:r w:rsidRPr="00FA5D2C">
          <w:rPr>
            <w:rFonts w:ascii="Times New Roman" w:hAnsi="Times New Roman" w:cs="Times New Roman"/>
            <w:noProof/>
            <w:sz w:val="21"/>
            <w:szCs w:val="21"/>
            <w:lang w:val="zh-CN"/>
          </w:rPr>
          <w:t>160</w:t>
        </w:r>
        <w:r w:rsidRPr="00FA5D2C">
          <w:rPr>
            <w:rFonts w:ascii="Times New Roman" w:hAnsi="Times New Roman" w:cs="Times New Roman"/>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61A50" w14:textId="77777777" w:rsidR="007D7C70" w:rsidRDefault="007D7C70">
      <w:r>
        <w:separator/>
      </w:r>
    </w:p>
  </w:footnote>
  <w:footnote w:type="continuationSeparator" w:id="0">
    <w:p w14:paraId="096FC30C" w14:textId="77777777" w:rsidR="007D7C70" w:rsidRDefault="007D7C70">
      <w:r>
        <w:continuationSeparator/>
      </w:r>
    </w:p>
  </w:footnote>
  <w:footnote w:id="1">
    <w:p w14:paraId="53933FFA" w14:textId="77777777" w:rsidR="008918B1" w:rsidRDefault="008918B1">
      <w:pPr>
        <w:pStyle w:val="afff3"/>
        <w:rPr>
          <w:rFonts w:eastAsia="宋体"/>
        </w:rPr>
      </w:pPr>
      <w:r>
        <w:rPr>
          <w:rStyle w:val="affffc"/>
          <w:rFonts w:eastAsia="宋体"/>
        </w:rPr>
        <w:footnoteRef/>
      </w:r>
      <w:r>
        <w:rPr>
          <w:rFonts w:eastAsia="宋体" w:hint="eastAsia"/>
        </w:rPr>
        <w:t>上市公司</w:t>
      </w:r>
      <w:r>
        <w:rPr>
          <w:rFonts w:eastAsia="宋体"/>
        </w:rPr>
        <w:t>2021</w:t>
      </w:r>
      <w:r>
        <w:rPr>
          <w:rFonts w:eastAsia="宋体" w:hint="eastAsia"/>
        </w:rPr>
        <w:t>年营运资金需求量计算公式为：</w:t>
      </w:r>
      <w:r>
        <w:rPr>
          <w:rFonts w:eastAsia="宋体"/>
        </w:rPr>
        <w:t>2020</w:t>
      </w:r>
      <w:r>
        <w:rPr>
          <w:rFonts w:eastAsia="宋体" w:hint="eastAsia"/>
        </w:rPr>
        <w:t>年度销售收入</w:t>
      </w:r>
      <w:r>
        <w:rPr>
          <w:rFonts w:eastAsia="宋体"/>
        </w:rPr>
        <w:t>*</w:t>
      </w:r>
      <w:r>
        <w:rPr>
          <w:rFonts w:eastAsia="宋体" w:hint="eastAsia"/>
        </w:rPr>
        <w:t>（</w:t>
      </w:r>
      <w:r>
        <w:rPr>
          <w:rFonts w:eastAsia="宋体"/>
        </w:rPr>
        <w:t>1-2020</w:t>
      </w:r>
      <w:r>
        <w:rPr>
          <w:rFonts w:eastAsia="宋体" w:hint="eastAsia"/>
        </w:rPr>
        <w:t>年度销售利润率）</w:t>
      </w:r>
      <w:r>
        <w:rPr>
          <w:rFonts w:eastAsia="宋体"/>
        </w:rPr>
        <w:t>*</w:t>
      </w:r>
      <w:r>
        <w:rPr>
          <w:rFonts w:eastAsia="宋体" w:hint="eastAsia"/>
        </w:rPr>
        <w:t>预计销售收入年增长率（结合上市公司历史情况，取值为</w:t>
      </w:r>
      <w:r>
        <w:rPr>
          <w:rFonts w:eastAsia="宋体"/>
        </w:rPr>
        <w:t>5%</w:t>
      </w:r>
      <w:r>
        <w:rPr>
          <w:rFonts w:eastAsia="宋体" w:hint="eastAsia"/>
        </w:rPr>
        <w:t>计算）</w:t>
      </w:r>
      <w:r>
        <w:rPr>
          <w:rFonts w:eastAsia="宋体"/>
        </w:rPr>
        <w:t>/2020</w:t>
      </w:r>
      <w:r>
        <w:rPr>
          <w:rFonts w:eastAsia="宋体" w:hint="eastAsia"/>
        </w:rPr>
        <w:t>年营运资金周转次数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4"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5" w15:restartNumberingAfterBreak="0">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6" w15:restartNumberingAfterBreak="0">
    <w:nsid w:val="FFFFFF83"/>
    <w:multiLevelType w:val="singleLevel"/>
    <w:tmpl w:val="FFFFFF83"/>
    <w:lvl w:ilvl="0">
      <w:start w:val="1"/>
      <w:numFmt w:val="bullet"/>
      <w:pStyle w:val="2"/>
      <w:lvlText w:val=""/>
      <w:lvlJc w:val="left"/>
      <w:pPr>
        <w:tabs>
          <w:tab w:val="left" w:pos="567"/>
        </w:tabs>
        <w:ind w:left="851" w:hanging="284"/>
      </w:pPr>
      <w:rPr>
        <w:rFonts w:ascii="Symbol" w:hAnsi="Symbol" w:hint="default"/>
      </w:rPr>
    </w:lvl>
  </w:abstractNum>
  <w:abstractNum w:abstractNumId="7" w15:restartNumberingAfterBreak="0">
    <w:nsid w:val="00000004"/>
    <w:multiLevelType w:val="multilevel"/>
    <w:tmpl w:val="00000004"/>
    <w:lvl w:ilvl="0">
      <w:start w:val="1"/>
      <w:numFmt w:val="decimal"/>
      <w:pStyle w:val="1-1"/>
      <w:suff w:val="space"/>
      <w:lvlText w:val="%1、"/>
      <w:lvlJc w:val="left"/>
      <w:pPr>
        <w:ind w:left="360" w:hanging="360"/>
      </w:pPr>
    </w:lvl>
    <w:lvl w:ilvl="1">
      <w:start w:val="1"/>
      <w:numFmt w:val="decimal"/>
      <w:pStyle w:val="a1"/>
      <w:isLgl/>
      <w:suff w:val="space"/>
      <w:lvlText w:val="%1.%2、"/>
      <w:lvlJc w:val="left"/>
      <w:pPr>
        <w:ind w:left="360" w:hanging="360"/>
      </w:pPr>
      <w:rPr>
        <w:rFonts w:cs="Times New Roman" w:hint="eastAsia"/>
        <w:i w:val="0"/>
        <w:iCs w:val="0"/>
        <w:caps w:val="0"/>
        <w:smallCaps w:val="0"/>
        <w:vanish w:val="0"/>
        <w:color w:val="000000"/>
        <w:spacing w:val="0"/>
        <w:position w:val="0"/>
        <w:u w:val="none"/>
        <w:vertAlign w:val="baseline"/>
      </w:rPr>
    </w:lvl>
    <w:lvl w:ilvl="2">
      <w:start w:val="1"/>
      <w:numFmt w:val="decimal"/>
      <w:pStyle w:val="zhengwen1"/>
      <w:suff w:val="space"/>
      <w:lvlText w:val="%1.%2.%3、"/>
      <w:lvlJc w:val="left"/>
      <w:pPr>
        <w:ind w:left="0" w:firstLine="0"/>
      </w:pPr>
      <w:rPr>
        <w:rFonts w:cs="Times New Roman" w:hint="default"/>
        <w:i w:val="0"/>
        <w:iCs w:val="0"/>
        <w:caps w:val="0"/>
        <w:smallCaps w:val="0"/>
        <w:vanish w:val="0"/>
        <w:color w:val="000000"/>
        <w:spacing w:val="0"/>
        <w:position w:val="0"/>
        <w:u w:val="none"/>
        <w:vertAlign w:val="baseline"/>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 w15:restartNumberingAfterBreak="0">
    <w:nsid w:val="08E2797C"/>
    <w:multiLevelType w:val="multilevel"/>
    <w:tmpl w:val="08E2797C"/>
    <w:lvl w:ilvl="0">
      <w:start w:val="1"/>
      <w:numFmt w:val="decimal"/>
      <w:pStyle w:val="KWListNumber"/>
      <w:lvlText w:val="%1"/>
      <w:lvlJc w:val="left"/>
      <w:pPr>
        <w:tabs>
          <w:tab w:val="left" w:pos="1134"/>
        </w:tabs>
        <w:ind w:left="1134" w:hanging="567"/>
      </w:pPr>
      <w:rPr>
        <w:rFonts w:ascii="Arial" w:eastAsia="楷体_GB2312" w:hAnsi="Arial" w:hint="default"/>
        <w:sz w:val="20"/>
      </w:rPr>
    </w:lvl>
    <w:lvl w:ilvl="1">
      <w:start w:val="1"/>
      <w:numFmt w:val="lowerLetter"/>
      <w:lvlText w:val="%2)"/>
      <w:lvlJc w:val="left"/>
      <w:pPr>
        <w:tabs>
          <w:tab w:val="left" w:pos="1701"/>
        </w:tabs>
        <w:ind w:left="1701" w:hanging="567"/>
      </w:pPr>
      <w:rPr>
        <w:rFonts w:ascii="Arial" w:hAnsi="Arial" w:hint="default"/>
        <w:sz w:val="16"/>
      </w:rPr>
    </w:lvl>
    <w:lvl w:ilvl="2">
      <w:start w:val="1"/>
      <w:numFmt w:val="lowerRoman"/>
      <w:lvlText w:val="%3."/>
      <w:lvlJc w:val="left"/>
      <w:pPr>
        <w:tabs>
          <w:tab w:val="left" w:pos="2268"/>
        </w:tabs>
        <w:ind w:left="2268" w:hanging="567"/>
      </w:pPr>
      <w:rPr>
        <w:rFonts w:ascii="Arial" w:hAnsi="Arial" w:hint="default"/>
        <w:sz w:val="16"/>
      </w:rPr>
    </w:lvl>
    <w:lvl w:ilvl="3">
      <w:start w:val="1"/>
      <w:numFmt w:val="none"/>
      <w:lvlText w:val=""/>
      <w:lvlJc w:val="left"/>
      <w:pPr>
        <w:tabs>
          <w:tab w:val="left" w:pos="2268"/>
        </w:tabs>
        <w:ind w:left="2268" w:hanging="567"/>
      </w:pPr>
      <w:rPr>
        <w:rFonts w:hint="eastAsia"/>
      </w:rPr>
    </w:lvl>
    <w:lvl w:ilvl="4">
      <w:start w:val="1"/>
      <w:numFmt w:val="none"/>
      <w:lvlText w:val=""/>
      <w:lvlJc w:val="left"/>
      <w:pPr>
        <w:tabs>
          <w:tab w:val="left" w:pos="2268"/>
        </w:tabs>
        <w:ind w:left="2268" w:hanging="567"/>
      </w:pPr>
      <w:rPr>
        <w:rFonts w:hint="eastAsia"/>
      </w:rPr>
    </w:lvl>
    <w:lvl w:ilvl="5">
      <w:start w:val="1"/>
      <w:numFmt w:val="none"/>
      <w:lvlText w:val=""/>
      <w:lvlJc w:val="left"/>
      <w:pPr>
        <w:tabs>
          <w:tab w:val="left" w:pos="2268"/>
        </w:tabs>
        <w:ind w:left="2268" w:hanging="567"/>
      </w:pPr>
      <w:rPr>
        <w:rFonts w:hint="eastAsia"/>
      </w:rPr>
    </w:lvl>
    <w:lvl w:ilvl="6">
      <w:start w:val="1"/>
      <w:numFmt w:val="none"/>
      <w:lvlText w:val=""/>
      <w:lvlJc w:val="left"/>
      <w:pPr>
        <w:tabs>
          <w:tab w:val="left" w:pos="2268"/>
        </w:tabs>
        <w:ind w:left="2268" w:hanging="567"/>
      </w:pPr>
      <w:rPr>
        <w:rFonts w:hint="eastAsia"/>
      </w:rPr>
    </w:lvl>
    <w:lvl w:ilvl="7">
      <w:start w:val="1"/>
      <w:numFmt w:val="none"/>
      <w:lvlText w:val=""/>
      <w:lvlJc w:val="left"/>
      <w:pPr>
        <w:tabs>
          <w:tab w:val="left" w:pos="2268"/>
        </w:tabs>
        <w:ind w:left="2268" w:hanging="567"/>
      </w:pPr>
      <w:rPr>
        <w:rFonts w:hint="eastAsia"/>
      </w:rPr>
    </w:lvl>
    <w:lvl w:ilvl="8">
      <w:start w:val="1"/>
      <w:numFmt w:val="none"/>
      <w:lvlText w:val=""/>
      <w:lvlJc w:val="left"/>
      <w:pPr>
        <w:tabs>
          <w:tab w:val="left" w:pos="2268"/>
        </w:tabs>
        <w:ind w:left="2268" w:hanging="567"/>
      </w:pPr>
      <w:rPr>
        <w:rFonts w:hint="eastAsia"/>
      </w:rPr>
    </w:lvl>
  </w:abstractNum>
  <w:abstractNum w:abstractNumId="9" w15:restartNumberingAfterBreak="0">
    <w:nsid w:val="26066388"/>
    <w:multiLevelType w:val="multilevel"/>
    <w:tmpl w:val="26066388"/>
    <w:lvl w:ilvl="0">
      <w:start w:val="1"/>
      <w:numFmt w:val="decimal"/>
      <w:pStyle w:val="Schedule1"/>
      <w:lvlText w:val="%1"/>
      <w:lvlJc w:val="left"/>
      <w:pPr>
        <w:tabs>
          <w:tab w:val="left" w:pos="851"/>
        </w:tabs>
        <w:ind w:left="0" w:firstLine="0"/>
      </w:pPr>
      <w:rPr>
        <w:b/>
        <w:i w:val="0"/>
        <w:sz w:val="24"/>
        <w:szCs w:val="24"/>
      </w:rPr>
    </w:lvl>
    <w:lvl w:ilvl="1">
      <w:start w:val="1"/>
      <w:numFmt w:val="decimal"/>
      <w:pStyle w:val="Schedule2"/>
      <w:isLgl/>
      <w:lvlText w:val="3.%2"/>
      <w:lvlJc w:val="left"/>
      <w:pPr>
        <w:tabs>
          <w:tab w:val="left" w:pos="1457"/>
        </w:tabs>
        <w:ind w:left="-131" w:firstLine="851"/>
      </w:pPr>
      <w:rPr>
        <w:rFonts w:ascii="Times New Roman" w:eastAsia="宋体" w:hAnsi="Times New Roman" w:cs="Times New Roman" w:hint="default"/>
        <w:b w:val="0"/>
        <w:i w:val="0"/>
        <w:sz w:val="24"/>
        <w:szCs w:val="24"/>
      </w:rPr>
    </w:lvl>
    <w:lvl w:ilvl="2">
      <w:start w:val="1"/>
      <w:numFmt w:val="lowerLetter"/>
      <w:pStyle w:val="Schedule3"/>
      <w:lvlText w:val="%3）"/>
      <w:lvlJc w:val="left"/>
      <w:pPr>
        <w:tabs>
          <w:tab w:val="left" w:pos="1157"/>
        </w:tabs>
        <w:ind w:left="-261" w:firstLine="1701"/>
      </w:pPr>
      <w:rPr>
        <w:b w:val="0"/>
        <w:i w:val="0"/>
        <w:sz w:val="24"/>
        <w:szCs w:val="24"/>
      </w:rPr>
    </w:lvl>
    <w:lvl w:ilvl="3">
      <w:start w:val="1"/>
      <w:numFmt w:val="lowerRoman"/>
      <w:pStyle w:val="Schedule4"/>
      <w:lvlText w:val="(%4)"/>
      <w:lvlJc w:val="left"/>
      <w:pPr>
        <w:tabs>
          <w:tab w:val="left" w:pos="2721"/>
        </w:tabs>
        <w:ind w:left="2721" w:hanging="680"/>
      </w:pPr>
    </w:lvl>
    <w:lvl w:ilvl="4">
      <w:start w:val="1"/>
      <w:numFmt w:val="lowerLetter"/>
      <w:pStyle w:val="Schedule5"/>
      <w:lvlText w:val="(%5)"/>
      <w:lvlJc w:val="left"/>
      <w:pPr>
        <w:tabs>
          <w:tab w:val="left" w:pos="3288"/>
        </w:tabs>
        <w:ind w:left="3288" w:hanging="567"/>
      </w:pPr>
    </w:lvl>
    <w:lvl w:ilvl="5">
      <w:start w:val="1"/>
      <w:numFmt w:val="upperRoman"/>
      <w:pStyle w:val="Schedule6"/>
      <w:lvlText w:val="(%6)"/>
      <w:lvlJc w:val="left"/>
      <w:pPr>
        <w:tabs>
          <w:tab w:val="left" w:pos="3969"/>
        </w:tabs>
        <w:ind w:left="3969" w:hanging="681"/>
      </w:pPr>
    </w:lvl>
    <w:lvl w:ilvl="6">
      <w:start w:val="1"/>
      <w:numFmt w:val="none"/>
      <w:lvlText w:val=""/>
      <w:lvlJc w:val="left"/>
      <w:pPr>
        <w:tabs>
          <w:tab w:val="left" w:pos="3969"/>
        </w:tabs>
        <w:ind w:left="3969" w:hanging="680"/>
      </w:pPr>
    </w:lvl>
    <w:lvl w:ilvl="7">
      <w:start w:val="1"/>
      <w:numFmt w:val="none"/>
      <w:lvlText w:val=""/>
      <w:lvlJc w:val="left"/>
      <w:pPr>
        <w:tabs>
          <w:tab w:val="left" w:pos="3969"/>
        </w:tabs>
        <w:ind w:left="3969" w:hanging="680"/>
      </w:pPr>
    </w:lvl>
    <w:lvl w:ilvl="8">
      <w:start w:val="1"/>
      <w:numFmt w:val="none"/>
      <w:lvlText w:val=""/>
      <w:lvlJc w:val="left"/>
      <w:pPr>
        <w:tabs>
          <w:tab w:val="left" w:pos="3969"/>
        </w:tabs>
        <w:ind w:left="3969" w:hanging="680"/>
      </w:pPr>
    </w:lvl>
  </w:abstractNum>
  <w:abstractNum w:abstractNumId="10" w15:restartNumberingAfterBreak="0">
    <w:nsid w:val="2F9A7347"/>
    <w:multiLevelType w:val="multilevel"/>
    <w:tmpl w:val="2F9A7347"/>
    <w:lvl w:ilvl="0">
      <w:start w:val="1"/>
      <w:numFmt w:val="decimal"/>
      <w:pStyle w:val="a"/>
      <w:lvlText w:val="%1"/>
      <w:lvlJc w:val="left"/>
      <w:pPr>
        <w:tabs>
          <w:tab w:val="left" w:pos="567"/>
        </w:tabs>
        <w:ind w:left="567" w:hanging="567"/>
      </w:pPr>
      <w:rPr>
        <w:rFonts w:hint="default"/>
      </w:rPr>
    </w:lvl>
    <w:lvl w:ilvl="1">
      <w:start w:val="1"/>
      <w:numFmt w:val="lowerLetter"/>
      <w:lvlText w:val="(%2)"/>
      <w:lvlJc w:val="left"/>
      <w:pPr>
        <w:tabs>
          <w:tab w:val="left" w:pos="1134"/>
        </w:tabs>
        <w:ind w:left="1134" w:hanging="567"/>
      </w:pPr>
      <w:rPr>
        <w:rFonts w:hint="default"/>
      </w:rPr>
    </w:lvl>
    <w:lvl w:ilvl="2">
      <w:start w:val="1"/>
      <w:numFmt w:val="none"/>
      <w:lvlText w:val="%3"/>
      <w:lvlJc w:val="left"/>
      <w:pPr>
        <w:tabs>
          <w:tab w:val="left" w:pos="1701"/>
        </w:tabs>
        <w:ind w:left="1701" w:hanging="567"/>
      </w:pPr>
      <w:rPr>
        <w:rFonts w:hint="default"/>
      </w:rPr>
    </w:lvl>
    <w:lvl w:ilvl="3">
      <w:start w:val="1"/>
      <w:numFmt w:val="none"/>
      <w:lvlText w:val=""/>
      <w:lvlJc w:val="left"/>
      <w:pPr>
        <w:tabs>
          <w:tab w:val="left" w:pos="2268"/>
        </w:tabs>
        <w:ind w:left="2268" w:hanging="567"/>
      </w:pPr>
      <w:rPr>
        <w:rFonts w:hint="default"/>
      </w:rPr>
    </w:lvl>
    <w:lvl w:ilvl="4">
      <w:start w:val="1"/>
      <w:numFmt w:val="none"/>
      <w:lvlText w:val=""/>
      <w:lvlJc w:val="left"/>
      <w:pPr>
        <w:tabs>
          <w:tab w:val="left" w:pos="2835"/>
        </w:tabs>
        <w:ind w:left="2835" w:hanging="567"/>
      </w:pPr>
      <w:rPr>
        <w:rFonts w:hint="default"/>
      </w:rPr>
    </w:lvl>
    <w:lvl w:ilvl="5">
      <w:start w:val="1"/>
      <w:numFmt w:val="none"/>
      <w:lvlText w:val=""/>
      <w:lvlJc w:val="left"/>
      <w:pPr>
        <w:tabs>
          <w:tab w:val="left" w:pos="3402"/>
        </w:tabs>
        <w:ind w:left="3402" w:hanging="567"/>
      </w:pPr>
      <w:rPr>
        <w:rFonts w:hint="default"/>
      </w:rPr>
    </w:lvl>
    <w:lvl w:ilvl="6">
      <w:start w:val="1"/>
      <w:numFmt w:val="none"/>
      <w:lvlText w:val="%7"/>
      <w:lvlJc w:val="left"/>
      <w:pPr>
        <w:tabs>
          <w:tab w:val="left" w:pos="3969"/>
        </w:tabs>
        <w:ind w:left="3969" w:hanging="567"/>
      </w:pPr>
      <w:rPr>
        <w:rFonts w:hint="default"/>
      </w:rPr>
    </w:lvl>
    <w:lvl w:ilvl="7">
      <w:start w:val="1"/>
      <w:numFmt w:val="none"/>
      <w:lvlText w:val="%8"/>
      <w:lvlJc w:val="left"/>
      <w:pPr>
        <w:tabs>
          <w:tab w:val="left" w:pos="4896"/>
        </w:tabs>
        <w:ind w:left="4896" w:hanging="567"/>
      </w:pPr>
      <w:rPr>
        <w:rFonts w:hint="default"/>
      </w:rPr>
    </w:lvl>
    <w:lvl w:ilvl="8">
      <w:start w:val="1"/>
      <w:numFmt w:val="none"/>
      <w:lvlText w:val="%9"/>
      <w:lvlJc w:val="left"/>
      <w:pPr>
        <w:tabs>
          <w:tab w:val="left" w:pos="4536"/>
        </w:tabs>
        <w:ind w:left="4536" w:hanging="567"/>
      </w:pPr>
      <w:rPr>
        <w:rFonts w:hint="default"/>
      </w:rPr>
    </w:lvl>
  </w:abstractNum>
  <w:abstractNum w:abstractNumId="11" w15:restartNumberingAfterBreak="0">
    <w:nsid w:val="475B3203"/>
    <w:multiLevelType w:val="multilevel"/>
    <w:tmpl w:val="475B3203"/>
    <w:lvl w:ilvl="0">
      <w:start w:val="1"/>
      <w:numFmt w:val="none"/>
      <w:pStyle w:val="AODocTxt"/>
      <w:suff w:val="nothing"/>
      <w:lvlText w:val=""/>
      <w:lvlJc w:val="left"/>
      <w:pPr>
        <w:ind w:left="0" w:firstLine="0"/>
      </w:pPr>
    </w:lvl>
    <w:lvl w:ilvl="1">
      <w:start w:val="1"/>
      <w:numFmt w:val="none"/>
      <w:pStyle w:val="AODocTxtL1CharChar"/>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2" w15:restartNumberingAfterBreak="0">
    <w:nsid w:val="482E533D"/>
    <w:multiLevelType w:val="multilevel"/>
    <w:tmpl w:val="482E533D"/>
    <w:lvl w:ilvl="0">
      <w:start w:val="1"/>
      <w:numFmt w:val="bullet"/>
      <w:pStyle w:val="KWListBullet"/>
      <w:lvlText w:val=""/>
      <w:lvlJc w:val="left"/>
      <w:pPr>
        <w:tabs>
          <w:tab w:val="left" w:pos="1134"/>
        </w:tabs>
        <w:ind w:left="1134" w:hanging="567"/>
      </w:pPr>
      <w:rPr>
        <w:rFonts w:ascii="Wingdings 2" w:hAnsi="Wingdings 2" w:hint="default"/>
      </w:rPr>
    </w:lvl>
    <w:lvl w:ilvl="1">
      <w:start w:val="1"/>
      <w:numFmt w:val="bullet"/>
      <w:lvlText w:val=""/>
      <w:lvlJc w:val="left"/>
      <w:pPr>
        <w:tabs>
          <w:tab w:val="left" w:pos="1701"/>
        </w:tabs>
        <w:ind w:left="1701" w:hanging="567"/>
      </w:pPr>
      <w:rPr>
        <w:rFonts w:ascii="Symbol" w:hAnsi="Symbol" w:hint="default"/>
      </w:rPr>
    </w:lvl>
    <w:lvl w:ilvl="2">
      <w:start w:val="1"/>
      <w:numFmt w:val="none"/>
      <w:lvlText w:val=""/>
      <w:lvlJc w:val="left"/>
      <w:pPr>
        <w:tabs>
          <w:tab w:val="left" w:pos="2268"/>
        </w:tabs>
        <w:ind w:left="2268" w:hanging="567"/>
      </w:pPr>
      <w:rPr>
        <w:rFonts w:hint="eastAsia"/>
      </w:rPr>
    </w:lvl>
    <w:lvl w:ilvl="3">
      <w:start w:val="1"/>
      <w:numFmt w:val="none"/>
      <w:lvlText w:val=""/>
      <w:lvlJc w:val="left"/>
      <w:pPr>
        <w:tabs>
          <w:tab w:val="left" w:pos="2268"/>
        </w:tabs>
        <w:ind w:left="2268" w:hanging="567"/>
      </w:pPr>
      <w:rPr>
        <w:rFonts w:hint="eastAsia"/>
      </w:rPr>
    </w:lvl>
    <w:lvl w:ilvl="4">
      <w:start w:val="1"/>
      <w:numFmt w:val="none"/>
      <w:lvlText w:val=""/>
      <w:lvlJc w:val="left"/>
      <w:pPr>
        <w:tabs>
          <w:tab w:val="left" w:pos="2268"/>
        </w:tabs>
        <w:ind w:left="2268" w:hanging="567"/>
      </w:pPr>
      <w:rPr>
        <w:rFonts w:hint="eastAsia"/>
      </w:rPr>
    </w:lvl>
    <w:lvl w:ilvl="5">
      <w:start w:val="1"/>
      <w:numFmt w:val="none"/>
      <w:lvlText w:val=""/>
      <w:lvlJc w:val="left"/>
      <w:pPr>
        <w:tabs>
          <w:tab w:val="left" w:pos="2268"/>
        </w:tabs>
        <w:ind w:left="2268" w:hanging="567"/>
      </w:pPr>
      <w:rPr>
        <w:rFonts w:hint="eastAsia"/>
      </w:rPr>
    </w:lvl>
    <w:lvl w:ilvl="6">
      <w:start w:val="1"/>
      <w:numFmt w:val="none"/>
      <w:lvlText w:val=""/>
      <w:lvlJc w:val="left"/>
      <w:pPr>
        <w:tabs>
          <w:tab w:val="left" w:pos="2268"/>
        </w:tabs>
        <w:ind w:left="2268" w:hanging="567"/>
      </w:pPr>
      <w:rPr>
        <w:rFonts w:hint="eastAsia"/>
      </w:rPr>
    </w:lvl>
    <w:lvl w:ilvl="7">
      <w:start w:val="1"/>
      <w:numFmt w:val="none"/>
      <w:lvlText w:val=""/>
      <w:lvlJc w:val="left"/>
      <w:pPr>
        <w:tabs>
          <w:tab w:val="left" w:pos="2268"/>
        </w:tabs>
        <w:ind w:left="2268" w:hanging="567"/>
      </w:pPr>
      <w:rPr>
        <w:rFonts w:hint="eastAsia"/>
      </w:rPr>
    </w:lvl>
    <w:lvl w:ilvl="8">
      <w:start w:val="1"/>
      <w:numFmt w:val="none"/>
      <w:lvlText w:val=""/>
      <w:lvlJc w:val="left"/>
      <w:pPr>
        <w:tabs>
          <w:tab w:val="left" w:pos="2268"/>
        </w:tabs>
        <w:ind w:left="2268" w:hanging="567"/>
      </w:pPr>
      <w:rPr>
        <w:rFonts w:hint="eastAsia"/>
      </w:rPr>
    </w:lvl>
  </w:abstractNum>
  <w:num w:numId="1">
    <w:abstractNumId w:val="4"/>
  </w:num>
  <w:num w:numId="2">
    <w:abstractNumId w:val="10"/>
  </w:num>
  <w:num w:numId="3">
    <w:abstractNumId w:val="5"/>
  </w:num>
  <w:num w:numId="4">
    <w:abstractNumId w:val="2"/>
  </w:num>
  <w:num w:numId="5">
    <w:abstractNumId w:val="6"/>
  </w:num>
  <w:num w:numId="6">
    <w:abstractNumId w:val="3"/>
  </w:num>
  <w:num w:numId="7">
    <w:abstractNumId w:val="1"/>
  </w:num>
  <w:num w:numId="8">
    <w:abstractNumId w:val="0"/>
  </w:num>
  <w:num w:numId="9">
    <w:abstractNumId w:val="11"/>
  </w:num>
  <w:num w:numId="10">
    <w:abstractNumId w:val="7"/>
  </w:num>
  <w:num w:numId="11">
    <w:abstractNumId w:val="12"/>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cumentProtection w:edit="readOnly" w:enforcement="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53F7"/>
    <w:rsid w:val="000017A2"/>
    <w:rsid w:val="0000365C"/>
    <w:rsid w:val="000117FA"/>
    <w:rsid w:val="00014BF8"/>
    <w:rsid w:val="00020BA9"/>
    <w:rsid w:val="000210B5"/>
    <w:rsid w:val="00021201"/>
    <w:rsid w:val="00024BEB"/>
    <w:rsid w:val="000263F6"/>
    <w:rsid w:val="000300D4"/>
    <w:rsid w:val="00030525"/>
    <w:rsid w:val="0004145D"/>
    <w:rsid w:val="0004647F"/>
    <w:rsid w:val="000546B5"/>
    <w:rsid w:val="0005644C"/>
    <w:rsid w:val="00057047"/>
    <w:rsid w:val="00057C6A"/>
    <w:rsid w:val="000673FE"/>
    <w:rsid w:val="00077A43"/>
    <w:rsid w:val="00081DE1"/>
    <w:rsid w:val="00082AEB"/>
    <w:rsid w:val="0008382C"/>
    <w:rsid w:val="000947B8"/>
    <w:rsid w:val="00094FFF"/>
    <w:rsid w:val="000951EE"/>
    <w:rsid w:val="000A0098"/>
    <w:rsid w:val="000A0ACD"/>
    <w:rsid w:val="000A3AE1"/>
    <w:rsid w:val="000B2884"/>
    <w:rsid w:val="000B2A5F"/>
    <w:rsid w:val="000B41BB"/>
    <w:rsid w:val="000B64FA"/>
    <w:rsid w:val="000C0441"/>
    <w:rsid w:val="000C50C1"/>
    <w:rsid w:val="000C7125"/>
    <w:rsid w:val="000D2542"/>
    <w:rsid w:val="000D7949"/>
    <w:rsid w:val="000D7DB7"/>
    <w:rsid w:val="000E24A2"/>
    <w:rsid w:val="000F2FD7"/>
    <w:rsid w:val="000F5467"/>
    <w:rsid w:val="00101383"/>
    <w:rsid w:val="001016FD"/>
    <w:rsid w:val="001063BB"/>
    <w:rsid w:val="00111492"/>
    <w:rsid w:val="00113DF5"/>
    <w:rsid w:val="00114C7C"/>
    <w:rsid w:val="0011794F"/>
    <w:rsid w:val="00121A55"/>
    <w:rsid w:val="001269A9"/>
    <w:rsid w:val="00137A2B"/>
    <w:rsid w:val="001413C3"/>
    <w:rsid w:val="0014197D"/>
    <w:rsid w:val="00142D91"/>
    <w:rsid w:val="001453FB"/>
    <w:rsid w:val="00146467"/>
    <w:rsid w:val="00146CD3"/>
    <w:rsid w:val="00151592"/>
    <w:rsid w:val="00162283"/>
    <w:rsid w:val="0016456E"/>
    <w:rsid w:val="00164D9A"/>
    <w:rsid w:val="00166514"/>
    <w:rsid w:val="00167858"/>
    <w:rsid w:val="00174CA2"/>
    <w:rsid w:val="00180828"/>
    <w:rsid w:val="00181C82"/>
    <w:rsid w:val="00187122"/>
    <w:rsid w:val="00195B97"/>
    <w:rsid w:val="001B3DB4"/>
    <w:rsid w:val="001B61CD"/>
    <w:rsid w:val="001C0BB5"/>
    <w:rsid w:val="001C1D4A"/>
    <w:rsid w:val="001C2227"/>
    <w:rsid w:val="001D03F2"/>
    <w:rsid w:val="001E1088"/>
    <w:rsid w:val="001E313C"/>
    <w:rsid w:val="001E3F12"/>
    <w:rsid w:val="001E3FBC"/>
    <w:rsid w:val="001F159D"/>
    <w:rsid w:val="001F361A"/>
    <w:rsid w:val="002006A0"/>
    <w:rsid w:val="002006E1"/>
    <w:rsid w:val="00201A5E"/>
    <w:rsid w:val="00201C96"/>
    <w:rsid w:val="0020675B"/>
    <w:rsid w:val="00214376"/>
    <w:rsid w:val="00217ADC"/>
    <w:rsid w:val="002218CB"/>
    <w:rsid w:val="002270B0"/>
    <w:rsid w:val="00227E39"/>
    <w:rsid w:val="00230885"/>
    <w:rsid w:val="0023728B"/>
    <w:rsid w:val="00237406"/>
    <w:rsid w:val="002437A4"/>
    <w:rsid w:val="0024508F"/>
    <w:rsid w:val="002461F6"/>
    <w:rsid w:val="00246E77"/>
    <w:rsid w:val="00256207"/>
    <w:rsid w:val="00261493"/>
    <w:rsid w:val="002615F3"/>
    <w:rsid w:val="002702ED"/>
    <w:rsid w:val="00272F20"/>
    <w:rsid w:val="0027443B"/>
    <w:rsid w:val="0027553D"/>
    <w:rsid w:val="00280B1F"/>
    <w:rsid w:val="00287E08"/>
    <w:rsid w:val="00291EFB"/>
    <w:rsid w:val="00292F40"/>
    <w:rsid w:val="002949AF"/>
    <w:rsid w:val="0029666C"/>
    <w:rsid w:val="002A06BE"/>
    <w:rsid w:val="002A330D"/>
    <w:rsid w:val="002A687D"/>
    <w:rsid w:val="002B5389"/>
    <w:rsid w:val="002B5C06"/>
    <w:rsid w:val="002C1A96"/>
    <w:rsid w:val="002C376D"/>
    <w:rsid w:val="002C3BD0"/>
    <w:rsid w:val="002D0D95"/>
    <w:rsid w:val="002D4945"/>
    <w:rsid w:val="002D51C0"/>
    <w:rsid w:val="002E4FE4"/>
    <w:rsid w:val="002E6161"/>
    <w:rsid w:val="002E7C56"/>
    <w:rsid w:val="002F1958"/>
    <w:rsid w:val="002F5413"/>
    <w:rsid w:val="002F5815"/>
    <w:rsid w:val="002F79F6"/>
    <w:rsid w:val="002F7A7A"/>
    <w:rsid w:val="003028A8"/>
    <w:rsid w:val="00302D7D"/>
    <w:rsid w:val="0030335A"/>
    <w:rsid w:val="00307BCC"/>
    <w:rsid w:val="00313909"/>
    <w:rsid w:val="0031633A"/>
    <w:rsid w:val="003166EC"/>
    <w:rsid w:val="00320D59"/>
    <w:rsid w:val="00323F06"/>
    <w:rsid w:val="003424D0"/>
    <w:rsid w:val="0034403F"/>
    <w:rsid w:val="0034409F"/>
    <w:rsid w:val="00346A0C"/>
    <w:rsid w:val="00352A74"/>
    <w:rsid w:val="00354711"/>
    <w:rsid w:val="003551A2"/>
    <w:rsid w:val="00356291"/>
    <w:rsid w:val="003613E3"/>
    <w:rsid w:val="00362A99"/>
    <w:rsid w:val="00362F49"/>
    <w:rsid w:val="0036622E"/>
    <w:rsid w:val="003701CE"/>
    <w:rsid w:val="00371AD1"/>
    <w:rsid w:val="00372DC9"/>
    <w:rsid w:val="003736E2"/>
    <w:rsid w:val="0037414F"/>
    <w:rsid w:val="00375748"/>
    <w:rsid w:val="00376DD3"/>
    <w:rsid w:val="0037747A"/>
    <w:rsid w:val="003820E2"/>
    <w:rsid w:val="003A2AC1"/>
    <w:rsid w:val="003B058D"/>
    <w:rsid w:val="003B1470"/>
    <w:rsid w:val="003B24B9"/>
    <w:rsid w:val="003B3FA1"/>
    <w:rsid w:val="003B48D4"/>
    <w:rsid w:val="003B5527"/>
    <w:rsid w:val="003C1EAA"/>
    <w:rsid w:val="003C6C81"/>
    <w:rsid w:val="003C7766"/>
    <w:rsid w:val="003D3D43"/>
    <w:rsid w:val="003E0E49"/>
    <w:rsid w:val="003E191D"/>
    <w:rsid w:val="003F181F"/>
    <w:rsid w:val="0040301F"/>
    <w:rsid w:val="0040478C"/>
    <w:rsid w:val="00404851"/>
    <w:rsid w:val="00414B9C"/>
    <w:rsid w:val="00416C9E"/>
    <w:rsid w:val="004172FF"/>
    <w:rsid w:val="004205FF"/>
    <w:rsid w:val="00422AFF"/>
    <w:rsid w:val="00437AFB"/>
    <w:rsid w:val="00437D56"/>
    <w:rsid w:val="0044601B"/>
    <w:rsid w:val="0044608E"/>
    <w:rsid w:val="00450307"/>
    <w:rsid w:val="0045437B"/>
    <w:rsid w:val="004553F7"/>
    <w:rsid w:val="00462A16"/>
    <w:rsid w:val="00463501"/>
    <w:rsid w:val="00466A81"/>
    <w:rsid w:val="00467984"/>
    <w:rsid w:val="00472BB0"/>
    <w:rsid w:val="0047554D"/>
    <w:rsid w:val="00475E42"/>
    <w:rsid w:val="00475EFB"/>
    <w:rsid w:val="004774DB"/>
    <w:rsid w:val="00480F91"/>
    <w:rsid w:val="004961FB"/>
    <w:rsid w:val="00496CB9"/>
    <w:rsid w:val="004A08D5"/>
    <w:rsid w:val="004A0954"/>
    <w:rsid w:val="004A2813"/>
    <w:rsid w:val="004B23C5"/>
    <w:rsid w:val="004B2B6C"/>
    <w:rsid w:val="004B3464"/>
    <w:rsid w:val="004C313C"/>
    <w:rsid w:val="004C5BD4"/>
    <w:rsid w:val="004C70FA"/>
    <w:rsid w:val="004E3790"/>
    <w:rsid w:val="00512087"/>
    <w:rsid w:val="00513FB0"/>
    <w:rsid w:val="0051523D"/>
    <w:rsid w:val="0051687C"/>
    <w:rsid w:val="005171B7"/>
    <w:rsid w:val="0052271E"/>
    <w:rsid w:val="00527A75"/>
    <w:rsid w:val="00531864"/>
    <w:rsid w:val="00532C70"/>
    <w:rsid w:val="00541EE1"/>
    <w:rsid w:val="00544B71"/>
    <w:rsid w:val="00545DF7"/>
    <w:rsid w:val="005521A1"/>
    <w:rsid w:val="0055454D"/>
    <w:rsid w:val="00554CB8"/>
    <w:rsid w:val="005635F3"/>
    <w:rsid w:val="005655DC"/>
    <w:rsid w:val="005674E8"/>
    <w:rsid w:val="005722E1"/>
    <w:rsid w:val="005727B6"/>
    <w:rsid w:val="00573B79"/>
    <w:rsid w:val="005752A5"/>
    <w:rsid w:val="005843A7"/>
    <w:rsid w:val="005852BA"/>
    <w:rsid w:val="00586483"/>
    <w:rsid w:val="00587BC7"/>
    <w:rsid w:val="005A0989"/>
    <w:rsid w:val="005B1C96"/>
    <w:rsid w:val="005B6654"/>
    <w:rsid w:val="005B7F83"/>
    <w:rsid w:val="005C4F9A"/>
    <w:rsid w:val="005C6C34"/>
    <w:rsid w:val="005D4D42"/>
    <w:rsid w:val="005E0856"/>
    <w:rsid w:val="005E0CB3"/>
    <w:rsid w:val="005F29B8"/>
    <w:rsid w:val="005F50A7"/>
    <w:rsid w:val="005F5A15"/>
    <w:rsid w:val="00603DA5"/>
    <w:rsid w:val="00610A98"/>
    <w:rsid w:val="006122DA"/>
    <w:rsid w:val="00613A31"/>
    <w:rsid w:val="00616D5E"/>
    <w:rsid w:val="00617567"/>
    <w:rsid w:val="00620526"/>
    <w:rsid w:val="00627C75"/>
    <w:rsid w:val="0063385B"/>
    <w:rsid w:val="0064062C"/>
    <w:rsid w:val="00645BD1"/>
    <w:rsid w:val="006469B3"/>
    <w:rsid w:val="0064798E"/>
    <w:rsid w:val="00653E7B"/>
    <w:rsid w:val="0065648B"/>
    <w:rsid w:val="00675582"/>
    <w:rsid w:val="00677565"/>
    <w:rsid w:val="0068013B"/>
    <w:rsid w:val="006852F4"/>
    <w:rsid w:val="006876E2"/>
    <w:rsid w:val="00695F07"/>
    <w:rsid w:val="00696D69"/>
    <w:rsid w:val="00697EF4"/>
    <w:rsid w:val="006A4199"/>
    <w:rsid w:val="006A6A51"/>
    <w:rsid w:val="006B14FF"/>
    <w:rsid w:val="006B2142"/>
    <w:rsid w:val="006B25DD"/>
    <w:rsid w:val="006B6D2A"/>
    <w:rsid w:val="006B7FE5"/>
    <w:rsid w:val="006C0AF6"/>
    <w:rsid w:val="006C0E79"/>
    <w:rsid w:val="006C5332"/>
    <w:rsid w:val="006C7FD3"/>
    <w:rsid w:val="006D2319"/>
    <w:rsid w:val="006D556A"/>
    <w:rsid w:val="006D6501"/>
    <w:rsid w:val="006F062D"/>
    <w:rsid w:val="006F278E"/>
    <w:rsid w:val="006F7025"/>
    <w:rsid w:val="007036AB"/>
    <w:rsid w:val="00711B8A"/>
    <w:rsid w:val="00715584"/>
    <w:rsid w:val="0072076C"/>
    <w:rsid w:val="00720C07"/>
    <w:rsid w:val="007226AE"/>
    <w:rsid w:val="00722E5D"/>
    <w:rsid w:val="007256CC"/>
    <w:rsid w:val="00726247"/>
    <w:rsid w:val="00730B1B"/>
    <w:rsid w:val="00734948"/>
    <w:rsid w:val="007401D2"/>
    <w:rsid w:val="00744E7D"/>
    <w:rsid w:val="00745E98"/>
    <w:rsid w:val="00747075"/>
    <w:rsid w:val="00750380"/>
    <w:rsid w:val="00750873"/>
    <w:rsid w:val="0075416E"/>
    <w:rsid w:val="00754228"/>
    <w:rsid w:val="007550DE"/>
    <w:rsid w:val="00757116"/>
    <w:rsid w:val="00761A26"/>
    <w:rsid w:val="00761BB6"/>
    <w:rsid w:val="00763598"/>
    <w:rsid w:val="007650C7"/>
    <w:rsid w:val="00765AE0"/>
    <w:rsid w:val="00781223"/>
    <w:rsid w:val="00793693"/>
    <w:rsid w:val="007A6B96"/>
    <w:rsid w:val="007B0898"/>
    <w:rsid w:val="007B08DE"/>
    <w:rsid w:val="007C102A"/>
    <w:rsid w:val="007C151D"/>
    <w:rsid w:val="007C229C"/>
    <w:rsid w:val="007C3E16"/>
    <w:rsid w:val="007C55D0"/>
    <w:rsid w:val="007D21C4"/>
    <w:rsid w:val="007D2939"/>
    <w:rsid w:val="007D2EBF"/>
    <w:rsid w:val="007D7C70"/>
    <w:rsid w:val="007E0EB2"/>
    <w:rsid w:val="007E4E89"/>
    <w:rsid w:val="007E5C7A"/>
    <w:rsid w:val="007E5EB4"/>
    <w:rsid w:val="007F1944"/>
    <w:rsid w:val="007F1C68"/>
    <w:rsid w:val="007F2C12"/>
    <w:rsid w:val="007F48F5"/>
    <w:rsid w:val="007F56C0"/>
    <w:rsid w:val="007F5A72"/>
    <w:rsid w:val="00814516"/>
    <w:rsid w:val="008169F5"/>
    <w:rsid w:val="0082631D"/>
    <w:rsid w:val="008321A5"/>
    <w:rsid w:val="008334DA"/>
    <w:rsid w:val="00841879"/>
    <w:rsid w:val="00846078"/>
    <w:rsid w:val="008578B9"/>
    <w:rsid w:val="00866E35"/>
    <w:rsid w:val="00873E22"/>
    <w:rsid w:val="00876E06"/>
    <w:rsid w:val="008805CF"/>
    <w:rsid w:val="008918B1"/>
    <w:rsid w:val="0089194B"/>
    <w:rsid w:val="008923F1"/>
    <w:rsid w:val="00893043"/>
    <w:rsid w:val="008A0D58"/>
    <w:rsid w:val="008B08A5"/>
    <w:rsid w:val="008B15A7"/>
    <w:rsid w:val="008B6309"/>
    <w:rsid w:val="008D36A9"/>
    <w:rsid w:val="008D73EC"/>
    <w:rsid w:val="008E0B7D"/>
    <w:rsid w:val="008E169C"/>
    <w:rsid w:val="008E1A2D"/>
    <w:rsid w:val="008E605B"/>
    <w:rsid w:val="008F0BBB"/>
    <w:rsid w:val="008F375B"/>
    <w:rsid w:val="008F3812"/>
    <w:rsid w:val="008F4FD6"/>
    <w:rsid w:val="008F6F1D"/>
    <w:rsid w:val="00900FFC"/>
    <w:rsid w:val="00902988"/>
    <w:rsid w:val="00905BA6"/>
    <w:rsid w:val="00907E07"/>
    <w:rsid w:val="00915B82"/>
    <w:rsid w:val="0091617F"/>
    <w:rsid w:val="00917F9A"/>
    <w:rsid w:val="00923920"/>
    <w:rsid w:val="00924634"/>
    <w:rsid w:val="00924717"/>
    <w:rsid w:val="00925B42"/>
    <w:rsid w:val="00940667"/>
    <w:rsid w:val="00944E22"/>
    <w:rsid w:val="00945F31"/>
    <w:rsid w:val="00956096"/>
    <w:rsid w:val="00956B0F"/>
    <w:rsid w:val="00957754"/>
    <w:rsid w:val="00963C1D"/>
    <w:rsid w:val="00970532"/>
    <w:rsid w:val="00972378"/>
    <w:rsid w:val="009804E3"/>
    <w:rsid w:val="00981684"/>
    <w:rsid w:val="00981CFC"/>
    <w:rsid w:val="00984527"/>
    <w:rsid w:val="00986D53"/>
    <w:rsid w:val="00986F2E"/>
    <w:rsid w:val="009B477F"/>
    <w:rsid w:val="009B4856"/>
    <w:rsid w:val="009B7649"/>
    <w:rsid w:val="009C1587"/>
    <w:rsid w:val="009C15D4"/>
    <w:rsid w:val="009C2584"/>
    <w:rsid w:val="009C4B24"/>
    <w:rsid w:val="009D067C"/>
    <w:rsid w:val="009D522B"/>
    <w:rsid w:val="009D53A0"/>
    <w:rsid w:val="009E4D98"/>
    <w:rsid w:val="009E5612"/>
    <w:rsid w:val="009E7FE8"/>
    <w:rsid w:val="00A00185"/>
    <w:rsid w:val="00A03946"/>
    <w:rsid w:val="00A047CB"/>
    <w:rsid w:val="00A0613A"/>
    <w:rsid w:val="00A1028D"/>
    <w:rsid w:val="00A104C4"/>
    <w:rsid w:val="00A111E6"/>
    <w:rsid w:val="00A11A39"/>
    <w:rsid w:val="00A12E29"/>
    <w:rsid w:val="00A2019B"/>
    <w:rsid w:val="00A2041F"/>
    <w:rsid w:val="00A20DB3"/>
    <w:rsid w:val="00A23194"/>
    <w:rsid w:val="00A24666"/>
    <w:rsid w:val="00A30936"/>
    <w:rsid w:val="00A347E5"/>
    <w:rsid w:val="00A41C19"/>
    <w:rsid w:val="00A41C35"/>
    <w:rsid w:val="00A44844"/>
    <w:rsid w:val="00A47A23"/>
    <w:rsid w:val="00A519FC"/>
    <w:rsid w:val="00A57C63"/>
    <w:rsid w:val="00A57E03"/>
    <w:rsid w:val="00A61474"/>
    <w:rsid w:val="00A6796E"/>
    <w:rsid w:val="00A7032A"/>
    <w:rsid w:val="00A723C2"/>
    <w:rsid w:val="00A72774"/>
    <w:rsid w:val="00A80018"/>
    <w:rsid w:val="00A81EE2"/>
    <w:rsid w:val="00A844FE"/>
    <w:rsid w:val="00A90AFA"/>
    <w:rsid w:val="00A94717"/>
    <w:rsid w:val="00A95EA2"/>
    <w:rsid w:val="00AA1578"/>
    <w:rsid w:val="00AA6CE4"/>
    <w:rsid w:val="00AB23E8"/>
    <w:rsid w:val="00AC35D5"/>
    <w:rsid w:val="00AC3782"/>
    <w:rsid w:val="00AC6555"/>
    <w:rsid w:val="00AE4F01"/>
    <w:rsid w:val="00AE67F8"/>
    <w:rsid w:val="00AF2047"/>
    <w:rsid w:val="00B00528"/>
    <w:rsid w:val="00B028F3"/>
    <w:rsid w:val="00B04E11"/>
    <w:rsid w:val="00B055DC"/>
    <w:rsid w:val="00B062BD"/>
    <w:rsid w:val="00B07363"/>
    <w:rsid w:val="00B075A9"/>
    <w:rsid w:val="00B1170F"/>
    <w:rsid w:val="00B158B9"/>
    <w:rsid w:val="00B23678"/>
    <w:rsid w:val="00B27DA9"/>
    <w:rsid w:val="00B308E0"/>
    <w:rsid w:val="00B347B6"/>
    <w:rsid w:val="00B37DF8"/>
    <w:rsid w:val="00B41813"/>
    <w:rsid w:val="00B44563"/>
    <w:rsid w:val="00B44705"/>
    <w:rsid w:val="00B47A79"/>
    <w:rsid w:val="00B52159"/>
    <w:rsid w:val="00B542A3"/>
    <w:rsid w:val="00B56406"/>
    <w:rsid w:val="00B5706E"/>
    <w:rsid w:val="00B63AD0"/>
    <w:rsid w:val="00B67C19"/>
    <w:rsid w:val="00B73930"/>
    <w:rsid w:val="00B73B24"/>
    <w:rsid w:val="00B7427D"/>
    <w:rsid w:val="00B75CD0"/>
    <w:rsid w:val="00B75EF2"/>
    <w:rsid w:val="00B764A1"/>
    <w:rsid w:val="00B81FFF"/>
    <w:rsid w:val="00B8413F"/>
    <w:rsid w:val="00B8697F"/>
    <w:rsid w:val="00B86D58"/>
    <w:rsid w:val="00B87AC4"/>
    <w:rsid w:val="00B87DAB"/>
    <w:rsid w:val="00B92B34"/>
    <w:rsid w:val="00B94721"/>
    <w:rsid w:val="00B94ABD"/>
    <w:rsid w:val="00B96BC2"/>
    <w:rsid w:val="00B96FA8"/>
    <w:rsid w:val="00BA226A"/>
    <w:rsid w:val="00BA3C18"/>
    <w:rsid w:val="00BA6E74"/>
    <w:rsid w:val="00BA7D6A"/>
    <w:rsid w:val="00BB3133"/>
    <w:rsid w:val="00BB423E"/>
    <w:rsid w:val="00BB4279"/>
    <w:rsid w:val="00BB46F1"/>
    <w:rsid w:val="00BB648F"/>
    <w:rsid w:val="00BB6BDE"/>
    <w:rsid w:val="00BB75C4"/>
    <w:rsid w:val="00BB7BEA"/>
    <w:rsid w:val="00BB7F99"/>
    <w:rsid w:val="00BC2BAF"/>
    <w:rsid w:val="00BC2EA1"/>
    <w:rsid w:val="00BC4502"/>
    <w:rsid w:val="00BC6963"/>
    <w:rsid w:val="00BD1E0D"/>
    <w:rsid w:val="00BD4451"/>
    <w:rsid w:val="00BD4E7A"/>
    <w:rsid w:val="00BD6835"/>
    <w:rsid w:val="00BE10EF"/>
    <w:rsid w:val="00BF2154"/>
    <w:rsid w:val="00BF399D"/>
    <w:rsid w:val="00BF44B7"/>
    <w:rsid w:val="00C02E4B"/>
    <w:rsid w:val="00C0351D"/>
    <w:rsid w:val="00C074C9"/>
    <w:rsid w:val="00C11E55"/>
    <w:rsid w:val="00C1667C"/>
    <w:rsid w:val="00C2639E"/>
    <w:rsid w:val="00C27C69"/>
    <w:rsid w:val="00C32322"/>
    <w:rsid w:val="00C358F2"/>
    <w:rsid w:val="00C4000F"/>
    <w:rsid w:val="00C413DC"/>
    <w:rsid w:val="00C450F8"/>
    <w:rsid w:val="00C52B4D"/>
    <w:rsid w:val="00C52ED9"/>
    <w:rsid w:val="00C55A19"/>
    <w:rsid w:val="00C61EF9"/>
    <w:rsid w:val="00C668D4"/>
    <w:rsid w:val="00C671DB"/>
    <w:rsid w:val="00C7285C"/>
    <w:rsid w:val="00C75CDA"/>
    <w:rsid w:val="00C776C8"/>
    <w:rsid w:val="00C822CC"/>
    <w:rsid w:val="00C835E4"/>
    <w:rsid w:val="00C84717"/>
    <w:rsid w:val="00C84747"/>
    <w:rsid w:val="00C907CA"/>
    <w:rsid w:val="00C91BA1"/>
    <w:rsid w:val="00C929E9"/>
    <w:rsid w:val="00C92F3B"/>
    <w:rsid w:val="00C932E4"/>
    <w:rsid w:val="00C94D2F"/>
    <w:rsid w:val="00C976FD"/>
    <w:rsid w:val="00C97B4C"/>
    <w:rsid w:val="00CA32B3"/>
    <w:rsid w:val="00CA3C6A"/>
    <w:rsid w:val="00CA6AC1"/>
    <w:rsid w:val="00CB47B9"/>
    <w:rsid w:val="00CB5083"/>
    <w:rsid w:val="00CC21FC"/>
    <w:rsid w:val="00CC7487"/>
    <w:rsid w:val="00CD0107"/>
    <w:rsid w:val="00CE106D"/>
    <w:rsid w:val="00CE3A4D"/>
    <w:rsid w:val="00CF51B3"/>
    <w:rsid w:val="00CF61B4"/>
    <w:rsid w:val="00D04D89"/>
    <w:rsid w:val="00D07523"/>
    <w:rsid w:val="00D25893"/>
    <w:rsid w:val="00D2590C"/>
    <w:rsid w:val="00D2687A"/>
    <w:rsid w:val="00D36851"/>
    <w:rsid w:val="00D36D70"/>
    <w:rsid w:val="00D373BE"/>
    <w:rsid w:val="00D40B41"/>
    <w:rsid w:val="00D4103E"/>
    <w:rsid w:val="00D41C86"/>
    <w:rsid w:val="00D42905"/>
    <w:rsid w:val="00D44634"/>
    <w:rsid w:val="00D469A5"/>
    <w:rsid w:val="00D51EC4"/>
    <w:rsid w:val="00D64A4C"/>
    <w:rsid w:val="00D70945"/>
    <w:rsid w:val="00D77B07"/>
    <w:rsid w:val="00D87058"/>
    <w:rsid w:val="00D874CA"/>
    <w:rsid w:val="00D93510"/>
    <w:rsid w:val="00D94806"/>
    <w:rsid w:val="00D9790C"/>
    <w:rsid w:val="00DA0216"/>
    <w:rsid w:val="00DA1737"/>
    <w:rsid w:val="00DA29A4"/>
    <w:rsid w:val="00DA7A69"/>
    <w:rsid w:val="00DA7AF4"/>
    <w:rsid w:val="00DB57FC"/>
    <w:rsid w:val="00DC3722"/>
    <w:rsid w:val="00DC3FBC"/>
    <w:rsid w:val="00DC7554"/>
    <w:rsid w:val="00DD489D"/>
    <w:rsid w:val="00DE244A"/>
    <w:rsid w:val="00DE4FA6"/>
    <w:rsid w:val="00DF3A8F"/>
    <w:rsid w:val="00E03D50"/>
    <w:rsid w:val="00E1225B"/>
    <w:rsid w:val="00E123D5"/>
    <w:rsid w:val="00E200C0"/>
    <w:rsid w:val="00E20914"/>
    <w:rsid w:val="00E23606"/>
    <w:rsid w:val="00E23C94"/>
    <w:rsid w:val="00E24E64"/>
    <w:rsid w:val="00E306C1"/>
    <w:rsid w:val="00E36684"/>
    <w:rsid w:val="00E36A02"/>
    <w:rsid w:val="00E45EF6"/>
    <w:rsid w:val="00E561D9"/>
    <w:rsid w:val="00E5717B"/>
    <w:rsid w:val="00E63BFC"/>
    <w:rsid w:val="00E67884"/>
    <w:rsid w:val="00E7084F"/>
    <w:rsid w:val="00E7335D"/>
    <w:rsid w:val="00E76E16"/>
    <w:rsid w:val="00E77FB6"/>
    <w:rsid w:val="00E826A8"/>
    <w:rsid w:val="00E87A94"/>
    <w:rsid w:val="00E93504"/>
    <w:rsid w:val="00E97B01"/>
    <w:rsid w:val="00E97EA0"/>
    <w:rsid w:val="00EA1C77"/>
    <w:rsid w:val="00EB2C61"/>
    <w:rsid w:val="00EB4B1F"/>
    <w:rsid w:val="00EB57FC"/>
    <w:rsid w:val="00EB7C82"/>
    <w:rsid w:val="00EC7DF1"/>
    <w:rsid w:val="00ED0E6F"/>
    <w:rsid w:val="00ED1408"/>
    <w:rsid w:val="00ED1FA3"/>
    <w:rsid w:val="00ED26F8"/>
    <w:rsid w:val="00ED2D8A"/>
    <w:rsid w:val="00ED2F9F"/>
    <w:rsid w:val="00ED3756"/>
    <w:rsid w:val="00ED55A5"/>
    <w:rsid w:val="00EE0A24"/>
    <w:rsid w:val="00EE69CA"/>
    <w:rsid w:val="00EF6B7B"/>
    <w:rsid w:val="00F02F2A"/>
    <w:rsid w:val="00F102FF"/>
    <w:rsid w:val="00F165C5"/>
    <w:rsid w:val="00F21C2B"/>
    <w:rsid w:val="00F224B1"/>
    <w:rsid w:val="00F22FDE"/>
    <w:rsid w:val="00F23C4C"/>
    <w:rsid w:val="00F24FC7"/>
    <w:rsid w:val="00F25135"/>
    <w:rsid w:val="00F32CD5"/>
    <w:rsid w:val="00F34779"/>
    <w:rsid w:val="00F356F1"/>
    <w:rsid w:val="00F366A5"/>
    <w:rsid w:val="00F40446"/>
    <w:rsid w:val="00F448BF"/>
    <w:rsid w:val="00F44B52"/>
    <w:rsid w:val="00F50045"/>
    <w:rsid w:val="00F51466"/>
    <w:rsid w:val="00F52E99"/>
    <w:rsid w:val="00F52EE8"/>
    <w:rsid w:val="00F5340F"/>
    <w:rsid w:val="00F62881"/>
    <w:rsid w:val="00F62EFE"/>
    <w:rsid w:val="00F6380F"/>
    <w:rsid w:val="00F64CCD"/>
    <w:rsid w:val="00F656C0"/>
    <w:rsid w:val="00F7544F"/>
    <w:rsid w:val="00F91BFA"/>
    <w:rsid w:val="00F93503"/>
    <w:rsid w:val="00F94758"/>
    <w:rsid w:val="00F94BEE"/>
    <w:rsid w:val="00F976D5"/>
    <w:rsid w:val="00FA0954"/>
    <w:rsid w:val="00FA18E1"/>
    <w:rsid w:val="00FA1BE3"/>
    <w:rsid w:val="00FA1F40"/>
    <w:rsid w:val="00FA3398"/>
    <w:rsid w:val="00FA5D2C"/>
    <w:rsid w:val="00FB0AB9"/>
    <w:rsid w:val="00FB5C3E"/>
    <w:rsid w:val="00FC58B2"/>
    <w:rsid w:val="00FD3019"/>
    <w:rsid w:val="00FD5AF6"/>
    <w:rsid w:val="00FD7A66"/>
    <w:rsid w:val="00FE245B"/>
    <w:rsid w:val="00FE6CD3"/>
    <w:rsid w:val="00FF105F"/>
    <w:rsid w:val="00FF2DCA"/>
    <w:rsid w:val="00FF7EFF"/>
    <w:rsid w:val="0195254C"/>
    <w:rsid w:val="01F01B19"/>
    <w:rsid w:val="021F5A67"/>
    <w:rsid w:val="03406D73"/>
    <w:rsid w:val="038F5467"/>
    <w:rsid w:val="04385DBF"/>
    <w:rsid w:val="044E3FA5"/>
    <w:rsid w:val="04D82ED8"/>
    <w:rsid w:val="05ED5C0B"/>
    <w:rsid w:val="065F3153"/>
    <w:rsid w:val="07D429F0"/>
    <w:rsid w:val="07D57617"/>
    <w:rsid w:val="08E65E6A"/>
    <w:rsid w:val="08E66431"/>
    <w:rsid w:val="0AA762A7"/>
    <w:rsid w:val="0B8B7444"/>
    <w:rsid w:val="0DF342C5"/>
    <w:rsid w:val="0E034BAF"/>
    <w:rsid w:val="0E440E95"/>
    <w:rsid w:val="0EBE1635"/>
    <w:rsid w:val="0ECA5DDD"/>
    <w:rsid w:val="0F056C10"/>
    <w:rsid w:val="0F7348A6"/>
    <w:rsid w:val="10270990"/>
    <w:rsid w:val="104344DE"/>
    <w:rsid w:val="113C789F"/>
    <w:rsid w:val="11F74652"/>
    <w:rsid w:val="121073B5"/>
    <w:rsid w:val="131B6ACF"/>
    <w:rsid w:val="13824917"/>
    <w:rsid w:val="13B2430D"/>
    <w:rsid w:val="148C6901"/>
    <w:rsid w:val="15803311"/>
    <w:rsid w:val="15A20967"/>
    <w:rsid w:val="15AD6E51"/>
    <w:rsid w:val="15FE57F4"/>
    <w:rsid w:val="166018EA"/>
    <w:rsid w:val="171E01E1"/>
    <w:rsid w:val="17777044"/>
    <w:rsid w:val="18AE42B5"/>
    <w:rsid w:val="18D3752E"/>
    <w:rsid w:val="194D5409"/>
    <w:rsid w:val="19B55914"/>
    <w:rsid w:val="1BC76924"/>
    <w:rsid w:val="1BFB5D9E"/>
    <w:rsid w:val="1CE84667"/>
    <w:rsid w:val="1D0B36D2"/>
    <w:rsid w:val="1D654039"/>
    <w:rsid w:val="1D6C02B4"/>
    <w:rsid w:val="1DDF73BC"/>
    <w:rsid w:val="1FDF5996"/>
    <w:rsid w:val="2090506B"/>
    <w:rsid w:val="20B64E1C"/>
    <w:rsid w:val="20DA6409"/>
    <w:rsid w:val="22F06F84"/>
    <w:rsid w:val="239E6F36"/>
    <w:rsid w:val="242A4B43"/>
    <w:rsid w:val="250A2D25"/>
    <w:rsid w:val="25984E22"/>
    <w:rsid w:val="27080D75"/>
    <w:rsid w:val="27AD6107"/>
    <w:rsid w:val="29176B77"/>
    <w:rsid w:val="291C64E3"/>
    <w:rsid w:val="29395BB8"/>
    <w:rsid w:val="29A66F06"/>
    <w:rsid w:val="2A5D742B"/>
    <w:rsid w:val="2A8B3601"/>
    <w:rsid w:val="2D08515A"/>
    <w:rsid w:val="2D1810F6"/>
    <w:rsid w:val="2E5B4939"/>
    <w:rsid w:val="2E8B0651"/>
    <w:rsid w:val="2F781510"/>
    <w:rsid w:val="304A559E"/>
    <w:rsid w:val="30D10AAE"/>
    <w:rsid w:val="32086F55"/>
    <w:rsid w:val="320E0D8E"/>
    <w:rsid w:val="32E7203B"/>
    <w:rsid w:val="338E4DDA"/>
    <w:rsid w:val="350D112A"/>
    <w:rsid w:val="35BC70DC"/>
    <w:rsid w:val="37AB7220"/>
    <w:rsid w:val="37D07660"/>
    <w:rsid w:val="393F4369"/>
    <w:rsid w:val="3969621E"/>
    <w:rsid w:val="3A2C11F1"/>
    <w:rsid w:val="3AA538B8"/>
    <w:rsid w:val="3AAA2CC1"/>
    <w:rsid w:val="3BFD3D94"/>
    <w:rsid w:val="3D3A06D6"/>
    <w:rsid w:val="3D645254"/>
    <w:rsid w:val="3DB4099D"/>
    <w:rsid w:val="3E086D98"/>
    <w:rsid w:val="3E7B7EF3"/>
    <w:rsid w:val="3EDC1388"/>
    <w:rsid w:val="42126F81"/>
    <w:rsid w:val="43B1305E"/>
    <w:rsid w:val="443D02D8"/>
    <w:rsid w:val="445D216E"/>
    <w:rsid w:val="455752AB"/>
    <w:rsid w:val="4702021E"/>
    <w:rsid w:val="48612C18"/>
    <w:rsid w:val="49193D0B"/>
    <w:rsid w:val="4989609F"/>
    <w:rsid w:val="49E8764D"/>
    <w:rsid w:val="4A131B1E"/>
    <w:rsid w:val="4AB21C16"/>
    <w:rsid w:val="4ACB5082"/>
    <w:rsid w:val="4BF13138"/>
    <w:rsid w:val="4C222A5D"/>
    <w:rsid w:val="4C9C5331"/>
    <w:rsid w:val="4D2575D9"/>
    <w:rsid w:val="4D671B7B"/>
    <w:rsid w:val="4D8D1A61"/>
    <w:rsid w:val="4DB60A15"/>
    <w:rsid w:val="4F512719"/>
    <w:rsid w:val="50C028BD"/>
    <w:rsid w:val="51250327"/>
    <w:rsid w:val="51477183"/>
    <w:rsid w:val="51DF3643"/>
    <w:rsid w:val="52742AB6"/>
    <w:rsid w:val="52A439B9"/>
    <w:rsid w:val="52C819AB"/>
    <w:rsid w:val="540C26F6"/>
    <w:rsid w:val="54474652"/>
    <w:rsid w:val="549752EE"/>
    <w:rsid w:val="55591DD3"/>
    <w:rsid w:val="56390631"/>
    <w:rsid w:val="56DD2FC5"/>
    <w:rsid w:val="56EB4A34"/>
    <w:rsid w:val="58765A69"/>
    <w:rsid w:val="58CC0F40"/>
    <w:rsid w:val="58F30EFA"/>
    <w:rsid w:val="5A105D6C"/>
    <w:rsid w:val="5ADD38F6"/>
    <w:rsid w:val="5C714EBB"/>
    <w:rsid w:val="5D270F29"/>
    <w:rsid w:val="5DAF0DB3"/>
    <w:rsid w:val="5ECE6EB3"/>
    <w:rsid w:val="5FDB47C9"/>
    <w:rsid w:val="608B1641"/>
    <w:rsid w:val="60ED2772"/>
    <w:rsid w:val="61635755"/>
    <w:rsid w:val="61B43DA5"/>
    <w:rsid w:val="63311582"/>
    <w:rsid w:val="63B177B3"/>
    <w:rsid w:val="63BB3DE7"/>
    <w:rsid w:val="64165A4D"/>
    <w:rsid w:val="64722447"/>
    <w:rsid w:val="65D87D46"/>
    <w:rsid w:val="65F33839"/>
    <w:rsid w:val="65FE54F7"/>
    <w:rsid w:val="6673091E"/>
    <w:rsid w:val="66DF698C"/>
    <w:rsid w:val="66E45C00"/>
    <w:rsid w:val="67BB3F13"/>
    <w:rsid w:val="69AE20FD"/>
    <w:rsid w:val="69BF0D01"/>
    <w:rsid w:val="6A2A1D6D"/>
    <w:rsid w:val="6A2F1095"/>
    <w:rsid w:val="6AB15BED"/>
    <w:rsid w:val="6B9B610C"/>
    <w:rsid w:val="6D5C50BF"/>
    <w:rsid w:val="6D8B3D94"/>
    <w:rsid w:val="6DB471EA"/>
    <w:rsid w:val="6E6E117D"/>
    <w:rsid w:val="6F8620DE"/>
    <w:rsid w:val="6FCE2B47"/>
    <w:rsid w:val="6FEB42AD"/>
    <w:rsid w:val="70845BB2"/>
    <w:rsid w:val="70F45254"/>
    <w:rsid w:val="7149557A"/>
    <w:rsid w:val="722A7D57"/>
    <w:rsid w:val="72DD1FEF"/>
    <w:rsid w:val="7309373A"/>
    <w:rsid w:val="74012D6D"/>
    <w:rsid w:val="744A7DD2"/>
    <w:rsid w:val="74D33900"/>
    <w:rsid w:val="74FA68CB"/>
    <w:rsid w:val="75D30C1C"/>
    <w:rsid w:val="769F36C6"/>
    <w:rsid w:val="769F586A"/>
    <w:rsid w:val="76B86AC5"/>
    <w:rsid w:val="7728653E"/>
    <w:rsid w:val="775B4D16"/>
    <w:rsid w:val="789D37FC"/>
    <w:rsid w:val="78C87836"/>
    <w:rsid w:val="794A6417"/>
    <w:rsid w:val="794C45E3"/>
    <w:rsid w:val="7A1F7BF0"/>
    <w:rsid w:val="7A294EE7"/>
    <w:rsid w:val="7A5B5589"/>
    <w:rsid w:val="7AD53590"/>
    <w:rsid w:val="7BBA326B"/>
    <w:rsid w:val="7C612792"/>
    <w:rsid w:val="7CDA1623"/>
    <w:rsid w:val="7CDD42E1"/>
    <w:rsid w:val="7DA877A0"/>
    <w:rsid w:val="7EB63612"/>
    <w:rsid w:val="7F6F0434"/>
    <w:rsid w:val="7F9E3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9B0856"/>
  <w15:docId w15:val="{2CA420C5-BF29-4ABE-B13B-21D13E43A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qFormat="1"/>
    <w:lsdException w:name="macro" w:semiHidden="1" w:unhideWhenUsed="1" w:qFormat="1"/>
    <w:lsdException w:name="toa heading" w:semiHidden="1" w:unhideWhenUsed="1" w:qFormat="1"/>
    <w:lsdException w:name="List" w:qFormat="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qFormat="1"/>
    <w:lsdException w:name="List Continue 3" w:qFormat="1"/>
    <w:lsdException w:name="List Continue 4" w:qFormat="1"/>
    <w:lsdException w:name="List Continue 5"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iPriority="99" w:unhideWhenUsed="1" w:qFormat="1"/>
    <w:lsdException w:name="Body Text First Indent 2" w:semiHidden="1" w:uiPriority="99"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iPriority="99" w:unhideWhenUsed="1" w:qFormat="1"/>
    <w:lsdException w:name="Table 3D effects 2" w:semiHidden="1" w:uiPriority="99" w:unhideWhenUsed="1" w:qFormat="1"/>
    <w:lsdException w:name="Table 3D effects 3" w:semiHidden="1" w:uiPriority="99"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uiPriority="99" w:qFormat="1"/>
    <w:lsdException w:name="Table Grid"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qFormat="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qFormat="1"/>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61" w:qFormat="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7"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64" w:qFormat="1"/>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rFonts w:ascii="宋体" w:hAnsi="宋体" w:cs="宋体"/>
      <w:sz w:val="24"/>
      <w:szCs w:val="24"/>
    </w:rPr>
  </w:style>
  <w:style w:type="paragraph" w:styleId="1">
    <w:name w:val="heading 1"/>
    <w:basedOn w:val="a0"/>
    <w:next w:val="a0"/>
    <w:link w:val="10"/>
    <w:uiPriority w:val="9"/>
    <w:qFormat/>
    <w:pPr>
      <w:keepNext/>
      <w:keepLines/>
      <w:widowControl w:val="0"/>
      <w:spacing w:before="340" w:after="330" w:line="578" w:lineRule="auto"/>
      <w:jc w:val="both"/>
      <w:outlineLvl w:val="0"/>
    </w:pPr>
    <w:rPr>
      <w:rFonts w:ascii="等线" w:eastAsia="等线" w:hAnsi="等线" w:cs="Times New Roman"/>
      <w:b/>
      <w:bCs/>
      <w:kern w:val="44"/>
      <w:sz w:val="44"/>
      <w:szCs w:val="44"/>
    </w:rPr>
  </w:style>
  <w:style w:type="paragraph" w:styleId="20">
    <w:name w:val="heading 2"/>
    <w:basedOn w:val="a0"/>
    <w:next w:val="a0"/>
    <w:link w:val="21"/>
    <w:uiPriority w:val="9"/>
    <w:qFormat/>
    <w:pPr>
      <w:keepNext/>
      <w:keepLines/>
      <w:widowControl w:val="0"/>
      <w:spacing w:before="260" w:after="260" w:line="416" w:lineRule="auto"/>
      <w:jc w:val="both"/>
      <w:outlineLvl w:val="1"/>
    </w:pPr>
    <w:rPr>
      <w:rFonts w:ascii="等线 Light" w:eastAsia="等线 Light" w:hAnsi="等线 Light" w:cs="Times New Roman"/>
      <w:b/>
      <w:bCs/>
      <w:kern w:val="2"/>
      <w:sz w:val="32"/>
      <w:szCs w:val="32"/>
    </w:rPr>
  </w:style>
  <w:style w:type="paragraph" w:styleId="31">
    <w:name w:val="heading 3"/>
    <w:basedOn w:val="a0"/>
    <w:next w:val="a0"/>
    <w:link w:val="32"/>
    <w:uiPriority w:val="9"/>
    <w:qFormat/>
    <w:pPr>
      <w:keepNext/>
      <w:keepLines/>
      <w:widowControl w:val="0"/>
      <w:spacing w:before="260" w:after="260" w:line="416" w:lineRule="auto"/>
      <w:jc w:val="both"/>
      <w:outlineLvl w:val="2"/>
    </w:pPr>
    <w:rPr>
      <w:rFonts w:ascii="等线" w:eastAsia="等线" w:hAnsi="等线" w:cs="Times New Roman"/>
      <w:b/>
      <w:bCs/>
      <w:kern w:val="2"/>
      <w:sz w:val="32"/>
      <w:szCs w:val="32"/>
    </w:rPr>
  </w:style>
  <w:style w:type="paragraph" w:styleId="41">
    <w:name w:val="heading 4"/>
    <w:basedOn w:val="a0"/>
    <w:next w:val="a0"/>
    <w:link w:val="42"/>
    <w:uiPriority w:val="9"/>
    <w:qFormat/>
    <w:pPr>
      <w:keepNext/>
      <w:keepLines/>
      <w:widowControl w:val="0"/>
      <w:spacing w:before="280" w:after="290" w:line="376" w:lineRule="auto"/>
      <w:jc w:val="both"/>
      <w:outlineLvl w:val="3"/>
    </w:pPr>
    <w:rPr>
      <w:rFonts w:ascii="等线 Light" w:eastAsia="等线 Light" w:hAnsi="等线 Light" w:cs="Times New Roman"/>
      <w:b/>
      <w:bCs/>
      <w:kern w:val="2"/>
      <w:sz w:val="28"/>
      <w:szCs w:val="28"/>
    </w:rPr>
  </w:style>
  <w:style w:type="paragraph" w:styleId="51">
    <w:name w:val="heading 5"/>
    <w:basedOn w:val="a0"/>
    <w:next w:val="a0"/>
    <w:link w:val="52"/>
    <w:uiPriority w:val="9"/>
    <w:qFormat/>
    <w:pPr>
      <w:keepNext/>
      <w:keepLines/>
      <w:widowControl w:val="0"/>
      <w:spacing w:before="280" w:after="290" w:line="376" w:lineRule="auto"/>
      <w:jc w:val="both"/>
      <w:outlineLvl w:val="4"/>
    </w:pPr>
    <w:rPr>
      <w:rFonts w:ascii="等线" w:eastAsia="等线" w:hAnsi="等线" w:cs="Times New Roman"/>
      <w:b/>
      <w:bCs/>
      <w:kern w:val="2"/>
      <w:sz w:val="28"/>
      <w:szCs w:val="28"/>
    </w:rPr>
  </w:style>
  <w:style w:type="paragraph" w:styleId="6">
    <w:name w:val="heading 6"/>
    <w:basedOn w:val="a0"/>
    <w:next w:val="a0"/>
    <w:link w:val="60"/>
    <w:uiPriority w:val="9"/>
    <w:qFormat/>
    <w:pPr>
      <w:keepNext/>
      <w:keepLines/>
      <w:widowControl w:val="0"/>
      <w:spacing w:before="240" w:after="64" w:line="320" w:lineRule="auto"/>
      <w:jc w:val="both"/>
      <w:outlineLvl w:val="5"/>
    </w:pPr>
    <w:rPr>
      <w:rFonts w:ascii="等线 Light" w:eastAsia="等线 Light" w:hAnsi="等线 Light" w:cs="Times New Roman"/>
      <w:b/>
      <w:bCs/>
      <w:kern w:val="2"/>
    </w:rPr>
  </w:style>
  <w:style w:type="paragraph" w:styleId="7">
    <w:name w:val="heading 7"/>
    <w:basedOn w:val="a0"/>
    <w:next w:val="a0"/>
    <w:link w:val="70"/>
    <w:uiPriority w:val="9"/>
    <w:qFormat/>
    <w:pPr>
      <w:keepNext/>
      <w:keepLines/>
      <w:widowControl w:val="0"/>
      <w:spacing w:before="240" w:after="64" w:line="320" w:lineRule="auto"/>
      <w:jc w:val="both"/>
      <w:outlineLvl w:val="6"/>
    </w:pPr>
    <w:rPr>
      <w:rFonts w:ascii="等线" w:eastAsia="等线" w:hAnsi="等线" w:cs="Times New Roman"/>
      <w:b/>
      <w:bCs/>
      <w:kern w:val="2"/>
    </w:rPr>
  </w:style>
  <w:style w:type="paragraph" w:styleId="8">
    <w:name w:val="heading 8"/>
    <w:basedOn w:val="a0"/>
    <w:next w:val="a0"/>
    <w:link w:val="80"/>
    <w:uiPriority w:val="9"/>
    <w:qFormat/>
    <w:pPr>
      <w:keepNext/>
      <w:keepLines/>
      <w:widowControl w:val="0"/>
      <w:spacing w:before="240" w:after="64" w:line="320" w:lineRule="auto"/>
      <w:jc w:val="both"/>
      <w:outlineLvl w:val="7"/>
    </w:pPr>
    <w:rPr>
      <w:rFonts w:ascii="等线 Light" w:eastAsia="等线 Light" w:hAnsi="等线 Light" w:cs="Times New Roman"/>
      <w:kern w:val="2"/>
    </w:rPr>
  </w:style>
  <w:style w:type="paragraph" w:styleId="9">
    <w:name w:val="heading 9"/>
    <w:basedOn w:val="a0"/>
    <w:next w:val="a0"/>
    <w:link w:val="90"/>
    <w:uiPriority w:val="9"/>
    <w:qFormat/>
    <w:pPr>
      <w:keepNext/>
      <w:keepLines/>
      <w:widowControl w:val="0"/>
      <w:spacing w:before="240" w:after="64" w:line="320" w:lineRule="auto"/>
      <w:jc w:val="both"/>
      <w:outlineLvl w:val="8"/>
    </w:pPr>
    <w:rPr>
      <w:rFonts w:ascii="等线 Light" w:eastAsia="等线 Light" w:hAnsi="等线 Light" w:cs="Times New Roman"/>
      <w:kern w:val="2"/>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333333"/>
      <w:lang w:eastAsia="en-US"/>
    </w:rPr>
  </w:style>
  <w:style w:type="paragraph" w:styleId="33">
    <w:name w:val="List 3"/>
    <w:basedOn w:val="a0"/>
    <w:qFormat/>
    <w:pPr>
      <w:widowControl w:val="0"/>
      <w:ind w:left="1260" w:hanging="420"/>
      <w:jc w:val="both"/>
    </w:pPr>
    <w:rPr>
      <w:rFonts w:ascii="Times New Roman" w:hAnsi="Times New Roman" w:cs="Times New Roman"/>
      <w:kern w:val="2"/>
      <w:sz w:val="21"/>
      <w:szCs w:val="20"/>
    </w:rPr>
  </w:style>
  <w:style w:type="paragraph" w:styleId="TOC7">
    <w:name w:val="toc 7"/>
    <w:basedOn w:val="a0"/>
    <w:next w:val="a0"/>
    <w:uiPriority w:val="39"/>
    <w:qFormat/>
    <w:pPr>
      <w:widowControl w:val="0"/>
      <w:ind w:leftChars="1200" w:left="2520"/>
      <w:jc w:val="both"/>
    </w:pPr>
    <w:rPr>
      <w:rFonts w:ascii="Times New Roman" w:eastAsia="等线" w:hAnsi="Times New Roman" w:cs="Times New Roman"/>
      <w:kern w:val="2"/>
      <w:sz w:val="21"/>
    </w:rPr>
  </w:style>
  <w:style w:type="paragraph" w:styleId="22">
    <w:name w:val="List Number 2"/>
    <w:basedOn w:val="a0"/>
    <w:qFormat/>
    <w:pPr>
      <w:widowControl w:val="0"/>
      <w:spacing w:after="240"/>
      <w:jc w:val="both"/>
    </w:pPr>
    <w:rPr>
      <w:rFonts w:ascii="Times New Roman" w:hAnsi="Times New Roman" w:cs="Times New Roman"/>
      <w:kern w:val="2"/>
      <w:sz w:val="21"/>
    </w:rPr>
  </w:style>
  <w:style w:type="paragraph" w:styleId="a7">
    <w:name w:val="table of authorities"/>
    <w:basedOn w:val="a0"/>
    <w:next w:val="a0"/>
    <w:qFormat/>
    <w:pPr>
      <w:widowControl w:val="0"/>
      <w:ind w:left="200" w:hanging="200"/>
      <w:jc w:val="both"/>
    </w:pPr>
    <w:rPr>
      <w:rFonts w:ascii="Times New Roman" w:hAnsi="Times New Roman" w:cs="Times New Roman"/>
      <w:kern w:val="2"/>
      <w:sz w:val="21"/>
    </w:rPr>
  </w:style>
  <w:style w:type="paragraph" w:styleId="a8">
    <w:name w:val="Note Heading"/>
    <w:basedOn w:val="a0"/>
    <w:next w:val="a0"/>
    <w:link w:val="a9"/>
    <w:qFormat/>
    <w:pPr>
      <w:widowControl w:val="0"/>
      <w:jc w:val="both"/>
    </w:pPr>
    <w:rPr>
      <w:rFonts w:ascii="Times New Roman" w:hAnsi="Times New Roman" w:cs="Times New Roman"/>
      <w:kern w:val="2"/>
      <w:sz w:val="21"/>
    </w:rPr>
  </w:style>
  <w:style w:type="paragraph" w:styleId="40">
    <w:name w:val="List Bullet 4"/>
    <w:basedOn w:val="a0"/>
    <w:qFormat/>
    <w:pPr>
      <w:widowControl w:val="0"/>
      <w:numPr>
        <w:numId w:val="1"/>
      </w:numPr>
      <w:jc w:val="both"/>
    </w:pPr>
    <w:rPr>
      <w:rFonts w:ascii="Times New Roman" w:hAnsi="Times New Roman" w:cs="Times New Roman"/>
      <w:kern w:val="2"/>
      <w:sz w:val="21"/>
    </w:rPr>
  </w:style>
  <w:style w:type="paragraph" w:styleId="81">
    <w:name w:val="index 8"/>
    <w:basedOn w:val="a0"/>
    <w:next w:val="a0"/>
    <w:qFormat/>
    <w:pPr>
      <w:widowControl w:val="0"/>
      <w:ind w:left="1600" w:hanging="200"/>
      <w:jc w:val="both"/>
    </w:pPr>
    <w:rPr>
      <w:rFonts w:ascii="Times New Roman" w:hAnsi="Times New Roman" w:cs="Times New Roman"/>
      <w:kern w:val="2"/>
      <w:sz w:val="21"/>
    </w:rPr>
  </w:style>
  <w:style w:type="paragraph" w:styleId="aa">
    <w:name w:val="E-mail Signature"/>
    <w:basedOn w:val="a0"/>
    <w:link w:val="ab"/>
    <w:qFormat/>
    <w:pPr>
      <w:widowControl w:val="0"/>
      <w:jc w:val="both"/>
    </w:pPr>
    <w:rPr>
      <w:rFonts w:ascii="Times New Roman" w:hAnsi="Times New Roman" w:cs="Times New Roman"/>
      <w:kern w:val="2"/>
      <w:sz w:val="21"/>
    </w:rPr>
  </w:style>
  <w:style w:type="paragraph" w:styleId="a">
    <w:name w:val="List Number"/>
    <w:basedOn w:val="ac"/>
    <w:qFormat/>
    <w:pPr>
      <w:numPr>
        <w:numId w:val="2"/>
      </w:numPr>
      <w:spacing w:after="240"/>
    </w:pPr>
    <w:rPr>
      <w:rFonts w:eastAsia="宋体"/>
      <w:lang w:val="en-US"/>
    </w:rPr>
  </w:style>
  <w:style w:type="paragraph" w:styleId="ac">
    <w:name w:val="Body Text"/>
    <w:basedOn w:val="a0"/>
    <w:link w:val="ad"/>
    <w:qFormat/>
    <w:pPr>
      <w:widowControl w:val="0"/>
      <w:spacing w:after="120"/>
      <w:jc w:val="both"/>
    </w:pPr>
    <w:rPr>
      <w:rFonts w:ascii="Times New Roman" w:eastAsia="等线" w:hAnsi="Times New Roman" w:cs="Times New Roman"/>
      <w:kern w:val="2"/>
      <w:sz w:val="21"/>
      <w:lang w:val="zh-CN"/>
    </w:rPr>
  </w:style>
  <w:style w:type="paragraph" w:styleId="ae">
    <w:name w:val="Normal Indent"/>
    <w:basedOn w:val="a0"/>
    <w:link w:val="af"/>
    <w:qFormat/>
    <w:pPr>
      <w:widowControl w:val="0"/>
      <w:jc w:val="both"/>
    </w:pPr>
    <w:rPr>
      <w:rFonts w:ascii="Times New Roman" w:eastAsia="仿宋_GB2312" w:hAnsi="Times New Roman" w:cs="Times New Roman"/>
      <w:kern w:val="2"/>
      <w:szCs w:val="20"/>
    </w:rPr>
  </w:style>
  <w:style w:type="paragraph" w:styleId="af0">
    <w:name w:val="caption"/>
    <w:basedOn w:val="a0"/>
    <w:next w:val="a0"/>
    <w:uiPriority w:val="35"/>
    <w:qFormat/>
    <w:pPr>
      <w:widowControl w:val="0"/>
      <w:jc w:val="both"/>
    </w:pPr>
    <w:rPr>
      <w:rFonts w:ascii="等线 Light" w:eastAsia="黑体" w:hAnsi="等线 Light" w:cs="Times New Roman"/>
      <w:kern w:val="2"/>
      <w:sz w:val="20"/>
      <w:szCs w:val="20"/>
    </w:rPr>
  </w:style>
  <w:style w:type="paragraph" w:styleId="53">
    <w:name w:val="index 5"/>
    <w:basedOn w:val="a0"/>
    <w:next w:val="a0"/>
    <w:qFormat/>
    <w:pPr>
      <w:widowControl w:val="0"/>
      <w:ind w:left="1000" w:hanging="200"/>
      <w:jc w:val="both"/>
    </w:pPr>
    <w:rPr>
      <w:rFonts w:ascii="Times New Roman" w:hAnsi="Times New Roman" w:cs="Times New Roman"/>
      <w:kern w:val="2"/>
      <w:sz w:val="21"/>
    </w:rPr>
  </w:style>
  <w:style w:type="paragraph" w:styleId="af1">
    <w:name w:val="List Bullet"/>
    <w:basedOn w:val="a0"/>
    <w:link w:val="af2"/>
    <w:qFormat/>
    <w:pPr>
      <w:widowControl w:val="0"/>
      <w:tabs>
        <w:tab w:val="left" w:pos="360"/>
      </w:tabs>
      <w:ind w:left="360" w:hangingChars="200" w:hanging="360"/>
      <w:jc w:val="both"/>
    </w:pPr>
    <w:rPr>
      <w:rFonts w:ascii="Times New Roman" w:hAnsi="Times New Roman" w:cs="Times New Roman"/>
      <w:kern w:val="2"/>
      <w:sz w:val="21"/>
    </w:rPr>
  </w:style>
  <w:style w:type="paragraph" w:styleId="af3">
    <w:name w:val="envelope address"/>
    <w:basedOn w:val="a0"/>
    <w:qFormat/>
    <w:pPr>
      <w:framePr w:w="7920" w:h="1980" w:hRule="exact" w:hSpace="180" w:wrap="around" w:hAnchor="page" w:xAlign="center" w:yAlign="bottom"/>
      <w:widowControl w:val="0"/>
      <w:ind w:left="2880"/>
      <w:jc w:val="both"/>
    </w:pPr>
    <w:rPr>
      <w:rFonts w:ascii="Times New Roman" w:hAnsi="Times New Roman" w:cs="Arial"/>
      <w:kern w:val="2"/>
    </w:rPr>
  </w:style>
  <w:style w:type="paragraph" w:styleId="af4">
    <w:name w:val="Document Map"/>
    <w:basedOn w:val="a0"/>
    <w:link w:val="af5"/>
    <w:qFormat/>
    <w:pPr>
      <w:widowControl w:val="0"/>
      <w:shd w:val="clear" w:color="auto" w:fill="000080"/>
      <w:jc w:val="both"/>
    </w:pPr>
    <w:rPr>
      <w:rFonts w:ascii="Times New Roman" w:eastAsia="等线" w:hAnsi="Times New Roman" w:cs="Times New Roman"/>
      <w:kern w:val="2"/>
      <w:sz w:val="21"/>
      <w:lang w:val="zh-CN"/>
    </w:rPr>
  </w:style>
  <w:style w:type="paragraph" w:styleId="af6">
    <w:name w:val="toa heading"/>
    <w:basedOn w:val="a0"/>
    <w:next w:val="a0"/>
    <w:qFormat/>
    <w:pPr>
      <w:widowControl w:val="0"/>
      <w:spacing w:before="120"/>
      <w:jc w:val="both"/>
    </w:pPr>
    <w:rPr>
      <w:rFonts w:ascii="Times New Roman" w:hAnsi="Times New Roman" w:cs="Arial"/>
      <w:b/>
      <w:bCs/>
      <w:kern w:val="2"/>
    </w:rPr>
  </w:style>
  <w:style w:type="paragraph" w:styleId="af7">
    <w:name w:val="annotation text"/>
    <w:basedOn w:val="a0"/>
    <w:link w:val="af8"/>
    <w:uiPriority w:val="99"/>
    <w:qFormat/>
    <w:pPr>
      <w:widowControl w:val="0"/>
    </w:pPr>
    <w:rPr>
      <w:rFonts w:ascii="Times New Roman" w:eastAsia="等线" w:hAnsi="Times New Roman" w:cs="Times New Roman"/>
      <w:kern w:val="2"/>
      <w:sz w:val="21"/>
      <w:lang w:val="zh-CN"/>
    </w:rPr>
  </w:style>
  <w:style w:type="paragraph" w:styleId="61">
    <w:name w:val="index 6"/>
    <w:basedOn w:val="a0"/>
    <w:next w:val="a0"/>
    <w:qFormat/>
    <w:pPr>
      <w:widowControl w:val="0"/>
      <w:ind w:left="1200" w:hanging="200"/>
      <w:jc w:val="both"/>
    </w:pPr>
    <w:rPr>
      <w:rFonts w:ascii="Times New Roman" w:hAnsi="Times New Roman" w:cs="Times New Roman"/>
      <w:kern w:val="2"/>
      <w:sz w:val="21"/>
    </w:rPr>
  </w:style>
  <w:style w:type="paragraph" w:styleId="af9">
    <w:name w:val="Salutation"/>
    <w:basedOn w:val="a0"/>
    <w:next w:val="a0"/>
    <w:link w:val="afa"/>
    <w:qFormat/>
    <w:pPr>
      <w:widowControl w:val="0"/>
      <w:jc w:val="both"/>
    </w:pPr>
    <w:rPr>
      <w:rFonts w:ascii="Times New Roman" w:hAnsi="Times New Roman" w:cs="Times New Roman"/>
      <w:kern w:val="2"/>
      <w:sz w:val="21"/>
    </w:rPr>
  </w:style>
  <w:style w:type="paragraph" w:styleId="34">
    <w:name w:val="Body Text 3"/>
    <w:basedOn w:val="a0"/>
    <w:link w:val="35"/>
    <w:qFormat/>
    <w:pPr>
      <w:spacing w:after="120"/>
    </w:pPr>
    <w:rPr>
      <w:rFonts w:ascii="Times New Roman" w:hAnsi="Times New Roman" w:cs="Times New Roman"/>
      <w:sz w:val="16"/>
      <w:szCs w:val="20"/>
    </w:rPr>
  </w:style>
  <w:style w:type="paragraph" w:styleId="afb">
    <w:name w:val="Closing"/>
    <w:basedOn w:val="a0"/>
    <w:link w:val="afc"/>
    <w:qFormat/>
    <w:pPr>
      <w:widowControl w:val="0"/>
      <w:ind w:left="4252"/>
      <w:jc w:val="both"/>
    </w:pPr>
    <w:rPr>
      <w:rFonts w:ascii="Times New Roman" w:hAnsi="Times New Roman" w:cs="Times New Roman"/>
      <w:kern w:val="2"/>
      <w:sz w:val="21"/>
    </w:rPr>
  </w:style>
  <w:style w:type="paragraph" w:styleId="30">
    <w:name w:val="List Bullet 3"/>
    <w:basedOn w:val="a0"/>
    <w:qFormat/>
    <w:pPr>
      <w:widowControl w:val="0"/>
      <w:numPr>
        <w:numId w:val="3"/>
      </w:numPr>
      <w:jc w:val="both"/>
    </w:pPr>
    <w:rPr>
      <w:rFonts w:ascii="Times New Roman" w:hAnsi="Times New Roman" w:cs="Times New Roman"/>
      <w:kern w:val="2"/>
      <w:sz w:val="21"/>
    </w:rPr>
  </w:style>
  <w:style w:type="paragraph" w:styleId="afd">
    <w:name w:val="Body Text Indent"/>
    <w:basedOn w:val="a0"/>
    <w:link w:val="afe"/>
    <w:qFormat/>
    <w:pPr>
      <w:widowControl w:val="0"/>
      <w:spacing w:after="120"/>
      <w:ind w:leftChars="200" w:left="420"/>
      <w:jc w:val="both"/>
    </w:pPr>
    <w:rPr>
      <w:rFonts w:ascii="Times New Roman" w:eastAsia="等线" w:hAnsi="Times New Roman" w:cs="Times New Roman"/>
      <w:kern w:val="2"/>
      <w:sz w:val="21"/>
      <w:lang w:val="zh-CN"/>
    </w:rPr>
  </w:style>
  <w:style w:type="paragraph" w:styleId="3">
    <w:name w:val="List Number 3"/>
    <w:basedOn w:val="a0"/>
    <w:qFormat/>
    <w:pPr>
      <w:widowControl w:val="0"/>
      <w:numPr>
        <w:numId w:val="4"/>
      </w:numPr>
      <w:jc w:val="both"/>
    </w:pPr>
    <w:rPr>
      <w:rFonts w:ascii="Times New Roman" w:hAnsi="Times New Roman" w:cs="Times New Roman"/>
      <w:kern w:val="2"/>
      <w:sz w:val="21"/>
    </w:rPr>
  </w:style>
  <w:style w:type="paragraph" w:styleId="23">
    <w:name w:val="List 2"/>
    <w:basedOn w:val="a0"/>
    <w:qFormat/>
    <w:pPr>
      <w:widowControl w:val="0"/>
      <w:ind w:leftChars="200" w:left="100" w:hangingChars="200" w:hanging="200"/>
      <w:jc w:val="both"/>
    </w:pPr>
    <w:rPr>
      <w:rFonts w:ascii="Times New Roman" w:eastAsia="等线" w:hAnsi="Times New Roman" w:cs="Times New Roman"/>
      <w:kern w:val="2"/>
      <w:sz w:val="21"/>
    </w:rPr>
  </w:style>
  <w:style w:type="paragraph" w:styleId="aff">
    <w:name w:val="List Continue"/>
    <w:basedOn w:val="a0"/>
    <w:qFormat/>
    <w:pPr>
      <w:widowControl w:val="0"/>
      <w:spacing w:after="120"/>
      <w:ind w:leftChars="200" w:left="420"/>
      <w:jc w:val="both"/>
    </w:pPr>
    <w:rPr>
      <w:rFonts w:ascii="Times New Roman" w:eastAsia="等线" w:hAnsi="Times New Roman" w:cs="Times New Roman"/>
      <w:kern w:val="2"/>
      <w:sz w:val="21"/>
    </w:rPr>
  </w:style>
  <w:style w:type="paragraph" w:styleId="aff0">
    <w:name w:val="Block Text"/>
    <w:basedOn w:val="a0"/>
    <w:qFormat/>
    <w:pPr>
      <w:widowControl w:val="0"/>
      <w:adjustRightInd w:val="0"/>
      <w:snapToGrid w:val="0"/>
      <w:ind w:left="560" w:right="18"/>
      <w:jc w:val="both"/>
    </w:pPr>
    <w:rPr>
      <w:rFonts w:ascii="仿宋_GB2312" w:eastAsia="仿宋_GB2312" w:hAnsi="Times New Roman" w:cs="Times New Roman"/>
      <w:color w:val="000000"/>
      <w:kern w:val="2"/>
      <w:sz w:val="28"/>
      <w:szCs w:val="20"/>
    </w:rPr>
  </w:style>
  <w:style w:type="paragraph" w:styleId="2">
    <w:name w:val="List Bullet 2"/>
    <w:basedOn w:val="ac"/>
    <w:qFormat/>
    <w:pPr>
      <w:widowControl/>
      <w:numPr>
        <w:numId w:val="5"/>
      </w:numPr>
      <w:spacing w:after="240" w:line="240" w:lineRule="atLeast"/>
      <w:jc w:val="left"/>
    </w:pPr>
    <w:rPr>
      <w:rFonts w:ascii="Arial" w:eastAsia="楷体_GB2312" w:hAnsi="Arial"/>
      <w:kern w:val="0"/>
      <w:sz w:val="24"/>
      <w:szCs w:val="32"/>
      <w:lang w:val="en-US" w:eastAsia="en-US"/>
    </w:rPr>
  </w:style>
  <w:style w:type="paragraph" w:styleId="HTML">
    <w:name w:val="HTML Address"/>
    <w:basedOn w:val="a0"/>
    <w:link w:val="HTML0"/>
    <w:qFormat/>
    <w:pPr>
      <w:widowControl w:val="0"/>
      <w:jc w:val="both"/>
    </w:pPr>
    <w:rPr>
      <w:rFonts w:ascii="Times New Roman" w:hAnsi="Times New Roman" w:cs="Times New Roman"/>
      <w:i/>
      <w:iCs/>
      <w:kern w:val="2"/>
      <w:sz w:val="21"/>
    </w:rPr>
  </w:style>
  <w:style w:type="paragraph" w:styleId="43">
    <w:name w:val="index 4"/>
    <w:basedOn w:val="a0"/>
    <w:next w:val="a0"/>
    <w:qFormat/>
    <w:pPr>
      <w:widowControl w:val="0"/>
      <w:ind w:left="800" w:hanging="200"/>
      <w:jc w:val="both"/>
    </w:pPr>
    <w:rPr>
      <w:rFonts w:ascii="Times New Roman" w:hAnsi="Times New Roman" w:cs="Times New Roman"/>
      <w:kern w:val="2"/>
      <w:sz w:val="21"/>
    </w:rPr>
  </w:style>
  <w:style w:type="paragraph" w:styleId="TOC5">
    <w:name w:val="toc 5"/>
    <w:basedOn w:val="a0"/>
    <w:next w:val="a0"/>
    <w:uiPriority w:val="39"/>
    <w:qFormat/>
    <w:pPr>
      <w:widowControl w:val="0"/>
      <w:ind w:leftChars="800" w:left="1680"/>
      <w:jc w:val="both"/>
    </w:pPr>
    <w:rPr>
      <w:rFonts w:ascii="Times New Roman" w:eastAsia="等线" w:hAnsi="Times New Roman" w:cs="Times New Roman"/>
      <w:kern w:val="2"/>
      <w:sz w:val="21"/>
    </w:rPr>
  </w:style>
  <w:style w:type="paragraph" w:styleId="TOC3">
    <w:name w:val="toc 3"/>
    <w:basedOn w:val="a0"/>
    <w:next w:val="a0"/>
    <w:uiPriority w:val="39"/>
    <w:qFormat/>
    <w:pPr>
      <w:widowControl w:val="0"/>
      <w:tabs>
        <w:tab w:val="right" w:leader="dot" w:pos="8302"/>
      </w:tabs>
      <w:spacing w:line="360" w:lineRule="auto"/>
      <w:ind w:leftChars="400" w:left="400"/>
      <w:jc w:val="both"/>
    </w:pPr>
    <w:rPr>
      <w:rFonts w:ascii="Times New Roman" w:eastAsia="等线" w:hAnsi="Times New Roman" w:cs="Times New Roman"/>
      <w:kern w:val="2"/>
      <w:sz w:val="21"/>
    </w:rPr>
  </w:style>
  <w:style w:type="paragraph" w:styleId="aff1">
    <w:name w:val="Plain Text"/>
    <w:basedOn w:val="a0"/>
    <w:link w:val="aff2"/>
    <w:qFormat/>
    <w:pPr>
      <w:widowControl w:val="0"/>
      <w:jc w:val="both"/>
    </w:pPr>
    <w:rPr>
      <w:rFonts w:eastAsia="等线" w:hAnsi="Courier New" w:cs="Times New Roman"/>
      <w:kern w:val="2"/>
      <w:sz w:val="21"/>
      <w:szCs w:val="21"/>
      <w:lang w:val="zh-CN"/>
    </w:rPr>
  </w:style>
  <w:style w:type="paragraph" w:styleId="50">
    <w:name w:val="List Bullet 5"/>
    <w:basedOn w:val="a0"/>
    <w:qFormat/>
    <w:pPr>
      <w:numPr>
        <w:numId w:val="6"/>
      </w:numPr>
      <w:spacing w:line="240" w:lineRule="atLeast"/>
    </w:pPr>
    <w:rPr>
      <w:rFonts w:ascii="Arial" w:eastAsia="楷体_GB2312" w:hAnsi="Arial" w:cs="Times New Roman"/>
      <w:szCs w:val="32"/>
      <w:lang w:eastAsia="en-US"/>
    </w:rPr>
  </w:style>
  <w:style w:type="paragraph" w:styleId="4">
    <w:name w:val="List Number 4"/>
    <w:basedOn w:val="a0"/>
    <w:qFormat/>
    <w:pPr>
      <w:widowControl w:val="0"/>
      <w:numPr>
        <w:numId w:val="7"/>
      </w:numPr>
      <w:jc w:val="both"/>
    </w:pPr>
    <w:rPr>
      <w:rFonts w:ascii="Times New Roman" w:hAnsi="Times New Roman" w:cs="Times New Roman"/>
      <w:kern w:val="2"/>
      <w:sz w:val="21"/>
    </w:rPr>
  </w:style>
  <w:style w:type="paragraph" w:styleId="TOC8">
    <w:name w:val="toc 8"/>
    <w:basedOn w:val="a0"/>
    <w:next w:val="a0"/>
    <w:uiPriority w:val="39"/>
    <w:qFormat/>
    <w:pPr>
      <w:widowControl w:val="0"/>
      <w:ind w:leftChars="1400" w:left="2940"/>
      <w:jc w:val="both"/>
    </w:pPr>
    <w:rPr>
      <w:rFonts w:ascii="Times New Roman" w:eastAsia="等线" w:hAnsi="Times New Roman" w:cs="Times New Roman"/>
      <w:kern w:val="2"/>
      <w:sz w:val="21"/>
    </w:rPr>
  </w:style>
  <w:style w:type="paragraph" w:styleId="36">
    <w:name w:val="index 3"/>
    <w:basedOn w:val="a0"/>
    <w:next w:val="a0"/>
    <w:qFormat/>
    <w:pPr>
      <w:widowControl w:val="0"/>
      <w:ind w:left="600" w:hanging="200"/>
      <w:jc w:val="both"/>
    </w:pPr>
    <w:rPr>
      <w:rFonts w:ascii="Times New Roman" w:hAnsi="Times New Roman" w:cs="Times New Roman"/>
      <w:kern w:val="2"/>
      <w:sz w:val="21"/>
    </w:rPr>
  </w:style>
  <w:style w:type="paragraph" w:styleId="aff3">
    <w:name w:val="Date"/>
    <w:basedOn w:val="a0"/>
    <w:next w:val="a0"/>
    <w:link w:val="aff4"/>
    <w:unhideWhenUsed/>
    <w:qFormat/>
    <w:pPr>
      <w:widowControl w:val="0"/>
      <w:ind w:leftChars="2500" w:left="100"/>
      <w:jc w:val="both"/>
    </w:pPr>
    <w:rPr>
      <w:rFonts w:ascii="等线" w:eastAsia="等线" w:hAnsi="等线" w:cs="Times New Roman"/>
      <w:kern w:val="2"/>
      <w:sz w:val="21"/>
      <w:szCs w:val="21"/>
    </w:rPr>
  </w:style>
  <w:style w:type="paragraph" w:styleId="24">
    <w:name w:val="Body Text Indent 2"/>
    <w:basedOn w:val="a0"/>
    <w:link w:val="25"/>
    <w:unhideWhenUsed/>
    <w:qFormat/>
    <w:pPr>
      <w:widowControl w:val="0"/>
      <w:spacing w:after="120" w:line="480" w:lineRule="auto"/>
      <w:ind w:leftChars="200" w:left="420"/>
      <w:jc w:val="both"/>
    </w:pPr>
    <w:rPr>
      <w:rFonts w:ascii="等线" w:eastAsia="等线" w:hAnsi="等线" w:cs="Times New Roman"/>
      <w:kern w:val="2"/>
      <w:sz w:val="21"/>
      <w:szCs w:val="21"/>
    </w:rPr>
  </w:style>
  <w:style w:type="paragraph" w:styleId="aff5">
    <w:name w:val="endnote text"/>
    <w:basedOn w:val="a0"/>
    <w:link w:val="54"/>
    <w:uiPriority w:val="99"/>
    <w:unhideWhenUsed/>
    <w:qFormat/>
    <w:pPr>
      <w:widowControl w:val="0"/>
      <w:snapToGrid w:val="0"/>
    </w:pPr>
    <w:rPr>
      <w:rFonts w:ascii="等线" w:eastAsia="等线" w:hAnsi="等线" w:cs="Times New Roman"/>
      <w:kern w:val="2"/>
      <w:sz w:val="21"/>
      <w:szCs w:val="21"/>
    </w:rPr>
  </w:style>
  <w:style w:type="paragraph" w:styleId="55">
    <w:name w:val="List Continue 5"/>
    <w:basedOn w:val="a0"/>
    <w:qFormat/>
    <w:pPr>
      <w:widowControl w:val="0"/>
      <w:spacing w:after="120"/>
      <w:ind w:left="1415"/>
      <w:jc w:val="both"/>
    </w:pPr>
    <w:rPr>
      <w:rFonts w:ascii="Times New Roman" w:hAnsi="Times New Roman" w:cs="Times New Roman"/>
      <w:kern w:val="2"/>
      <w:sz w:val="21"/>
    </w:rPr>
  </w:style>
  <w:style w:type="paragraph" w:styleId="aff6">
    <w:name w:val="Balloon Text"/>
    <w:basedOn w:val="a0"/>
    <w:link w:val="aff7"/>
    <w:uiPriority w:val="99"/>
    <w:qFormat/>
    <w:pPr>
      <w:widowControl w:val="0"/>
      <w:jc w:val="both"/>
    </w:pPr>
    <w:rPr>
      <w:rFonts w:ascii="Times New Roman" w:eastAsia="等线" w:hAnsi="Times New Roman" w:cs="Times New Roman"/>
      <w:kern w:val="2"/>
      <w:sz w:val="18"/>
      <w:szCs w:val="18"/>
      <w:lang w:val="zh-CN"/>
    </w:rPr>
  </w:style>
  <w:style w:type="paragraph" w:styleId="aff8">
    <w:name w:val="footer"/>
    <w:basedOn w:val="a0"/>
    <w:link w:val="aff9"/>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ffa">
    <w:name w:val="envelope return"/>
    <w:basedOn w:val="a0"/>
    <w:qFormat/>
    <w:pPr>
      <w:widowControl w:val="0"/>
      <w:jc w:val="both"/>
    </w:pPr>
    <w:rPr>
      <w:rFonts w:ascii="Times New Roman" w:hAnsi="Times New Roman" w:cs="Arial"/>
      <w:kern w:val="2"/>
      <w:sz w:val="21"/>
    </w:rPr>
  </w:style>
  <w:style w:type="paragraph" w:styleId="affb">
    <w:name w:val="header"/>
    <w:basedOn w:val="a0"/>
    <w:link w:val="affc"/>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ffd">
    <w:name w:val="Signature"/>
    <w:basedOn w:val="a0"/>
    <w:link w:val="affe"/>
    <w:qFormat/>
    <w:pPr>
      <w:widowControl w:val="0"/>
      <w:ind w:leftChars="2100" w:left="100"/>
      <w:jc w:val="both"/>
    </w:pPr>
    <w:rPr>
      <w:rFonts w:ascii="Times New Roman" w:hAnsi="Times New Roman" w:cs="Times New Roman"/>
      <w:kern w:val="2"/>
      <w:sz w:val="21"/>
    </w:rPr>
  </w:style>
  <w:style w:type="paragraph" w:styleId="TOC1">
    <w:name w:val="toc 1"/>
    <w:basedOn w:val="a0"/>
    <w:next w:val="a0"/>
    <w:uiPriority w:val="39"/>
    <w:qFormat/>
    <w:pPr>
      <w:widowControl w:val="0"/>
      <w:tabs>
        <w:tab w:val="right" w:leader="dot" w:pos="8302"/>
      </w:tabs>
      <w:spacing w:line="360" w:lineRule="auto"/>
      <w:jc w:val="both"/>
    </w:pPr>
    <w:rPr>
      <w:rFonts w:ascii="Times New Roman" w:hAnsi="Times New Roman" w:cs="Times New Roman"/>
      <w:b/>
      <w:bCs/>
      <w:kern w:val="2"/>
    </w:rPr>
  </w:style>
  <w:style w:type="paragraph" w:styleId="44">
    <w:name w:val="List Continue 4"/>
    <w:basedOn w:val="a0"/>
    <w:qFormat/>
    <w:pPr>
      <w:widowControl w:val="0"/>
      <w:spacing w:after="120"/>
      <w:ind w:left="1132"/>
      <w:jc w:val="both"/>
    </w:pPr>
    <w:rPr>
      <w:rFonts w:ascii="Times New Roman" w:hAnsi="Times New Roman" w:cs="Times New Roman"/>
      <w:kern w:val="2"/>
      <w:sz w:val="21"/>
    </w:rPr>
  </w:style>
  <w:style w:type="paragraph" w:styleId="TOC4">
    <w:name w:val="toc 4"/>
    <w:basedOn w:val="a0"/>
    <w:next w:val="a0"/>
    <w:uiPriority w:val="39"/>
    <w:qFormat/>
    <w:pPr>
      <w:widowControl w:val="0"/>
      <w:ind w:leftChars="600" w:left="1260"/>
      <w:jc w:val="both"/>
    </w:pPr>
    <w:rPr>
      <w:rFonts w:ascii="Times New Roman" w:eastAsia="等线" w:hAnsi="Times New Roman" w:cs="Times New Roman"/>
      <w:kern w:val="2"/>
      <w:sz w:val="21"/>
    </w:rPr>
  </w:style>
  <w:style w:type="paragraph" w:styleId="afff">
    <w:name w:val="index heading"/>
    <w:basedOn w:val="a0"/>
    <w:next w:val="11"/>
    <w:qFormat/>
    <w:pPr>
      <w:widowControl w:val="0"/>
      <w:jc w:val="both"/>
    </w:pPr>
    <w:rPr>
      <w:rFonts w:ascii="Times New Roman" w:hAnsi="Times New Roman" w:cs="Arial"/>
      <w:b/>
      <w:bCs/>
      <w:kern w:val="2"/>
      <w:sz w:val="21"/>
    </w:rPr>
  </w:style>
  <w:style w:type="paragraph" w:styleId="11">
    <w:name w:val="index 1"/>
    <w:basedOn w:val="a0"/>
    <w:next w:val="a0"/>
    <w:qFormat/>
    <w:pPr>
      <w:widowControl w:val="0"/>
      <w:spacing w:line="360" w:lineRule="auto"/>
      <w:jc w:val="center"/>
    </w:pPr>
    <w:rPr>
      <w:rFonts w:ascii="Arial Narrow" w:eastAsia="仿宋_GB2312" w:hAnsi="Arial Narrow" w:cs="Times New Roman"/>
      <w:kern w:val="2"/>
      <w:sz w:val="21"/>
    </w:rPr>
  </w:style>
  <w:style w:type="paragraph" w:styleId="afff0">
    <w:name w:val="Subtitle"/>
    <w:basedOn w:val="a0"/>
    <w:next w:val="a0"/>
    <w:link w:val="afff1"/>
    <w:uiPriority w:val="11"/>
    <w:qFormat/>
    <w:pPr>
      <w:widowControl w:val="0"/>
      <w:spacing w:before="240" w:after="60" w:line="312" w:lineRule="auto"/>
      <w:jc w:val="center"/>
      <w:outlineLvl w:val="1"/>
    </w:pPr>
    <w:rPr>
      <w:rFonts w:ascii="等线 Light" w:hAnsi="等线 Light" w:cs="Times New Roman"/>
      <w:b/>
      <w:bCs/>
      <w:kern w:val="28"/>
      <w:sz w:val="32"/>
      <w:szCs w:val="32"/>
    </w:rPr>
  </w:style>
  <w:style w:type="paragraph" w:styleId="5">
    <w:name w:val="List Number 5"/>
    <w:basedOn w:val="a0"/>
    <w:qFormat/>
    <w:pPr>
      <w:widowControl w:val="0"/>
      <w:numPr>
        <w:numId w:val="8"/>
      </w:numPr>
      <w:jc w:val="both"/>
    </w:pPr>
    <w:rPr>
      <w:rFonts w:ascii="Times New Roman" w:hAnsi="Times New Roman" w:cs="Times New Roman"/>
      <w:kern w:val="2"/>
      <w:sz w:val="21"/>
    </w:rPr>
  </w:style>
  <w:style w:type="paragraph" w:styleId="afff2">
    <w:name w:val="List"/>
    <w:basedOn w:val="a0"/>
    <w:qFormat/>
    <w:pPr>
      <w:widowControl w:val="0"/>
      <w:ind w:left="200" w:hangingChars="200" w:hanging="200"/>
      <w:jc w:val="both"/>
    </w:pPr>
    <w:rPr>
      <w:rFonts w:ascii="Times New Roman" w:eastAsia="等线" w:hAnsi="Times New Roman" w:cs="Times New Roman"/>
      <w:kern w:val="2"/>
      <w:sz w:val="21"/>
    </w:rPr>
  </w:style>
  <w:style w:type="paragraph" w:styleId="afff3">
    <w:name w:val="footnote text"/>
    <w:basedOn w:val="a0"/>
    <w:link w:val="afff4"/>
    <w:uiPriority w:val="99"/>
    <w:qFormat/>
    <w:pPr>
      <w:widowControl w:val="0"/>
      <w:snapToGrid w:val="0"/>
    </w:pPr>
    <w:rPr>
      <w:rFonts w:ascii="Times New Roman" w:eastAsia="等线" w:hAnsi="Times New Roman" w:cs="Times New Roman"/>
      <w:kern w:val="2"/>
      <w:sz w:val="18"/>
      <w:szCs w:val="18"/>
      <w:lang w:val="zh-CN"/>
    </w:rPr>
  </w:style>
  <w:style w:type="paragraph" w:styleId="TOC6">
    <w:name w:val="toc 6"/>
    <w:basedOn w:val="a0"/>
    <w:next w:val="a0"/>
    <w:uiPriority w:val="39"/>
    <w:qFormat/>
    <w:pPr>
      <w:widowControl w:val="0"/>
      <w:ind w:leftChars="1000" w:left="2100"/>
      <w:jc w:val="both"/>
    </w:pPr>
    <w:rPr>
      <w:rFonts w:ascii="Times New Roman" w:eastAsia="等线" w:hAnsi="Times New Roman" w:cs="Times New Roman"/>
      <w:kern w:val="2"/>
      <w:sz w:val="21"/>
    </w:rPr>
  </w:style>
  <w:style w:type="paragraph" w:styleId="56">
    <w:name w:val="List 5"/>
    <w:basedOn w:val="a0"/>
    <w:qFormat/>
    <w:pPr>
      <w:widowControl w:val="0"/>
      <w:ind w:left="1415" w:hanging="283"/>
      <w:jc w:val="both"/>
    </w:pPr>
    <w:rPr>
      <w:rFonts w:ascii="Times New Roman" w:hAnsi="Times New Roman" w:cs="Times New Roman"/>
      <w:kern w:val="2"/>
      <w:sz w:val="21"/>
    </w:rPr>
  </w:style>
  <w:style w:type="paragraph" w:styleId="37">
    <w:name w:val="Body Text Indent 3"/>
    <w:basedOn w:val="a0"/>
    <w:link w:val="38"/>
    <w:qFormat/>
    <w:pPr>
      <w:adjustRightInd w:val="0"/>
      <w:spacing w:line="360" w:lineRule="auto"/>
      <w:ind w:firstLine="570"/>
      <w:textAlignment w:val="baseline"/>
    </w:pPr>
    <w:rPr>
      <w:rFonts w:hAnsi="Times New Roman" w:cs="Times New Roman"/>
      <w:b/>
      <w:kern w:val="2"/>
      <w:sz w:val="32"/>
      <w:szCs w:val="20"/>
    </w:rPr>
  </w:style>
  <w:style w:type="paragraph" w:styleId="71">
    <w:name w:val="index 7"/>
    <w:basedOn w:val="a0"/>
    <w:next w:val="a0"/>
    <w:qFormat/>
    <w:pPr>
      <w:widowControl w:val="0"/>
      <w:ind w:left="1400" w:hanging="200"/>
      <w:jc w:val="both"/>
    </w:pPr>
    <w:rPr>
      <w:rFonts w:ascii="Times New Roman" w:hAnsi="Times New Roman" w:cs="Times New Roman"/>
      <w:kern w:val="2"/>
      <w:sz w:val="21"/>
    </w:rPr>
  </w:style>
  <w:style w:type="paragraph" w:styleId="91">
    <w:name w:val="index 9"/>
    <w:basedOn w:val="a0"/>
    <w:next w:val="a0"/>
    <w:qFormat/>
    <w:pPr>
      <w:widowControl w:val="0"/>
      <w:ind w:left="1800" w:hanging="200"/>
      <w:jc w:val="both"/>
    </w:pPr>
    <w:rPr>
      <w:rFonts w:ascii="Times New Roman" w:hAnsi="Times New Roman" w:cs="Times New Roman"/>
      <w:kern w:val="2"/>
      <w:sz w:val="21"/>
    </w:rPr>
  </w:style>
  <w:style w:type="paragraph" w:styleId="afff5">
    <w:name w:val="table of figures"/>
    <w:basedOn w:val="a0"/>
    <w:next w:val="a0"/>
    <w:qFormat/>
    <w:pPr>
      <w:widowControl w:val="0"/>
      <w:ind w:left="400" w:hanging="400"/>
      <w:jc w:val="both"/>
    </w:pPr>
    <w:rPr>
      <w:rFonts w:ascii="Times New Roman" w:hAnsi="Times New Roman" w:cs="Times New Roman"/>
      <w:kern w:val="2"/>
      <w:sz w:val="21"/>
    </w:rPr>
  </w:style>
  <w:style w:type="paragraph" w:styleId="TOC2">
    <w:name w:val="toc 2"/>
    <w:basedOn w:val="a0"/>
    <w:next w:val="a0"/>
    <w:uiPriority w:val="39"/>
    <w:qFormat/>
    <w:pPr>
      <w:widowControl w:val="0"/>
      <w:tabs>
        <w:tab w:val="right" w:leader="dot" w:pos="8296"/>
      </w:tabs>
      <w:spacing w:line="360" w:lineRule="auto"/>
      <w:ind w:leftChars="200" w:left="420"/>
      <w:jc w:val="both"/>
    </w:pPr>
    <w:rPr>
      <w:rFonts w:ascii="Times New Roman" w:hAnsi="Times New Roman" w:cs="Times New Roman"/>
      <w:b/>
      <w:bCs/>
      <w:kern w:val="2"/>
    </w:rPr>
  </w:style>
  <w:style w:type="paragraph" w:styleId="TOC9">
    <w:name w:val="toc 9"/>
    <w:basedOn w:val="a0"/>
    <w:next w:val="a0"/>
    <w:uiPriority w:val="39"/>
    <w:qFormat/>
    <w:pPr>
      <w:widowControl w:val="0"/>
      <w:ind w:leftChars="1600" w:left="3360"/>
      <w:jc w:val="both"/>
    </w:pPr>
    <w:rPr>
      <w:rFonts w:ascii="Times New Roman" w:eastAsia="等线" w:hAnsi="Times New Roman" w:cs="Times New Roman"/>
      <w:kern w:val="2"/>
      <w:sz w:val="21"/>
    </w:rPr>
  </w:style>
  <w:style w:type="paragraph" w:styleId="26">
    <w:name w:val="Body Text 2"/>
    <w:basedOn w:val="a0"/>
    <w:link w:val="27"/>
    <w:qFormat/>
    <w:pPr>
      <w:widowControl w:val="0"/>
      <w:spacing w:after="120" w:line="480" w:lineRule="auto"/>
      <w:jc w:val="both"/>
    </w:pPr>
    <w:rPr>
      <w:rFonts w:ascii="Times New Roman" w:eastAsia="等线" w:hAnsi="Times New Roman" w:cs="Times New Roman"/>
      <w:kern w:val="2"/>
      <w:sz w:val="21"/>
      <w:lang w:val="zh-CN"/>
    </w:rPr>
  </w:style>
  <w:style w:type="paragraph" w:styleId="45">
    <w:name w:val="List 4"/>
    <w:basedOn w:val="a0"/>
    <w:qFormat/>
    <w:pPr>
      <w:widowControl w:val="0"/>
      <w:ind w:left="1132" w:hanging="283"/>
      <w:jc w:val="both"/>
    </w:pPr>
    <w:rPr>
      <w:rFonts w:ascii="Times New Roman" w:hAnsi="Times New Roman" w:cs="Times New Roman"/>
      <w:kern w:val="2"/>
      <w:sz w:val="21"/>
    </w:rPr>
  </w:style>
  <w:style w:type="paragraph" w:styleId="28">
    <w:name w:val="List Continue 2"/>
    <w:basedOn w:val="a0"/>
    <w:qFormat/>
    <w:pPr>
      <w:widowControl w:val="0"/>
      <w:spacing w:after="120"/>
      <w:ind w:left="566"/>
      <w:jc w:val="both"/>
    </w:pPr>
    <w:rPr>
      <w:rFonts w:ascii="Times New Roman" w:hAnsi="Times New Roman" w:cs="Times New Roman"/>
      <w:kern w:val="2"/>
      <w:sz w:val="21"/>
    </w:rPr>
  </w:style>
  <w:style w:type="paragraph" w:styleId="afff6">
    <w:name w:val="Message Header"/>
    <w:basedOn w:val="a0"/>
    <w:link w:val="afff7"/>
    <w:qFormat/>
    <w:pPr>
      <w:widowControl w:val="0"/>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Times New Roman" w:hAnsi="Times New Roman" w:cs="Arial"/>
      <w:kern w:val="2"/>
    </w:rPr>
  </w:style>
  <w:style w:type="paragraph" w:styleId="HTML1">
    <w:name w:val="HTML Preformatted"/>
    <w:basedOn w:val="a0"/>
    <w:link w:val="HTML1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eastAsiaTheme="minorEastAsia"/>
      <w:kern w:val="2"/>
    </w:rPr>
  </w:style>
  <w:style w:type="paragraph" w:styleId="afff8">
    <w:name w:val="Normal (Web)"/>
    <w:basedOn w:val="a0"/>
    <w:link w:val="afff9"/>
    <w:uiPriority w:val="99"/>
    <w:qFormat/>
    <w:pPr>
      <w:spacing w:before="100" w:beforeAutospacing="1" w:after="100" w:afterAutospacing="1"/>
    </w:pPr>
    <w:rPr>
      <w:rFonts w:eastAsia="等线" w:cs="Times New Roman"/>
    </w:rPr>
  </w:style>
  <w:style w:type="paragraph" w:styleId="39">
    <w:name w:val="List Continue 3"/>
    <w:basedOn w:val="a0"/>
    <w:qFormat/>
    <w:pPr>
      <w:widowControl w:val="0"/>
      <w:spacing w:after="120"/>
      <w:ind w:left="849"/>
      <w:jc w:val="both"/>
    </w:pPr>
    <w:rPr>
      <w:rFonts w:ascii="Times New Roman" w:hAnsi="Times New Roman" w:cs="Times New Roman"/>
      <w:kern w:val="2"/>
      <w:sz w:val="21"/>
    </w:rPr>
  </w:style>
  <w:style w:type="paragraph" w:styleId="29">
    <w:name w:val="index 2"/>
    <w:basedOn w:val="a0"/>
    <w:next w:val="a0"/>
    <w:qFormat/>
    <w:pPr>
      <w:widowControl w:val="0"/>
      <w:ind w:left="400" w:hanging="200"/>
      <w:jc w:val="both"/>
    </w:pPr>
    <w:rPr>
      <w:rFonts w:ascii="Times New Roman" w:hAnsi="Times New Roman" w:cs="Times New Roman"/>
      <w:kern w:val="2"/>
      <w:sz w:val="21"/>
    </w:rPr>
  </w:style>
  <w:style w:type="paragraph" w:styleId="afffa">
    <w:name w:val="Title"/>
    <w:basedOn w:val="af4"/>
    <w:link w:val="afffb"/>
    <w:qFormat/>
    <w:pPr>
      <w:spacing w:before="240" w:after="60"/>
      <w:jc w:val="center"/>
      <w:outlineLvl w:val="0"/>
    </w:pPr>
    <w:rPr>
      <w:rFonts w:ascii="Arial" w:eastAsia="宋体" w:hAnsi="Arial" w:cs="Arial"/>
      <w:b/>
      <w:bCs/>
      <w:sz w:val="32"/>
      <w:szCs w:val="32"/>
      <w:lang w:val="en-US"/>
    </w:rPr>
  </w:style>
  <w:style w:type="paragraph" w:styleId="afffc">
    <w:name w:val="annotation subject"/>
    <w:basedOn w:val="af7"/>
    <w:next w:val="af7"/>
    <w:link w:val="afffd"/>
    <w:qFormat/>
    <w:rPr>
      <w:b/>
      <w:bCs/>
    </w:rPr>
  </w:style>
  <w:style w:type="paragraph" w:styleId="afffe">
    <w:name w:val="Body Text First Indent"/>
    <w:basedOn w:val="ac"/>
    <w:link w:val="57"/>
    <w:uiPriority w:val="99"/>
    <w:unhideWhenUsed/>
    <w:qFormat/>
    <w:pPr>
      <w:ind w:firstLineChars="100" w:firstLine="420"/>
    </w:pPr>
    <w:rPr>
      <w:rFonts w:ascii="Calibri" w:hAnsi="Calibri"/>
      <w:szCs w:val="22"/>
      <w:lang w:val="en-US"/>
    </w:rPr>
  </w:style>
  <w:style w:type="paragraph" w:styleId="2a">
    <w:name w:val="Body Text First Indent 2"/>
    <w:basedOn w:val="afd"/>
    <w:link w:val="2b"/>
    <w:uiPriority w:val="99"/>
    <w:qFormat/>
    <w:pPr>
      <w:ind w:leftChars="0" w:left="283" w:firstLine="210"/>
    </w:pPr>
    <w:rPr>
      <w:rFonts w:eastAsia="宋体"/>
      <w:lang w:val="en-US"/>
    </w:rPr>
  </w:style>
  <w:style w:type="table" w:styleId="affff">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0">
    <w:name w:val="Table Theme"/>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3"/>
    <w:semiHidden/>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c">
    <w:name w:val="Table Colorful 2"/>
    <w:basedOn w:val="a3"/>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a">
    <w:name w:val="Table Colorful 3"/>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1">
    <w:name w:val="Table Elegant"/>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b">
    <w:name w:val="Table Classic 3"/>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e">
    <w:name w:val="Table Simple 2"/>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c">
    <w:name w:val="Table Simple 3"/>
    <w:basedOn w:val="a3"/>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semiHidden/>
    <w:qFormat/>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Subtle 2"/>
    <w:basedOn w:val="a3"/>
    <w:semiHidden/>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uiPriority w:val="99"/>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0">
    <w:name w:val="Table 3D effects 2"/>
    <w:basedOn w:val="a3"/>
    <w:uiPriority w:val="99"/>
    <w:qFormat/>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d">
    <w:name w:val="Table 3D effects 3"/>
    <w:basedOn w:val="a3"/>
    <w:uiPriority w:val="99"/>
    <w:semiHidden/>
    <w:qFormat/>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1">
    <w:name w:val="Table List 2"/>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e">
    <w:name w:val="Table List 3"/>
    <w:basedOn w:val="a3"/>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8">
    <w:name w:val="Table List 5"/>
    <w:basedOn w:val="a3"/>
    <w:semiHidden/>
    <w:qFormat/>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semiHidden/>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2">
    <w:name w:val="Table Contemporary"/>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2">
    <w:name w:val="Table Columns 2"/>
    <w:basedOn w:val="a3"/>
    <w:semiHidden/>
    <w:qFormat/>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
    <w:name w:val="Table Columns 3"/>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semiHidden/>
    <w:qFormat/>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3">
    <w:name w:val="Table Grid 2"/>
    <w:basedOn w:val="a3"/>
    <w:semiHidden/>
    <w:qFormat/>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0">
    <w:name w:val="Table Grid 3"/>
    <w:basedOn w:val="a3"/>
    <w:semiHidden/>
    <w:qFormat/>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a">
    <w:name w:val="Table Grid 5"/>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4">
    <w:name w:val="Table Web 2"/>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1">
    <w:name w:val="Table Web 3"/>
    <w:basedOn w:val="a3"/>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3">
    <w:name w:val="Table Professional"/>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3">
    <w:name w:val="Light List Accent 3"/>
    <w:basedOn w:val="a3"/>
    <w:uiPriority w:val="61"/>
    <w:qFormat/>
    <w:rPr>
      <w:rFonts w:ascii="Calibri" w:hAnsi="Calibri"/>
      <w:sz w:val="22"/>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
    <w:name w:val="Light Grid Accent 4"/>
    <w:basedOn w:val="a3"/>
    <w:uiPriority w:val="67"/>
    <w:qFormat/>
    <w:rPr>
      <w:rFonts w:ascii="Calibri" w:hAnsi="Calibri"/>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1-2">
    <w:name w:val="Medium Shading 1 Accent 2"/>
    <w:basedOn w:val="a3"/>
    <w:uiPriority w:val="63"/>
    <w:qFormat/>
    <w:rPr>
      <w:rFonts w:ascii="Calibri" w:hAnsi="Calibri"/>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2-5">
    <w:name w:val="Medium Shading 2 Accent 5"/>
    <w:basedOn w:val="a3"/>
    <w:uiPriority w:val="64"/>
    <w:qFormat/>
    <w:rPr>
      <w:rFonts w:ascii="Calibri" w:hAnsi="Calibri"/>
      <w:sz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3">
    <w:name w:val="Medium Grid 1 Accent 3"/>
    <w:basedOn w:val="a3"/>
    <w:uiPriority w:val="67"/>
    <w:qFormat/>
    <w:rPr>
      <w:rFonts w:ascii="Calibri" w:hAnsi="Calibri"/>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2-1">
    <w:name w:val="Medium Grid 2 Accent 1"/>
    <w:basedOn w:val="a3"/>
    <w:uiPriority w:val="68"/>
    <w:qFormat/>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styleId="-30">
    <w:name w:val="Dark List Accent 3"/>
    <w:basedOn w:val="a3"/>
    <w:uiPriority w:val="61"/>
    <w:qFormat/>
    <w:rPr>
      <w:rFonts w:ascii="Calibri" w:hAnsi="Calibri"/>
      <w:sz w:val="22"/>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
    <w:name w:val="Colorful List Accent 2"/>
    <w:basedOn w:val="a3"/>
    <w:uiPriority w:val="72"/>
    <w:qFormat/>
    <w:rPr>
      <w:rFonts w:ascii="Calibri" w:hAnsi="Calibri"/>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5">
    <w:name w:val="Colorful Grid Accent 5"/>
    <w:basedOn w:val="a3"/>
    <w:uiPriority w:val="64"/>
    <w:qFormat/>
    <w:rPr>
      <w:rFonts w:ascii="Calibri" w:hAnsi="Calibri"/>
      <w:sz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fff4">
    <w:name w:val="Strong"/>
    <w:uiPriority w:val="22"/>
    <w:qFormat/>
    <w:rPr>
      <w:b/>
      <w:bCs/>
    </w:rPr>
  </w:style>
  <w:style w:type="character" w:styleId="affff5">
    <w:name w:val="endnote reference"/>
    <w:uiPriority w:val="99"/>
    <w:unhideWhenUsed/>
    <w:qFormat/>
    <w:rPr>
      <w:vertAlign w:val="superscript"/>
    </w:rPr>
  </w:style>
  <w:style w:type="character" w:styleId="affff6">
    <w:name w:val="page number"/>
    <w:qFormat/>
  </w:style>
  <w:style w:type="character" w:styleId="affff7">
    <w:name w:val="FollowedHyperlink"/>
    <w:uiPriority w:val="99"/>
    <w:qFormat/>
    <w:rPr>
      <w:color w:val="800080"/>
      <w:u w:val="single"/>
    </w:rPr>
  </w:style>
  <w:style w:type="character" w:styleId="affff8">
    <w:name w:val="Emphasis"/>
    <w:uiPriority w:val="20"/>
    <w:qFormat/>
    <w:rPr>
      <w:i/>
      <w:iCs/>
    </w:rPr>
  </w:style>
  <w:style w:type="character" w:styleId="affff9">
    <w:name w:val="line number"/>
    <w:qFormat/>
  </w:style>
  <w:style w:type="character" w:styleId="HTML2">
    <w:name w:val="HTML Definition"/>
    <w:qFormat/>
    <w:rPr>
      <w:i/>
      <w:iCs/>
    </w:rPr>
  </w:style>
  <w:style w:type="character" w:styleId="HTML3">
    <w:name w:val="HTML Typewriter"/>
    <w:qFormat/>
    <w:rPr>
      <w:rFonts w:ascii="Courier New" w:hAnsi="Courier New" w:cs="Courier New"/>
      <w:sz w:val="20"/>
      <w:szCs w:val="20"/>
    </w:rPr>
  </w:style>
  <w:style w:type="character" w:styleId="HTML4">
    <w:name w:val="HTML Acronym"/>
    <w:qFormat/>
  </w:style>
  <w:style w:type="character" w:styleId="HTML5">
    <w:name w:val="HTML Variable"/>
    <w:qFormat/>
    <w:rPr>
      <w:i/>
      <w:iCs/>
    </w:rPr>
  </w:style>
  <w:style w:type="character" w:styleId="affffa">
    <w:name w:val="Hyperlink"/>
    <w:uiPriority w:val="99"/>
    <w:qFormat/>
    <w:rPr>
      <w:color w:val="0000FF"/>
      <w:u w:val="single"/>
    </w:rPr>
  </w:style>
  <w:style w:type="character" w:styleId="HTML6">
    <w:name w:val="HTML Code"/>
    <w:qFormat/>
    <w:rPr>
      <w:rFonts w:ascii="Courier New" w:hAnsi="Courier New" w:cs="Courier New"/>
      <w:sz w:val="20"/>
      <w:szCs w:val="20"/>
    </w:rPr>
  </w:style>
  <w:style w:type="character" w:styleId="affffb">
    <w:name w:val="annotation reference"/>
    <w:qFormat/>
    <w:rPr>
      <w:sz w:val="21"/>
      <w:szCs w:val="21"/>
    </w:rPr>
  </w:style>
  <w:style w:type="character" w:styleId="HTML7">
    <w:name w:val="HTML Cite"/>
    <w:qFormat/>
    <w:rPr>
      <w:i/>
      <w:iCs/>
    </w:rPr>
  </w:style>
  <w:style w:type="character" w:styleId="affffc">
    <w:name w:val="footnote reference"/>
    <w:qFormat/>
    <w:rPr>
      <w:vertAlign w:val="superscript"/>
    </w:rPr>
  </w:style>
  <w:style w:type="character" w:styleId="HTML8">
    <w:name w:val="HTML Keyboard"/>
    <w:qFormat/>
    <w:rPr>
      <w:rFonts w:ascii="Courier New" w:hAnsi="Courier New" w:cs="Courier New"/>
      <w:sz w:val="20"/>
      <w:szCs w:val="20"/>
    </w:rPr>
  </w:style>
  <w:style w:type="character" w:styleId="HTML9">
    <w:name w:val="HTML Sample"/>
    <w:qFormat/>
    <w:rPr>
      <w:rFonts w:ascii="Courier New" w:hAnsi="Courier New" w:cs="Courier New"/>
    </w:rPr>
  </w:style>
  <w:style w:type="character" w:customStyle="1" w:styleId="42">
    <w:name w:val="标题 4 字符"/>
    <w:basedOn w:val="a2"/>
    <w:link w:val="41"/>
    <w:uiPriority w:val="9"/>
    <w:qFormat/>
    <w:rPr>
      <w:rFonts w:ascii="等线 Light" w:eastAsia="等线 Light" w:hAnsi="等线 Light" w:cs="Times New Roman"/>
      <w:b/>
      <w:bCs/>
      <w:sz w:val="28"/>
      <w:szCs w:val="28"/>
    </w:rPr>
  </w:style>
  <w:style w:type="paragraph" w:customStyle="1" w:styleId="affffd">
    <w:name w:val="文件正文"/>
    <w:link w:val="Char"/>
    <w:qFormat/>
    <w:pPr>
      <w:spacing w:beforeLines="50" w:line="360" w:lineRule="auto"/>
      <w:ind w:firstLineChars="200" w:firstLine="200"/>
      <w:jc w:val="both"/>
    </w:pPr>
    <w:rPr>
      <w:color w:val="000000"/>
      <w:sz w:val="24"/>
      <w:szCs w:val="21"/>
    </w:rPr>
  </w:style>
  <w:style w:type="character" w:customStyle="1" w:styleId="Char">
    <w:name w:val="文件正文 Char"/>
    <w:link w:val="affffd"/>
    <w:qFormat/>
    <w:rPr>
      <w:rFonts w:ascii="Times New Roman" w:eastAsia="宋体" w:hAnsi="Times New Roman" w:cs="Times New Roman"/>
      <w:color w:val="000000"/>
      <w:kern w:val="0"/>
      <w:sz w:val="24"/>
      <w:szCs w:val="21"/>
    </w:rPr>
  </w:style>
  <w:style w:type="paragraph" w:styleId="affffe">
    <w:name w:val="List Paragraph"/>
    <w:basedOn w:val="a0"/>
    <w:link w:val="4a"/>
    <w:qFormat/>
    <w:pPr>
      <w:widowControl w:val="0"/>
      <w:ind w:firstLineChars="200" w:firstLine="420"/>
      <w:jc w:val="both"/>
    </w:pPr>
    <w:rPr>
      <w:rFonts w:asciiTheme="minorHAnsi" w:eastAsiaTheme="minorEastAsia" w:hAnsiTheme="minorHAnsi" w:cstheme="minorBidi"/>
      <w:kern w:val="2"/>
      <w:sz w:val="21"/>
      <w:szCs w:val="22"/>
    </w:rPr>
  </w:style>
  <w:style w:type="paragraph" w:customStyle="1" w:styleId="afffff">
    <w:name w:val="二级标题"/>
    <w:next w:val="affffd"/>
    <w:link w:val="Char0"/>
    <w:uiPriority w:val="1"/>
    <w:qFormat/>
    <w:pPr>
      <w:spacing w:beforeLines="50" w:before="156" w:line="360" w:lineRule="auto"/>
      <w:ind w:firstLineChars="200" w:firstLine="562"/>
      <w:jc w:val="both"/>
      <w:outlineLvl w:val="0"/>
    </w:pPr>
    <w:rPr>
      <w:rFonts w:eastAsia="黑体"/>
      <w:b/>
      <w:color w:val="000000"/>
      <w:sz w:val="28"/>
      <w:szCs w:val="28"/>
    </w:rPr>
  </w:style>
  <w:style w:type="character" w:customStyle="1" w:styleId="Char0">
    <w:name w:val="二级标题 Char"/>
    <w:link w:val="afffff"/>
    <w:uiPriority w:val="1"/>
    <w:qFormat/>
    <w:rPr>
      <w:rFonts w:ascii="Times New Roman" w:eastAsia="黑体" w:hAnsi="Times New Roman" w:cs="Times New Roman"/>
      <w:b/>
      <w:color w:val="000000"/>
      <w:kern w:val="0"/>
      <w:sz w:val="28"/>
      <w:szCs w:val="28"/>
    </w:rPr>
  </w:style>
  <w:style w:type="character" w:customStyle="1" w:styleId="affc">
    <w:name w:val="页眉 字符"/>
    <w:basedOn w:val="a2"/>
    <w:link w:val="affb"/>
    <w:uiPriority w:val="99"/>
    <w:qFormat/>
    <w:rPr>
      <w:sz w:val="18"/>
      <w:szCs w:val="18"/>
    </w:rPr>
  </w:style>
  <w:style w:type="character" w:customStyle="1" w:styleId="aff9">
    <w:name w:val="页脚 字符"/>
    <w:basedOn w:val="a2"/>
    <w:link w:val="aff8"/>
    <w:uiPriority w:val="99"/>
    <w:qFormat/>
    <w:rPr>
      <w:sz w:val="18"/>
      <w:szCs w:val="18"/>
    </w:rPr>
  </w:style>
  <w:style w:type="table" w:customStyle="1" w:styleId="1b">
    <w:name w:val="网格型1"/>
    <w:basedOn w:val="a3"/>
    <w:uiPriority w:val="39"/>
    <w:qFormat/>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2"/>
    <w:link w:val="1"/>
    <w:uiPriority w:val="9"/>
    <w:qFormat/>
    <w:rPr>
      <w:rFonts w:ascii="等线" w:eastAsia="等线" w:hAnsi="等线" w:cs="Times New Roman"/>
      <w:b/>
      <w:bCs/>
      <w:kern w:val="44"/>
      <w:sz w:val="44"/>
      <w:szCs w:val="44"/>
    </w:rPr>
  </w:style>
  <w:style w:type="character" w:customStyle="1" w:styleId="21">
    <w:name w:val="标题 2 字符"/>
    <w:basedOn w:val="a2"/>
    <w:link w:val="20"/>
    <w:uiPriority w:val="9"/>
    <w:qFormat/>
    <w:rPr>
      <w:rFonts w:ascii="等线 Light" w:eastAsia="等线 Light" w:hAnsi="等线 Light" w:cs="Times New Roman"/>
      <w:b/>
      <w:bCs/>
      <w:sz w:val="32"/>
      <w:szCs w:val="32"/>
    </w:rPr>
  </w:style>
  <w:style w:type="character" w:customStyle="1" w:styleId="32">
    <w:name w:val="标题 3 字符"/>
    <w:basedOn w:val="a2"/>
    <w:link w:val="31"/>
    <w:uiPriority w:val="9"/>
    <w:qFormat/>
    <w:rPr>
      <w:rFonts w:ascii="等线" w:eastAsia="等线" w:hAnsi="等线" w:cs="Times New Roman"/>
      <w:b/>
      <w:bCs/>
      <w:sz w:val="32"/>
      <w:szCs w:val="32"/>
    </w:rPr>
  </w:style>
  <w:style w:type="character" w:customStyle="1" w:styleId="52">
    <w:name w:val="标题 5 字符"/>
    <w:basedOn w:val="a2"/>
    <w:link w:val="51"/>
    <w:uiPriority w:val="9"/>
    <w:qFormat/>
    <w:rPr>
      <w:rFonts w:ascii="等线" w:eastAsia="等线" w:hAnsi="等线" w:cs="Times New Roman"/>
      <w:b/>
      <w:bCs/>
      <w:sz w:val="28"/>
      <w:szCs w:val="28"/>
    </w:rPr>
  </w:style>
  <w:style w:type="character" w:customStyle="1" w:styleId="60">
    <w:name w:val="标题 6 字符"/>
    <w:basedOn w:val="a2"/>
    <w:link w:val="6"/>
    <w:uiPriority w:val="9"/>
    <w:qFormat/>
    <w:rPr>
      <w:rFonts w:ascii="等线 Light" w:eastAsia="等线 Light" w:hAnsi="等线 Light" w:cs="Times New Roman"/>
      <w:b/>
      <w:bCs/>
      <w:sz w:val="24"/>
      <w:szCs w:val="24"/>
    </w:rPr>
  </w:style>
  <w:style w:type="character" w:customStyle="1" w:styleId="70">
    <w:name w:val="标题 7 字符"/>
    <w:basedOn w:val="a2"/>
    <w:link w:val="7"/>
    <w:uiPriority w:val="9"/>
    <w:qFormat/>
    <w:rPr>
      <w:rFonts w:ascii="等线" w:eastAsia="等线" w:hAnsi="等线" w:cs="Times New Roman"/>
      <w:b/>
      <w:bCs/>
      <w:sz w:val="24"/>
      <w:szCs w:val="24"/>
    </w:rPr>
  </w:style>
  <w:style w:type="character" w:customStyle="1" w:styleId="80">
    <w:name w:val="标题 8 字符"/>
    <w:basedOn w:val="a2"/>
    <w:link w:val="8"/>
    <w:uiPriority w:val="9"/>
    <w:qFormat/>
    <w:rPr>
      <w:rFonts w:ascii="等线 Light" w:eastAsia="等线 Light" w:hAnsi="等线 Light" w:cs="Times New Roman"/>
      <w:sz w:val="24"/>
      <w:szCs w:val="24"/>
    </w:rPr>
  </w:style>
  <w:style w:type="character" w:customStyle="1" w:styleId="90">
    <w:name w:val="标题 9 字符"/>
    <w:basedOn w:val="a2"/>
    <w:link w:val="9"/>
    <w:uiPriority w:val="9"/>
    <w:qFormat/>
    <w:rPr>
      <w:rFonts w:ascii="等线 Light" w:eastAsia="等线 Light" w:hAnsi="等线 Light" w:cs="Times New Roman"/>
      <w:szCs w:val="21"/>
    </w:rPr>
  </w:style>
  <w:style w:type="paragraph" w:customStyle="1" w:styleId="afffff0">
    <w:name w:val="一级标题"/>
    <w:next w:val="affffd"/>
    <w:link w:val="1Char2"/>
    <w:qFormat/>
    <w:pPr>
      <w:widowControl w:val="0"/>
      <w:tabs>
        <w:tab w:val="center" w:pos="4153"/>
        <w:tab w:val="left" w:pos="6390"/>
      </w:tabs>
      <w:spacing w:beforeLines="50" w:before="156" w:afterLines="100" w:after="312"/>
      <w:jc w:val="center"/>
      <w:outlineLvl w:val="0"/>
    </w:pPr>
    <w:rPr>
      <w:rFonts w:ascii="黑体" w:eastAsia="黑体" w:hAnsi="黑体" w:cs="Arial"/>
      <w:b/>
      <w:bCs/>
      <w:kern w:val="2"/>
      <w:sz w:val="32"/>
      <w:szCs w:val="24"/>
    </w:rPr>
  </w:style>
  <w:style w:type="character" w:customStyle="1" w:styleId="1Char2">
    <w:name w:val="标题 1 Char2"/>
    <w:link w:val="afffff0"/>
    <w:qFormat/>
    <w:rPr>
      <w:rFonts w:ascii="黑体" w:eastAsia="黑体" w:hAnsi="黑体" w:cs="Arial"/>
      <w:b/>
      <w:bCs/>
      <w:sz w:val="32"/>
      <w:szCs w:val="24"/>
    </w:rPr>
  </w:style>
  <w:style w:type="paragraph" w:customStyle="1" w:styleId="afffff1">
    <w:name w:val="三级标题"/>
    <w:next w:val="affffd"/>
    <w:link w:val="Char1"/>
    <w:uiPriority w:val="2"/>
    <w:qFormat/>
    <w:pPr>
      <w:spacing w:beforeLines="50" w:before="156" w:after="120" w:line="360" w:lineRule="auto"/>
      <w:ind w:firstLineChars="200" w:firstLine="480"/>
      <w:jc w:val="both"/>
    </w:pPr>
    <w:rPr>
      <w:bCs/>
      <w:color w:val="000000"/>
      <w:kern w:val="2"/>
      <w:sz w:val="24"/>
      <w:szCs w:val="22"/>
      <w:lang w:val="en-GB"/>
    </w:rPr>
  </w:style>
  <w:style w:type="character" w:customStyle="1" w:styleId="Char1">
    <w:name w:val="三级标题 Char"/>
    <w:link w:val="afffff1"/>
    <w:uiPriority w:val="2"/>
    <w:qFormat/>
    <w:rPr>
      <w:rFonts w:ascii="Times New Roman" w:eastAsia="宋体" w:hAnsi="Times New Roman" w:cs="Times New Roman"/>
      <w:bCs/>
      <w:color w:val="000000"/>
      <w:sz w:val="24"/>
      <w:lang w:val="en-GB"/>
    </w:rPr>
  </w:style>
  <w:style w:type="paragraph" w:customStyle="1" w:styleId="afffff2">
    <w:name w:val="四级标题"/>
    <w:next w:val="affffd"/>
    <w:link w:val="Char2"/>
    <w:uiPriority w:val="4"/>
    <w:qFormat/>
    <w:pPr>
      <w:widowControl w:val="0"/>
      <w:spacing w:afterLines="50" w:after="156" w:line="360" w:lineRule="auto"/>
      <w:ind w:firstLineChars="200" w:firstLine="420"/>
    </w:pPr>
    <w:rPr>
      <w:bCs/>
      <w:color w:val="000000"/>
      <w:kern w:val="2"/>
      <w:sz w:val="21"/>
      <w:szCs w:val="21"/>
      <w:lang w:val="en-GB"/>
    </w:rPr>
  </w:style>
  <w:style w:type="character" w:customStyle="1" w:styleId="Char2">
    <w:name w:val="四级标题 Char"/>
    <w:link w:val="afffff2"/>
    <w:uiPriority w:val="4"/>
    <w:qFormat/>
    <w:rPr>
      <w:rFonts w:ascii="Times New Roman" w:eastAsia="宋体" w:hAnsi="Times New Roman" w:cs="Times New Roman"/>
      <w:bCs/>
      <w:color w:val="000000"/>
      <w:szCs w:val="21"/>
      <w:lang w:val="en-GB"/>
    </w:rPr>
  </w:style>
  <w:style w:type="paragraph" w:customStyle="1" w:styleId="afffff3">
    <w:name w:val="文件更新"/>
    <w:next w:val="affffd"/>
    <w:link w:val="Char3"/>
    <w:uiPriority w:val="5"/>
    <w:qFormat/>
    <w:pPr>
      <w:spacing w:beforeLines="50" w:before="50" w:line="360" w:lineRule="auto"/>
      <w:ind w:firstLineChars="200" w:firstLine="200"/>
    </w:pPr>
    <w:rPr>
      <w:rFonts w:ascii="楷体" w:eastAsia="楷体" w:hAnsi="楷体"/>
      <w:b/>
      <w:color w:val="000000"/>
      <w:kern w:val="2"/>
      <w:sz w:val="24"/>
      <w:szCs w:val="22"/>
    </w:rPr>
  </w:style>
  <w:style w:type="character" w:customStyle="1" w:styleId="Char3">
    <w:name w:val="文件更新 Char"/>
    <w:link w:val="afffff3"/>
    <w:uiPriority w:val="5"/>
    <w:qFormat/>
    <w:rPr>
      <w:rFonts w:ascii="楷体" w:eastAsia="楷体" w:hAnsi="楷体" w:cs="Times New Roman"/>
      <w:b/>
      <w:color w:val="000000"/>
      <w:sz w:val="24"/>
    </w:rPr>
  </w:style>
  <w:style w:type="paragraph" w:customStyle="1" w:styleId="afffff4">
    <w:name w:val="文件小注"/>
    <w:next w:val="affffd"/>
    <w:link w:val="Char4"/>
    <w:uiPriority w:val="7"/>
    <w:qFormat/>
    <w:pPr>
      <w:ind w:firstLineChars="200" w:firstLine="200"/>
    </w:pPr>
    <w:rPr>
      <w:kern w:val="2"/>
      <w:sz w:val="21"/>
      <w:szCs w:val="22"/>
    </w:rPr>
  </w:style>
  <w:style w:type="character" w:customStyle="1" w:styleId="Char4">
    <w:name w:val="文件小注 Char"/>
    <w:link w:val="afffff4"/>
    <w:uiPriority w:val="7"/>
    <w:qFormat/>
    <w:rPr>
      <w:rFonts w:ascii="Times New Roman" w:eastAsia="宋体" w:hAnsi="Times New Roman" w:cs="Times New Roman"/>
    </w:rPr>
  </w:style>
  <w:style w:type="paragraph" w:customStyle="1" w:styleId="afffff5">
    <w:name w:val="文件单位"/>
    <w:next w:val="affffd"/>
    <w:link w:val="Char5"/>
    <w:uiPriority w:val="6"/>
    <w:qFormat/>
    <w:pPr>
      <w:spacing w:beforeLines="50" w:before="50"/>
      <w:jc w:val="right"/>
    </w:pPr>
    <w:rPr>
      <w:kern w:val="2"/>
      <w:sz w:val="21"/>
      <w:szCs w:val="22"/>
    </w:rPr>
  </w:style>
  <w:style w:type="character" w:customStyle="1" w:styleId="Char5">
    <w:name w:val="文件单位 Char"/>
    <w:link w:val="afffff5"/>
    <w:uiPriority w:val="6"/>
    <w:qFormat/>
    <w:rPr>
      <w:rFonts w:ascii="Times New Roman" w:eastAsia="宋体" w:hAnsi="Times New Roman" w:cs="Times New Roman"/>
    </w:rPr>
  </w:style>
  <w:style w:type="character" w:customStyle="1" w:styleId="aff4">
    <w:name w:val="日期 字符"/>
    <w:basedOn w:val="a2"/>
    <w:link w:val="aff3"/>
    <w:qFormat/>
    <w:rPr>
      <w:rFonts w:ascii="等线" w:eastAsia="等线" w:hAnsi="等线" w:cs="Times New Roman"/>
      <w:szCs w:val="21"/>
    </w:rPr>
  </w:style>
  <w:style w:type="paragraph" w:customStyle="1" w:styleId="TableParagraph">
    <w:name w:val="Table Paragraph"/>
    <w:basedOn w:val="a0"/>
    <w:uiPriority w:val="1"/>
    <w:qFormat/>
    <w:pPr>
      <w:widowControl w:val="0"/>
    </w:pPr>
    <w:rPr>
      <w:rFonts w:ascii="等线" w:eastAsia="等线" w:hAnsi="等线" w:cs="Times New Roman"/>
      <w:sz w:val="22"/>
      <w:szCs w:val="22"/>
      <w:lang w:eastAsia="en-US"/>
    </w:rPr>
  </w:style>
  <w:style w:type="paragraph" w:customStyle="1" w:styleId="afffff6">
    <w:name w:val="二级大标题"/>
    <w:basedOn w:val="a0"/>
    <w:link w:val="Char6"/>
    <w:qFormat/>
    <w:pPr>
      <w:keepNext/>
      <w:widowControl w:val="0"/>
      <w:spacing w:before="260" w:after="260" w:line="360" w:lineRule="auto"/>
      <w:outlineLvl w:val="1"/>
    </w:pPr>
    <w:rPr>
      <w:rFonts w:ascii="Times New Roman" w:eastAsia="等线" w:hAnsi="Times New Roman" w:cs="Times New Roman"/>
      <w:b/>
      <w:kern w:val="2"/>
      <w:sz w:val="28"/>
      <w:szCs w:val="32"/>
      <w:lang w:val="en-GB"/>
    </w:rPr>
  </w:style>
  <w:style w:type="character" w:customStyle="1" w:styleId="Char6">
    <w:name w:val="二级大标题 Char"/>
    <w:link w:val="afffff6"/>
    <w:qFormat/>
    <w:rPr>
      <w:rFonts w:ascii="Times New Roman" w:eastAsia="等线" w:hAnsi="Times New Roman" w:cs="Times New Roman"/>
      <w:b/>
      <w:sz w:val="28"/>
      <w:szCs w:val="32"/>
      <w:lang w:val="en-GB" w:eastAsia="zh-CN"/>
    </w:rPr>
  </w:style>
  <w:style w:type="paragraph" w:customStyle="1" w:styleId="afffff7">
    <w:name w:val="一级大标题"/>
    <w:basedOn w:val="1"/>
    <w:link w:val="Char7"/>
    <w:qFormat/>
    <w:pPr>
      <w:spacing w:before="300" w:after="300" w:line="360" w:lineRule="auto"/>
      <w:jc w:val="center"/>
    </w:pPr>
    <w:rPr>
      <w:rFonts w:ascii="Arial" w:hAnsi="Arial"/>
      <w:kern w:val="2"/>
      <w:sz w:val="36"/>
      <w:szCs w:val="36"/>
      <w:lang w:val="zh-CN"/>
    </w:rPr>
  </w:style>
  <w:style w:type="character" w:customStyle="1" w:styleId="Char7">
    <w:name w:val="一级大标题 Char"/>
    <w:link w:val="afffff7"/>
    <w:qFormat/>
    <w:rPr>
      <w:rFonts w:ascii="Arial" w:eastAsia="等线" w:hAnsi="Arial" w:cs="Times New Roman"/>
      <w:b/>
      <w:bCs/>
      <w:sz w:val="36"/>
      <w:szCs w:val="36"/>
      <w:lang w:val="zh-CN" w:eastAsia="zh-CN"/>
    </w:rPr>
  </w:style>
  <w:style w:type="character" w:customStyle="1" w:styleId="aff2">
    <w:name w:val="纯文本 字符"/>
    <w:basedOn w:val="a2"/>
    <w:link w:val="aff1"/>
    <w:qFormat/>
    <w:rPr>
      <w:rFonts w:ascii="宋体" w:eastAsia="等线" w:hAnsi="Courier New" w:cs="Times New Roman"/>
      <w:szCs w:val="21"/>
      <w:lang w:val="zh-CN" w:eastAsia="zh-CN"/>
    </w:rPr>
  </w:style>
  <w:style w:type="paragraph" w:customStyle="1" w:styleId="afffff8">
    <w:name w:val="三级大标题"/>
    <w:basedOn w:val="31"/>
    <w:link w:val="Char8"/>
    <w:qFormat/>
    <w:pPr>
      <w:spacing w:before="200" w:after="200" w:line="360" w:lineRule="auto"/>
    </w:pPr>
    <w:rPr>
      <w:rFonts w:ascii="黑体" w:hAnsi="宋体"/>
      <w:color w:val="000000"/>
      <w:sz w:val="24"/>
      <w:szCs w:val="30"/>
      <w:lang w:val="zh-CN"/>
    </w:rPr>
  </w:style>
  <w:style w:type="character" w:customStyle="1" w:styleId="Char8">
    <w:name w:val="三级大标题 Char"/>
    <w:link w:val="afffff8"/>
    <w:qFormat/>
    <w:rPr>
      <w:rFonts w:ascii="黑体" w:eastAsia="等线" w:hAnsi="宋体" w:cs="Times New Roman"/>
      <w:b/>
      <w:bCs/>
      <w:color w:val="000000"/>
      <w:sz w:val="24"/>
      <w:szCs w:val="30"/>
      <w:lang w:val="zh-CN" w:eastAsia="zh-CN"/>
    </w:rPr>
  </w:style>
  <w:style w:type="character" w:customStyle="1" w:styleId="aff7">
    <w:name w:val="批注框文本 字符"/>
    <w:basedOn w:val="a2"/>
    <w:link w:val="aff6"/>
    <w:uiPriority w:val="99"/>
    <w:qFormat/>
    <w:rPr>
      <w:rFonts w:ascii="Times New Roman" w:eastAsia="等线" w:hAnsi="Times New Roman" w:cs="Times New Roman"/>
      <w:sz w:val="18"/>
      <w:szCs w:val="18"/>
      <w:lang w:val="zh-CN" w:eastAsia="zh-CN"/>
    </w:rPr>
  </w:style>
  <w:style w:type="paragraph" w:customStyle="1" w:styleId="GS">
    <w:name w:val="GS.段落"/>
    <w:basedOn w:val="a0"/>
    <w:qFormat/>
    <w:pPr>
      <w:widowControl w:val="0"/>
      <w:spacing w:beforeLines="50" w:before="50" w:line="360" w:lineRule="auto"/>
      <w:ind w:firstLineChars="200" w:firstLine="200"/>
      <w:jc w:val="both"/>
    </w:pPr>
    <w:rPr>
      <w:rFonts w:eastAsia="等线" w:cs="Times New Roman"/>
      <w:kern w:val="2"/>
      <w:szCs w:val="21"/>
    </w:rPr>
  </w:style>
  <w:style w:type="character" w:customStyle="1" w:styleId="af8">
    <w:name w:val="批注文字 字符"/>
    <w:basedOn w:val="a2"/>
    <w:link w:val="af7"/>
    <w:uiPriority w:val="99"/>
    <w:qFormat/>
    <w:rPr>
      <w:rFonts w:ascii="Times New Roman" w:eastAsia="等线" w:hAnsi="Times New Roman" w:cs="Times New Roman"/>
      <w:szCs w:val="24"/>
      <w:lang w:val="zh-CN" w:eastAsia="zh-CN"/>
    </w:rPr>
  </w:style>
  <w:style w:type="paragraph" w:customStyle="1" w:styleId="1c">
    <w:name w:val="列出段落1"/>
    <w:basedOn w:val="a0"/>
    <w:qFormat/>
    <w:pPr>
      <w:widowControl w:val="0"/>
      <w:ind w:firstLineChars="200" w:firstLine="420"/>
      <w:jc w:val="both"/>
    </w:pPr>
    <w:rPr>
      <w:rFonts w:ascii="Times New Roman" w:eastAsia="等线" w:hAnsi="Times New Roman" w:cs="Times New Roman"/>
      <w:kern w:val="2"/>
      <w:sz w:val="21"/>
    </w:rPr>
  </w:style>
  <w:style w:type="character" w:customStyle="1" w:styleId="afont1">
    <w:name w:val="afont1"/>
    <w:qFormat/>
    <w:rPr>
      <w:rFonts w:ascii="Arial Narrow" w:hAnsi="Arial Narrow" w:hint="default"/>
      <w:sz w:val="22"/>
      <w:szCs w:val="22"/>
    </w:rPr>
  </w:style>
  <w:style w:type="paragraph" w:customStyle="1" w:styleId="2f5">
    <w:name w:val="正文首行缩进2字符"/>
    <w:basedOn w:val="a0"/>
    <w:link w:val="2Char1"/>
    <w:qFormat/>
    <w:pPr>
      <w:widowControl w:val="0"/>
      <w:adjustRightInd w:val="0"/>
      <w:spacing w:line="360" w:lineRule="auto"/>
      <w:ind w:firstLineChars="200" w:firstLine="200"/>
      <w:jc w:val="both"/>
    </w:pPr>
    <w:rPr>
      <w:rFonts w:ascii="Times New Roman" w:eastAsia="等线" w:hAnsi="Times New Roman" w:cs="Times New Roman"/>
      <w:kern w:val="2"/>
    </w:rPr>
  </w:style>
  <w:style w:type="character" w:customStyle="1" w:styleId="2Char1">
    <w:name w:val="正文首行缩进2字符 Char1"/>
    <w:link w:val="2f5"/>
    <w:qFormat/>
    <w:rPr>
      <w:rFonts w:ascii="Times New Roman" w:eastAsia="等线" w:hAnsi="Times New Roman" w:cs="Times New Roman"/>
      <w:sz w:val="24"/>
      <w:szCs w:val="24"/>
    </w:rPr>
  </w:style>
  <w:style w:type="table" w:customStyle="1" w:styleId="1d">
    <w:name w:val="定制网格型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CharCharCharCharCharCharChar">
    <w:name w:val="默认段落字体 Para Char Char Char Char Char Char Char"/>
    <w:basedOn w:val="a0"/>
    <w:qFormat/>
    <w:pPr>
      <w:widowControl w:val="0"/>
      <w:jc w:val="both"/>
    </w:pPr>
    <w:rPr>
      <w:rFonts w:ascii="Tahoma" w:eastAsia="等线" w:hAnsi="Tahoma" w:cs="Times New Roman"/>
      <w:kern w:val="2"/>
      <w:szCs w:val="20"/>
    </w:rPr>
  </w:style>
  <w:style w:type="paragraph" w:customStyle="1" w:styleId="Char1CharCharChar">
    <w:name w:val="Char1 Char Char Char"/>
    <w:basedOn w:val="a0"/>
    <w:qFormat/>
    <w:pPr>
      <w:widowControl w:val="0"/>
      <w:jc w:val="both"/>
    </w:pPr>
    <w:rPr>
      <w:rFonts w:ascii="Tahoma" w:eastAsia="等线" w:hAnsi="Tahoma" w:cs="Times New Roman"/>
      <w:kern w:val="2"/>
      <w:szCs w:val="20"/>
    </w:rPr>
  </w:style>
  <w:style w:type="character" w:customStyle="1" w:styleId="af5">
    <w:name w:val="文档结构图 字符"/>
    <w:basedOn w:val="a2"/>
    <w:link w:val="af4"/>
    <w:qFormat/>
    <w:rPr>
      <w:rFonts w:ascii="Times New Roman" w:eastAsia="等线" w:hAnsi="Times New Roman" w:cs="Times New Roman"/>
      <w:szCs w:val="24"/>
      <w:shd w:val="clear" w:color="auto" w:fill="000080"/>
      <w:lang w:val="zh-CN" w:eastAsia="zh-CN"/>
    </w:rPr>
  </w:style>
  <w:style w:type="paragraph" w:customStyle="1" w:styleId="CharCharCharChar">
    <w:name w:val="Char Char Char Char"/>
    <w:basedOn w:val="a0"/>
    <w:qFormat/>
    <w:pPr>
      <w:widowControl w:val="0"/>
      <w:jc w:val="both"/>
    </w:pPr>
    <w:rPr>
      <w:rFonts w:ascii="Tahoma" w:eastAsia="等线" w:hAnsi="Tahoma" w:cs="Times New Roman"/>
      <w:kern w:val="2"/>
      <w:szCs w:val="20"/>
    </w:rPr>
  </w:style>
  <w:style w:type="paragraph" w:customStyle="1" w:styleId="AODocTxt">
    <w:name w:val="AODocTxt"/>
    <w:basedOn w:val="a0"/>
    <w:qFormat/>
    <w:pPr>
      <w:numPr>
        <w:numId w:val="9"/>
      </w:numPr>
      <w:spacing w:before="240" w:line="260" w:lineRule="atLeast"/>
      <w:jc w:val="both"/>
    </w:pPr>
    <w:rPr>
      <w:rFonts w:ascii="Times New Roman" w:eastAsia="等线" w:hAnsi="Times New Roman" w:cs="Times New Roman"/>
      <w:sz w:val="22"/>
      <w:szCs w:val="20"/>
      <w:lang w:val="en-GB"/>
    </w:rPr>
  </w:style>
  <w:style w:type="paragraph" w:customStyle="1" w:styleId="AODocTxtL1CharChar">
    <w:name w:val="AODocTxtL1 Char Char"/>
    <w:basedOn w:val="AODocTxt"/>
    <w:qFormat/>
    <w:pPr>
      <w:numPr>
        <w:ilvl w:val="1"/>
      </w:numPr>
    </w:pPr>
  </w:style>
  <w:style w:type="paragraph" w:customStyle="1" w:styleId="AODocTxtL2">
    <w:name w:val="AODocTxtL2"/>
    <w:basedOn w:val="AODocTxt"/>
    <w:qFormat/>
    <w:pPr>
      <w:numPr>
        <w:ilvl w:val="2"/>
      </w:numPr>
    </w:pPr>
  </w:style>
  <w:style w:type="paragraph" w:customStyle="1" w:styleId="AODocTxtL3">
    <w:name w:val="AODocTxtL3"/>
    <w:basedOn w:val="AODocTxt"/>
    <w:qFormat/>
    <w:pPr>
      <w:numPr>
        <w:ilvl w:val="3"/>
      </w:numPr>
    </w:pPr>
  </w:style>
  <w:style w:type="paragraph" w:customStyle="1" w:styleId="AODocTxtL4">
    <w:name w:val="AODocTxtL4"/>
    <w:basedOn w:val="AODocTxt"/>
    <w:qFormat/>
    <w:pPr>
      <w:numPr>
        <w:ilvl w:val="4"/>
      </w:numPr>
    </w:pPr>
  </w:style>
  <w:style w:type="paragraph" w:customStyle="1" w:styleId="AODocTxtL5">
    <w:name w:val="AODocTxtL5"/>
    <w:basedOn w:val="AODocTxt"/>
    <w:qFormat/>
    <w:pPr>
      <w:numPr>
        <w:ilvl w:val="5"/>
      </w:numPr>
    </w:pPr>
  </w:style>
  <w:style w:type="paragraph" w:customStyle="1" w:styleId="AODocTxtL6">
    <w:name w:val="AODocTxtL6"/>
    <w:basedOn w:val="AODocTxt"/>
    <w:qFormat/>
    <w:pPr>
      <w:numPr>
        <w:ilvl w:val="6"/>
      </w:numPr>
    </w:pPr>
  </w:style>
  <w:style w:type="paragraph" w:customStyle="1" w:styleId="AODocTxtL7">
    <w:name w:val="AODocTxtL7"/>
    <w:basedOn w:val="AODocTxt"/>
    <w:qFormat/>
    <w:pPr>
      <w:numPr>
        <w:ilvl w:val="7"/>
      </w:numPr>
    </w:pPr>
  </w:style>
  <w:style w:type="paragraph" w:customStyle="1" w:styleId="AODocTxtL8">
    <w:name w:val="AODocTxtL8"/>
    <w:basedOn w:val="AODocTxt"/>
    <w:qFormat/>
    <w:pPr>
      <w:numPr>
        <w:ilvl w:val="8"/>
      </w:numPr>
    </w:pPr>
  </w:style>
  <w:style w:type="character" w:customStyle="1" w:styleId="afffd">
    <w:name w:val="批注主题 字符"/>
    <w:basedOn w:val="af8"/>
    <w:link w:val="afffc"/>
    <w:qFormat/>
    <w:rPr>
      <w:rFonts w:ascii="Times New Roman" w:eastAsia="等线" w:hAnsi="Times New Roman" w:cs="Times New Roman"/>
      <w:b/>
      <w:bCs/>
      <w:szCs w:val="24"/>
      <w:lang w:val="zh-CN" w:eastAsia="zh-CN"/>
    </w:rPr>
  </w:style>
  <w:style w:type="paragraph" w:customStyle="1" w:styleId="ParaCharCharCharChar">
    <w:name w:val="默认段落字体 Para Char Char Char Char"/>
    <w:basedOn w:val="a0"/>
    <w:qFormat/>
    <w:pPr>
      <w:widowControl w:val="0"/>
      <w:jc w:val="both"/>
    </w:pPr>
    <w:rPr>
      <w:rFonts w:ascii="Times New Roman" w:eastAsia="等线" w:hAnsi="Times New Roman" w:cs="Times New Roman"/>
      <w:kern w:val="2"/>
      <w:sz w:val="21"/>
    </w:rPr>
  </w:style>
  <w:style w:type="paragraph" w:customStyle="1" w:styleId="CharCharChar">
    <w:name w:val="Char Char Char"/>
    <w:basedOn w:val="a0"/>
    <w:qFormat/>
    <w:pPr>
      <w:widowControl w:val="0"/>
      <w:jc w:val="both"/>
    </w:pPr>
    <w:rPr>
      <w:rFonts w:ascii="Tahoma" w:eastAsia="等线" w:hAnsi="Tahoma" w:cs="Times New Roman"/>
      <w:kern w:val="2"/>
      <w:szCs w:val="20"/>
    </w:rPr>
  </w:style>
  <w:style w:type="paragraph" w:customStyle="1" w:styleId="Char9">
    <w:name w:val="Char"/>
    <w:basedOn w:val="a0"/>
    <w:qFormat/>
    <w:pPr>
      <w:widowControl w:val="0"/>
      <w:jc w:val="both"/>
    </w:pPr>
    <w:rPr>
      <w:rFonts w:ascii="Tahoma" w:eastAsia="等线" w:hAnsi="Tahoma" w:cs="Tahoma"/>
      <w:kern w:val="2"/>
    </w:rPr>
  </w:style>
  <w:style w:type="paragraph" w:customStyle="1" w:styleId="NoSpacing1">
    <w:name w:val="No Spacing1"/>
    <w:uiPriority w:val="1"/>
    <w:qFormat/>
    <w:pPr>
      <w:widowControl w:val="0"/>
    </w:pPr>
    <w:rPr>
      <w:rFonts w:ascii="等线" w:eastAsia="PMingLiU" w:hAnsi="等线"/>
      <w:kern w:val="2"/>
      <w:sz w:val="24"/>
      <w:szCs w:val="22"/>
      <w:lang w:eastAsia="zh-TW"/>
    </w:rPr>
  </w:style>
  <w:style w:type="paragraph" w:customStyle="1" w:styleId="ListParagraph1">
    <w:name w:val="List Paragraph1"/>
    <w:basedOn w:val="a0"/>
    <w:uiPriority w:val="34"/>
    <w:qFormat/>
    <w:pPr>
      <w:ind w:leftChars="200" w:left="480"/>
    </w:pPr>
    <w:rPr>
      <w:rFonts w:ascii="Times New Roman" w:eastAsia="等线" w:hAnsi="Times New Roman" w:cs="Times New Roman"/>
      <w:lang w:eastAsia="en-US"/>
    </w:rPr>
  </w:style>
  <w:style w:type="character" w:customStyle="1" w:styleId="ad">
    <w:name w:val="正文文本 字符"/>
    <w:basedOn w:val="a2"/>
    <w:link w:val="ac"/>
    <w:qFormat/>
    <w:rPr>
      <w:rFonts w:ascii="Times New Roman" w:eastAsia="等线" w:hAnsi="Times New Roman" w:cs="Times New Roman"/>
      <w:szCs w:val="24"/>
      <w:lang w:val="zh-CN" w:eastAsia="zh-CN"/>
    </w:rPr>
  </w:style>
  <w:style w:type="character" w:customStyle="1" w:styleId="afe">
    <w:name w:val="正文文本缩进 字符"/>
    <w:basedOn w:val="a2"/>
    <w:link w:val="afd"/>
    <w:qFormat/>
    <w:rPr>
      <w:rFonts w:ascii="Times New Roman" w:eastAsia="等线" w:hAnsi="Times New Roman" w:cs="Times New Roman"/>
      <w:szCs w:val="24"/>
      <w:lang w:val="zh-CN" w:eastAsia="zh-CN"/>
    </w:rPr>
  </w:style>
  <w:style w:type="paragraph" w:customStyle="1" w:styleId="2f6">
    <w:name w:val="列出段落2"/>
    <w:basedOn w:val="a0"/>
    <w:qFormat/>
    <w:pPr>
      <w:widowControl w:val="0"/>
      <w:ind w:firstLineChars="200" w:firstLine="420"/>
      <w:jc w:val="both"/>
    </w:pPr>
    <w:rPr>
      <w:rFonts w:ascii="Times New Roman" w:eastAsia="等线" w:hAnsi="Times New Roman" w:cs="Times New Roman"/>
      <w:kern w:val="2"/>
      <w:sz w:val="21"/>
    </w:rPr>
  </w:style>
  <w:style w:type="paragraph" w:customStyle="1" w:styleId="1e">
    <w:name w:val="无间隔1"/>
    <w:uiPriority w:val="1"/>
    <w:qFormat/>
    <w:pPr>
      <w:widowControl w:val="0"/>
    </w:pPr>
    <w:rPr>
      <w:rFonts w:ascii="等线" w:eastAsia="PMingLiU" w:hAnsi="等线"/>
      <w:kern w:val="2"/>
      <w:sz w:val="24"/>
      <w:szCs w:val="22"/>
      <w:lang w:eastAsia="zh-TW"/>
    </w:rPr>
  </w:style>
  <w:style w:type="paragraph" w:customStyle="1" w:styleId="TOC10">
    <w:name w:val="TOC 标题1"/>
    <w:basedOn w:val="1"/>
    <w:next w:val="a0"/>
    <w:uiPriority w:val="39"/>
    <w:qFormat/>
    <w:pPr>
      <w:widowControl/>
      <w:spacing w:before="480" w:after="0" w:line="276" w:lineRule="auto"/>
      <w:jc w:val="left"/>
      <w:outlineLvl w:val="9"/>
    </w:pPr>
    <w:rPr>
      <w:rFonts w:ascii="Cambria" w:hAnsi="Cambria"/>
      <w:color w:val="365F91"/>
      <w:kern w:val="0"/>
      <w:sz w:val="28"/>
      <w:szCs w:val="28"/>
      <w:lang w:val="zh-CN" w:eastAsia="en-US"/>
    </w:rPr>
  </w:style>
  <w:style w:type="character" w:customStyle="1" w:styleId="da">
    <w:name w:val="da"/>
    <w:qFormat/>
  </w:style>
  <w:style w:type="paragraph" w:customStyle="1" w:styleId="1f">
    <w:name w:val="修订1"/>
    <w:hidden/>
    <w:uiPriority w:val="99"/>
    <w:qFormat/>
    <w:rPr>
      <w:rFonts w:eastAsia="等线"/>
      <w:kern w:val="2"/>
      <w:sz w:val="21"/>
      <w:szCs w:val="24"/>
    </w:rPr>
  </w:style>
  <w:style w:type="character" w:customStyle="1" w:styleId="font101">
    <w:name w:val="font101"/>
    <w:qFormat/>
    <w:rPr>
      <w:color w:val="0036B0"/>
    </w:rPr>
  </w:style>
  <w:style w:type="paragraph" w:customStyle="1" w:styleId="ParaChar">
    <w:name w:val="默认段落字体 Para Char"/>
    <w:basedOn w:val="a0"/>
    <w:qFormat/>
    <w:pPr>
      <w:widowControl w:val="0"/>
      <w:adjustRightInd w:val="0"/>
      <w:spacing w:line="360" w:lineRule="auto"/>
      <w:jc w:val="both"/>
    </w:pPr>
    <w:rPr>
      <w:rFonts w:ascii="Times New Roman" w:eastAsia="等线" w:hAnsi="Times New Roman" w:cs="Times New Roman"/>
      <w:szCs w:val="20"/>
    </w:rPr>
  </w:style>
  <w:style w:type="character" w:customStyle="1" w:styleId="27">
    <w:name w:val="正文文本 2 字符"/>
    <w:basedOn w:val="a2"/>
    <w:link w:val="26"/>
    <w:qFormat/>
    <w:rPr>
      <w:rFonts w:ascii="Times New Roman" w:eastAsia="等线" w:hAnsi="Times New Roman" w:cs="Times New Roman"/>
      <w:szCs w:val="24"/>
      <w:lang w:val="zh-CN" w:eastAsia="zh-CN"/>
    </w:rPr>
  </w:style>
  <w:style w:type="paragraph" w:customStyle="1" w:styleId="CharChar1CharCharCharCharCharCharCharCharCharCharCharCharCharChar">
    <w:name w:val="Char Char1 Char Char Char Char Char Char Char Char Char Char Char Char Char Char"/>
    <w:basedOn w:val="a0"/>
    <w:qFormat/>
    <w:pPr>
      <w:spacing w:beforeLines="100" w:before="100" w:after="160" w:line="240" w:lineRule="exact"/>
    </w:pPr>
    <w:rPr>
      <w:rFonts w:ascii="Verdana" w:eastAsia="等线" w:hAnsi="Verdana" w:cs="Times New Roman"/>
      <w:sz w:val="32"/>
      <w:szCs w:val="32"/>
      <w:lang w:eastAsia="en-US"/>
    </w:rPr>
  </w:style>
  <w:style w:type="paragraph" w:customStyle="1" w:styleId="CharCharCharCharCharChar1Char">
    <w:name w:val="Char Char Char Char Char Char1 Char"/>
    <w:basedOn w:val="a0"/>
    <w:qFormat/>
    <w:pPr>
      <w:widowControl w:val="0"/>
      <w:jc w:val="both"/>
    </w:pPr>
    <w:rPr>
      <w:rFonts w:ascii="Times New Roman" w:eastAsia="等线" w:hAnsi="Times New Roman" w:cs="Times New Roman"/>
      <w:kern w:val="2"/>
      <w:sz w:val="21"/>
    </w:rPr>
  </w:style>
  <w:style w:type="paragraph" w:customStyle="1" w:styleId="CharCharCharCharCharCharCharChar">
    <w:name w:val="Char Char Char Char Char Char Char Char"/>
    <w:basedOn w:val="a0"/>
    <w:qFormat/>
    <w:pPr>
      <w:spacing w:after="160" w:line="240" w:lineRule="exact"/>
    </w:pPr>
    <w:rPr>
      <w:rFonts w:ascii="Verdana" w:eastAsia="Times New Roman" w:hAnsi="Verdana" w:cs="Times New Roman"/>
      <w:sz w:val="20"/>
      <w:szCs w:val="20"/>
      <w:lang w:eastAsia="en-US"/>
    </w:rPr>
  </w:style>
  <w:style w:type="paragraph" w:customStyle="1" w:styleId="2f7">
    <w:name w:val="修订2"/>
    <w:hidden/>
    <w:uiPriority w:val="99"/>
    <w:qFormat/>
    <w:rPr>
      <w:rFonts w:eastAsia="等线"/>
      <w:kern w:val="2"/>
      <w:sz w:val="21"/>
      <w:szCs w:val="21"/>
    </w:rPr>
  </w:style>
  <w:style w:type="paragraph" w:customStyle="1" w:styleId="TOC20">
    <w:name w:val="TOC 标题2"/>
    <w:basedOn w:val="1"/>
    <w:next w:val="a0"/>
    <w:uiPriority w:val="39"/>
    <w:qFormat/>
    <w:pPr>
      <w:outlineLvl w:val="9"/>
    </w:pPr>
  </w:style>
  <w:style w:type="paragraph" w:customStyle="1" w:styleId="3f2">
    <w:name w:val="标题3"/>
    <w:basedOn w:val="a0"/>
    <w:next w:val="a0"/>
    <w:link w:val="3Char"/>
    <w:qFormat/>
    <w:pPr>
      <w:widowControl w:val="0"/>
      <w:ind w:firstLineChars="200" w:firstLine="562"/>
      <w:jc w:val="both"/>
      <w:outlineLvl w:val="2"/>
    </w:pPr>
    <w:rPr>
      <w:rFonts w:ascii="Times New Roman" w:eastAsia="等线" w:hAnsi="Times New Roman" w:cs="Times New Roman"/>
      <w:b/>
      <w:kern w:val="2"/>
      <w:sz w:val="28"/>
      <w:szCs w:val="28"/>
      <w:lang w:val="zh-CN"/>
    </w:rPr>
  </w:style>
  <w:style w:type="character" w:customStyle="1" w:styleId="3Char">
    <w:name w:val="标题3 Char"/>
    <w:link w:val="3f2"/>
    <w:qFormat/>
    <w:rPr>
      <w:rFonts w:ascii="Times New Roman" w:eastAsia="等线" w:hAnsi="Times New Roman" w:cs="Times New Roman"/>
      <w:b/>
      <w:sz w:val="28"/>
      <w:szCs w:val="28"/>
      <w:lang w:val="zh-CN" w:eastAsia="zh-CN"/>
    </w:rPr>
  </w:style>
  <w:style w:type="paragraph" w:customStyle="1" w:styleId="2f8">
    <w:name w:val="列表段落2"/>
    <w:basedOn w:val="a0"/>
    <w:link w:val="Chara"/>
    <w:uiPriority w:val="1"/>
    <w:qFormat/>
    <w:pPr>
      <w:widowControl w:val="0"/>
      <w:ind w:firstLineChars="200" w:firstLine="420"/>
      <w:jc w:val="both"/>
    </w:pPr>
    <w:rPr>
      <w:rFonts w:ascii="等线" w:eastAsia="等线" w:hAnsi="等线" w:cs="Times New Roman"/>
      <w:kern w:val="2"/>
      <w:sz w:val="21"/>
      <w:szCs w:val="21"/>
    </w:rPr>
  </w:style>
  <w:style w:type="paragraph" w:customStyle="1" w:styleId="afffff9">
    <w:name w:val="表格文字"/>
    <w:basedOn w:val="a0"/>
    <w:link w:val="Charb"/>
    <w:qFormat/>
    <w:pPr>
      <w:widowControl w:val="0"/>
      <w:spacing w:before="60" w:after="60"/>
      <w:jc w:val="both"/>
    </w:pPr>
    <w:rPr>
      <w:rFonts w:ascii="Times New Roman" w:eastAsia="等线" w:hAnsi="Times New Roman" w:cs="Times New Roman"/>
      <w:kern w:val="2"/>
      <w:sz w:val="21"/>
      <w:lang w:val="zh-CN"/>
    </w:rPr>
  </w:style>
  <w:style w:type="character" w:customStyle="1" w:styleId="Charb">
    <w:name w:val="表格文字 Char"/>
    <w:link w:val="afffff9"/>
    <w:qFormat/>
    <w:rPr>
      <w:rFonts w:ascii="Times New Roman" w:eastAsia="等线" w:hAnsi="Times New Roman" w:cs="Times New Roman"/>
      <w:szCs w:val="24"/>
      <w:lang w:val="zh-CN" w:eastAsia="zh-CN"/>
    </w:rPr>
  </w:style>
  <w:style w:type="character" w:customStyle="1" w:styleId="apple-converted-space">
    <w:name w:val="apple-converted-space"/>
    <w:qFormat/>
  </w:style>
  <w:style w:type="paragraph" w:customStyle="1" w:styleId="Default">
    <w:name w:val="Default"/>
    <w:qFormat/>
    <w:pPr>
      <w:widowControl w:val="0"/>
      <w:autoSpaceDE w:val="0"/>
      <w:autoSpaceDN w:val="0"/>
      <w:adjustRightInd w:val="0"/>
    </w:pPr>
    <w:rPr>
      <w:rFonts w:ascii="宋体" w:eastAsia="等线" w:cs="宋体"/>
      <w:color w:val="000000"/>
      <w:kern w:val="2"/>
      <w:sz w:val="24"/>
      <w:szCs w:val="24"/>
    </w:rPr>
  </w:style>
  <w:style w:type="paragraph" w:customStyle="1" w:styleId="1-1">
    <w:name w:val="标题1-1"/>
    <w:basedOn w:val="20"/>
    <w:qFormat/>
    <w:pPr>
      <w:numPr>
        <w:numId w:val="10"/>
      </w:numPr>
      <w:spacing w:before="100" w:after="100" w:line="415" w:lineRule="auto"/>
      <w:jc w:val="center"/>
    </w:pPr>
    <w:rPr>
      <w:rFonts w:eastAsia="楷体_GB2312"/>
      <w:kern w:val="0"/>
    </w:rPr>
  </w:style>
  <w:style w:type="paragraph" w:customStyle="1" w:styleId="zhengwen1">
    <w:name w:val="zhengwen1"/>
    <w:basedOn w:val="a0"/>
    <w:qFormat/>
    <w:pPr>
      <w:widowControl w:val="0"/>
      <w:numPr>
        <w:ilvl w:val="2"/>
        <w:numId w:val="10"/>
      </w:numPr>
      <w:spacing w:beforeLines="50" w:before="50" w:afterLines="50" w:after="50"/>
    </w:pPr>
    <w:rPr>
      <w:rFonts w:ascii="楷体_GB2312" w:eastAsia="楷体_GB2312" w:cs="Arial"/>
      <w:kern w:val="2"/>
      <w:szCs w:val="20"/>
    </w:rPr>
  </w:style>
  <w:style w:type="paragraph" w:customStyle="1" w:styleId="a1">
    <w:name w:val="a1"/>
    <w:basedOn w:val="a0"/>
    <w:qFormat/>
    <w:pPr>
      <w:keepNext/>
      <w:keepLines/>
      <w:widowControl w:val="0"/>
      <w:numPr>
        <w:ilvl w:val="1"/>
        <w:numId w:val="10"/>
      </w:numPr>
      <w:spacing w:before="260" w:after="260" w:line="416" w:lineRule="auto"/>
      <w:jc w:val="both"/>
      <w:outlineLvl w:val="1"/>
    </w:pPr>
    <w:rPr>
      <w:rFonts w:ascii="Arial" w:eastAsia="楷体_GB2312" w:hAnsi="Arial" w:cs="Times New Roman"/>
      <w:b/>
      <w:bCs/>
      <w:kern w:val="2"/>
      <w:sz w:val="28"/>
      <w:szCs w:val="20"/>
    </w:rPr>
  </w:style>
  <w:style w:type="paragraph" w:customStyle="1" w:styleId="afffffa">
    <w:name w:val="文章正文"/>
    <w:basedOn w:val="a0"/>
    <w:link w:val="Charc"/>
    <w:qFormat/>
    <w:pPr>
      <w:widowControl w:val="0"/>
      <w:spacing w:afterLines="50" w:after="156" w:line="360" w:lineRule="auto"/>
      <w:ind w:firstLineChars="200" w:firstLine="480"/>
      <w:jc w:val="both"/>
    </w:pPr>
    <w:rPr>
      <w:rFonts w:eastAsia="等线" w:cs="Times New Roman"/>
      <w:bCs/>
      <w:color w:val="000000"/>
      <w:kern w:val="2"/>
      <w:lang w:val="zh-CN"/>
    </w:rPr>
  </w:style>
  <w:style w:type="character" w:customStyle="1" w:styleId="Charc">
    <w:name w:val="文章正文 Char"/>
    <w:link w:val="afffffa"/>
    <w:qFormat/>
    <w:rPr>
      <w:rFonts w:ascii="宋体" w:eastAsia="等线" w:hAnsi="宋体" w:cs="Times New Roman"/>
      <w:bCs/>
      <w:color w:val="000000"/>
      <w:sz w:val="24"/>
      <w:szCs w:val="24"/>
      <w:lang w:val="zh-CN" w:eastAsia="zh-CN"/>
    </w:rPr>
  </w:style>
  <w:style w:type="paragraph" w:customStyle="1" w:styleId="afffffb">
    <w:name w:val="招股书正文"/>
    <w:basedOn w:val="a0"/>
    <w:link w:val="afffffc"/>
    <w:uiPriority w:val="4"/>
    <w:qFormat/>
    <w:pPr>
      <w:widowControl w:val="0"/>
      <w:spacing w:afterLines="50" w:after="50" w:line="360" w:lineRule="auto"/>
      <w:ind w:firstLineChars="200" w:firstLine="200"/>
      <w:jc w:val="both"/>
    </w:pPr>
    <w:rPr>
      <w:rFonts w:ascii="Times New Roman" w:eastAsia="等线" w:hAnsi="Times New Roman" w:cs="Times New Roman"/>
      <w:kern w:val="2"/>
      <w:lang w:val="zh-CN"/>
    </w:rPr>
  </w:style>
  <w:style w:type="character" w:customStyle="1" w:styleId="afffffc">
    <w:name w:val="招股书正文 字符"/>
    <w:link w:val="afffffb"/>
    <w:uiPriority w:val="4"/>
    <w:qFormat/>
    <w:rPr>
      <w:rFonts w:ascii="Times New Roman" w:eastAsia="等线" w:hAnsi="Times New Roman" w:cs="Times New Roman"/>
      <w:sz w:val="24"/>
      <w:szCs w:val="24"/>
      <w:lang w:val="zh-CN" w:eastAsia="zh-CN"/>
    </w:rPr>
  </w:style>
  <w:style w:type="paragraph" w:customStyle="1" w:styleId="-1">
    <w:name w:val="自选正文-1"/>
    <w:basedOn w:val="a0"/>
    <w:link w:val="-1Char"/>
    <w:qFormat/>
    <w:pPr>
      <w:widowControl w:val="0"/>
      <w:spacing w:beforeLines="50" w:afterLines="50" w:line="360" w:lineRule="auto"/>
      <w:ind w:firstLineChars="200" w:firstLine="480"/>
      <w:jc w:val="both"/>
    </w:pPr>
    <w:rPr>
      <w:rFonts w:ascii="Times New Roman" w:eastAsia="等线" w:hAnsi="Times New Roman" w:cs="Times New Roman"/>
      <w:kern w:val="2"/>
      <w:lang w:val="zh-CN"/>
    </w:rPr>
  </w:style>
  <w:style w:type="character" w:customStyle="1" w:styleId="-1Char">
    <w:name w:val="自选正文-1 Char"/>
    <w:link w:val="-1"/>
    <w:qFormat/>
    <w:rPr>
      <w:rFonts w:ascii="Times New Roman" w:eastAsia="等线" w:hAnsi="Times New Roman" w:cs="Times New Roman"/>
      <w:sz w:val="24"/>
      <w:szCs w:val="24"/>
      <w:lang w:val="zh-CN" w:eastAsia="zh-CN"/>
    </w:rPr>
  </w:style>
  <w:style w:type="paragraph" w:customStyle="1" w:styleId="-">
    <w:name w:val="表格样式-北大尽调"/>
    <w:basedOn w:val="a0"/>
    <w:link w:val="-Char"/>
    <w:qFormat/>
    <w:pPr>
      <w:jc w:val="center"/>
    </w:pPr>
    <w:rPr>
      <w:rFonts w:ascii="Times New Roman" w:eastAsia="等线" w:hAnsi="Times New Roman" w:cs="Times New Roman"/>
      <w:b/>
      <w:bCs/>
      <w:sz w:val="22"/>
      <w:szCs w:val="21"/>
      <w:lang w:val="zh-CN"/>
    </w:rPr>
  </w:style>
  <w:style w:type="character" w:customStyle="1" w:styleId="-Char">
    <w:name w:val="表格样式-北大尽调 Char"/>
    <w:link w:val="-"/>
    <w:qFormat/>
    <w:rPr>
      <w:rFonts w:ascii="Times New Roman" w:eastAsia="等线" w:hAnsi="Times New Roman" w:cs="Times New Roman"/>
      <w:b/>
      <w:bCs/>
      <w:kern w:val="0"/>
      <w:sz w:val="22"/>
      <w:szCs w:val="21"/>
      <w:lang w:val="zh-CN" w:eastAsia="zh-CN"/>
    </w:rPr>
  </w:style>
  <w:style w:type="character" w:customStyle="1" w:styleId="hangju">
    <w:name w:val="hangju"/>
    <w:uiPriority w:val="99"/>
    <w:qFormat/>
  </w:style>
  <w:style w:type="character" w:customStyle="1" w:styleId="Chard">
    <w:name w:val="招股书正文 Char"/>
    <w:uiPriority w:val="4"/>
    <w:qFormat/>
    <w:rPr>
      <w:rFonts w:ascii="Times New Roman" w:hAnsi="Times New Roman"/>
      <w:color w:val="000000"/>
      <w:kern w:val="2"/>
      <w:sz w:val="24"/>
      <w:szCs w:val="21"/>
    </w:rPr>
  </w:style>
  <w:style w:type="paragraph" w:customStyle="1" w:styleId="3f3">
    <w:name w:val="3"/>
    <w:basedOn w:val="a0"/>
    <w:uiPriority w:val="99"/>
    <w:unhideWhenUsed/>
    <w:qFormat/>
    <w:pPr>
      <w:widowControl w:val="0"/>
      <w:jc w:val="both"/>
    </w:pPr>
    <w:rPr>
      <w:rFonts w:ascii="Times New Roman" w:eastAsia="等线" w:hAnsi="Times New Roman" w:cs="Times New Roman"/>
      <w:kern w:val="2"/>
      <w:sz w:val="21"/>
    </w:rPr>
  </w:style>
  <w:style w:type="paragraph" w:customStyle="1" w:styleId="font5">
    <w:name w:val="font5"/>
    <w:basedOn w:val="a0"/>
    <w:qFormat/>
    <w:pPr>
      <w:spacing w:before="100" w:beforeAutospacing="1" w:after="100" w:afterAutospacing="1"/>
    </w:pPr>
    <w:rPr>
      <w:rFonts w:eastAsia="等线"/>
      <w:sz w:val="18"/>
      <w:szCs w:val="18"/>
    </w:rPr>
  </w:style>
  <w:style w:type="paragraph" w:customStyle="1" w:styleId="font6">
    <w:name w:val="font6"/>
    <w:basedOn w:val="a0"/>
    <w:qFormat/>
    <w:pPr>
      <w:spacing w:before="100" w:beforeAutospacing="1" w:after="100" w:afterAutospacing="1"/>
    </w:pPr>
    <w:rPr>
      <w:rFonts w:eastAsia="等线"/>
      <w:sz w:val="18"/>
      <w:szCs w:val="18"/>
    </w:rPr>
  </w:style>
  <w:style w:type="paragraph" w:customStyle="1" w:styleId="font7">
    <w:name w:val="font7"/>
    <w:basedOn w:val="a0"/>
    <w:qFormat/>
    <w:pPr>
      <w:spacing w:before="100" w:beforeAutospacing="1" w:after="100" w:afterAutospacing="1"/>
    </w:pPr>
    <w:rPr>
      <w:rFonts w:eastAsia="等线"/>
      <w:sz w:val="18"/>
      <w:szCs w:val="18"/>
    </w:rPr>
  </w:style>
  <w:style w:type="paragraph" w:customStyle="1" w:styleId="xl74">
    <w:name w:val="xl74"/>
    <w:basedOn w:val="a0"/>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eastAsia="等线"/>
      <w:sz w:val="18"/>
      <w:szCs w:val="18"/>
    </w:rPr>
  </w:style>
  <w:style w:type="paragraph" w:customStyle="1" w:styleId="xl75">
    <w:name w:val="xl75"/>
    <w:basedOn w:val="a0"/>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等线"/>
      <w:sz w:val="18"/>
      <w:szCs w:val="18"/>
    </w:rPr>
  </w:style>
  <w:style w:type="paragraph" w:customStyle="1" w:styleId="xl76">
    <w:name w:val="xl76"/>
    <w:basedOn w:val="a0"/>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等线"/>
      <w:sz w:val="18"/>
      <w:szCs w:val="18"/>
    </w:rPr>
  </w:style>
  <w:style w:type="paragraph" w:customStyle="1" w:styleId="xl77">
    <w:name w:val="xl77"/>
    <w:basedOn w:val="a0"/>
    <w:qFormat/>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eastAsia="等线"/>
      <w:b/>
      <w:bCs/>
      <w:sz w:val="18"/>
      <w:szCs w:val="18"/>
    </w:rPr>
  </w:style>
  <w:style w:type="paragraph" w:customStyle="1" w:styleId="xl78">
    <w:name w:val="xl78"/>
    <w:basedOn w:val="a0"/>
    <w:qFormat/>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eastAsia="等线"/>
      <w:b/>
      <w:bCs/>
      <w:sz w:val="18"/>
      <w:szCs w:val="18"/>
    </w:rPr>
  </w:style>
  <w:style w:type="paragraph" w:customStyle="1" w:styleId="xl79">
    <w:name w:val="xl79"/>
    <w:basedOn w:val="a0"/>
    <w:qFormat/>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eastAsia="等线"/>
      <w:b/>
      <w:bCs/>
      <w:sz w:val="18"/>
      <w:szCs w:val="18"/>
    </w:rPr>
  </w:style>
  <w:style w:type="paragraph" w:customStyle="1" w:styleId="xl80">
    <w:name w:val="xl80"/>
    <w:basedOn w:val="a0"/>
    <w:qFormat/>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center"/>
    </w:pPr>
    <w:rPr>
      <w:rFonts w:eastAsia="等线"/>
      <w:sz w:val="18"/>
      <w:szCs w:val="18"/>
    </w:rPr>
  </w:style>
  <w:style w:type="paragraph" w:customStyle="1" w:styleId="xl81">
    <w:name w:val="xl81"/>
    <w:basedOn w:val="a0"/>
    <w:qFormat/>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pPr>
    <w:rPr>
      <w:rFonts w:eastAsia="等线"/>
      <w:sz w:val="18"/>
      <w:szCs w:val="18"/>
    </w:rPr>
  </w:style>
  <w:style w:type="paragraph" w:customStyle="1" w:styleId="xl82">
    <w:name w:val="xl82"/>
    <w:basedOn w:val="a0"/>
    <w:qFormat/>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jc w:val="center"/>
    </w:pPr>
    <w:rPr>
      <w:rFonts w:eastAsia="等线"/>
      <w:sz w:val="18"/>
      <w:szCs w:val="18"/>
    </w:rPr>
  </w:style>
  <w:style w:type="paragraph" w:customStyle="1" w:styleId="xl83">
    <w:name w:val="xl83"/>
    <w:basedOn w:val="a0"/>
    <w:qFormat/>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pPr>
    <w:rPr>
      <w:rFonts w:eastAsia="等线"/>
      <w:b/>
      <w:bCs/>
      <w:sz w:val="18"/>
      <w:szCs w:val="18"/>
    </w:rPr>
  </w:style>
  <w:style w:type="paragraph" w:customStyle="1" w:styleId="xl84">
    <w:name w:val="xl84"/>
    <w:basedOn w:val="a0"/>
    <w:qFormat/>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pPr>
    <w:rPr>
      <w:rFonts w:eastAsia="等线"/>
      <w:b/>
      <w:bCs/>
      <w:sz w:val="18"/>
      <w:szCs w:val="18"/>
    </w:rPr>
  </w:style>
  <w:style w:type="paragraph" w:customStyle="1" w:styleId="xl85">
    <w:name w:val="xl85"/>
    <w:basedOn w:val="a0"/>
    <w:qFormat/>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pPr>
    <w:rPr>
      <w:rFonts w:eastAsia="等线"/>
      <w:b/>
      <w:bCs/>
      <w:sz w:val="18"/>
      <w:szCs w:val="18"/>
    </w:rPr>
  </w:style>
  <w:style w:type="paragraph" w:customStyle="1" w:styleId="xl86">
    <w:name w:val="xl86"/>
    <w:basedOn w:val="a0"/>
    <w:qFormat/>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pPr>
    <w:rPr>
      <w:rFonts w:eastAsia="等线"/>
      <w:b/>
      <w:bCs/>
      <w:sz w:val="18"/>
      <w:szCs w:val="18"/>
    </w:rPr>
  </w:style>
  <w:style w:type="table" w:customStyle="1" w:styleId="afffffd">
    <w:name w:val="奔奔团招股书格式"/>
    <w:basedOn w:val="a3"/>
    <w:qFormat/>
    <w:tblPr>
      <w:tblBorders>
        <w:top w:val="thinThickSmallGap" w:sz="24" w:space="0" w:color="auto"/>
        <w:bottom w:val="thickThinSmallGap" w:sz="24" w:space="0" w:color="auto"/>
        <w:insideH w:val="single" w:sz="4" w:space="0" w:color="auto"/>
        <w:insideV w:val="single" w:sz="4" w:space="0" w:color="auto"/>
      </w:tblBorders>
    </w:tblPr>
  </w:style>
  <w:style w:type="paragraph" w:customStyle="1" w:styleId="4b">
    <w:name w:val="样式标题4"/>
    <w:basedOn w:val="a0"/>
    <w:link w:val="4Char"/>
    <w:qFormat/>
    <w:pPr>
      <w:widowControl w:val="0"/>
      <w:adjustRightInd w:val="0"/>
      <w:snapToGrid w:val="0"/>
      <w:spacing w:afterLines="50" w:after="156" w:line="360" w:lineRule="auto"/>
      <w:ind w:firstLineChars="200" w:firstLine="482"/>
      <w:jc w:val="both"/>
    </w:pPr>
    <w:rPr>
      <w:rFonts w:ascii="Times New Roman" w:eastAsia="等线" w:hAnsi="Times New Roman" w:cs="Times New Roman"/>
      <w:b/>
      <w:kern w:val="2"/>
      <w:szCs w:val="21"/>
      <w:lang w:val="zh-CN"/>
    </w:rPr>
  </w:style>
  <w:style w:type="character" w:customStyle="1" w:styleId="4Char">
    <w:name w:val="样式标题4 Char"/>
    <w:link w:val="4b"/>
    <w:qFormat/>
    <w:rPr>
      <w:rFonts w:ascii="Times New Roman" w:eastAsia="等线" w:hAnsi="Times New Roman" w:cs="Times New Roman"/>
      <w:b/>
      <w:sz w:val="24"/>
      <w:szCs w:val="21"/>
      <w:lang w:val="zh-CN" w:eastAsia="zh-CN"/>
    </w:rPr>
  </w:style>
  <w:style w:type="paragraph" w:customStyle="1" w:styleId="2f9">
    <w:name w:val="2"/>
    <w:basedOn w:val="a0"/>
    <w:uiPriority w:val="99"/>
    <w:unhideWhenUsed/>
    <w:qFormat/>
    <w:pPr>
      <w:widowControl w:val="0"/>
      <w:jc w:val="both"/>
    </w:pPr>
    <w:rPr>
      <w:rFonts w:ascii="Times New Roman" w:eastAsia="等线" w:hAnsi="Times New Roman" w:cs="Times New Roman"/>
      <w:kern w:val="2"/>
      <w:sz w:val="21"/>
    </w:rPr>
  </w:style>
  <w:style w:type="character" w:customStyle="1" w:styleId="ask-title">
    <w:name w:val="ask-title"/>
    <w:qFormat/>
  </w:style>
  <w:style w:type="paragraph" w:customStyle="1" w:styleId="1f0">
    <w:name w:val="1"/>
    <w:basedOn w:val="a0"/>
    <w:uiPriority w:val="99"/>
    <w:unhideWhenUsed/>
    <w:qFormat/>
    <w:pPr>
      <w:widowControl w:val="0"/>
      <w:jc w:val="both"/>
    </w:pPr>
    <w:rPr>
      <w:rFonts w:ascii="Times New Roman" w:eastAsia="等线" w:hAnsi="Times New Roman" w:cs="Times New Roman"/>
      <w:kern w:val="2"/>
      <w:sz w:val="21"/>
    </w:rPr>
  </w:style>
  <w:style w:type="character" w:customStyle="1" w:styleId="hrefstyle">
    <w:name w:val="hrefstyle"/>
    <w:qFormat/>
  </w:style>
  <w:style w:type="character" w:customStyle="1" w:styleId="afff4">
    <w:name w:val="脚注文本 字符"/>
    <w:basedOn w:val="a2"/>
    <w:link w:val="afff3"/>
    <w:qFormat/>
    <w:rPr>
      <w:rFonts w:ascii="Times New Roman" w:eastAsia="等线" w:hAnsi="Times New Roman" w:cs="Times New Roman"/>
      <w:sz w:val="18"/>
      <w:szCs w:val="18"/>
      <w:lang w:val="zh-CN" w:eastAsia="zh-CN"/>
    </w:rPr>
  </w:style>
  <w:style w:type="character" w:customStyle="1" w:styleId="afffffe">
    <w:name w:val="正文文本首行缩进 字符"/>
    <w:basedOn w:val="ad"/>
    <w:uiPriority w:val="99"/>
    <w:qFormat/>
    <w:rPr>
      <w:rFonts w:ascii="Times New Roman" w:eastAsia="等线" w:hAnsi="Times New Roman" w:cs="Times New Roman"/>
      <w:szCs w:val="24"/>
      <w:lang w:val="zh-CN" w:eastAsia="zh-CN"/>
    </w:rPr>
  </w:style>
  <w:style w:type="character" w:customStyle="1" w:styleId="57">
    <w:name w:val="正文文本首行缩进 字符5"/>
    <w:link w:val="afffe"/>
    <w:uiPriority w:val="99"/>
    <w:qFormat/>
    <w:rPr>
      <w:rFonts w:ascii="Calibri" w:eastAsia="等线" w:hAnsi="Calibri" w:cs="Times New Roman"/>
    </w:rPr>
  </w:style>
  <w:style w:type="paragraph" w:customStyle="1" w:styleId="ZW">
    <w:name w:val="ZW"/>
    <w:basedOn w:val="a0"/>
    <w:link w:val="ZWChar"/>
    <w:qFormat/>
    <w:pPr>
      <w:widowControl w:val="0"/>
      <w:adjustRightInd w:val="0"/>
      <w:spacing w:line="440" w:lineRule="atLeast"/>
      <w:ind w:firstLine="601"/>
      <w:jc w:val="both"/>
      <w:textAlignment w:val="baseline"/>
    </w:pPr>
    <w:rPr>
      <w:rFonts w:ascii="Arial Narrow" w:eastAsia="昆仑楷体" w:hAnsi="Times New Roman" w:cs="Times New Roman"/>
      <w:sz w:val="28"/>
      <w:szCs w:val="20"/>
    </w:rPr>
  </w:style>
  <w:style w:type="character" w:customStyle="1" w:styleId="ZWChar">
    <w:name w:val="ZW Char"/>
    <w:link w:val="ZW"/>
    <w:qFormat/>
    <w:rPr>
      <w:rFonts w:ascii="Arial Narrow" w:eastAsia="昆仑楷体" w:hAnsi="Times New Roman" w:cs="Times New Roman"/>
      <w:kern w:val="0"/>
      <w:sz w:val="28"/>
      <w:szCs w:val="20"/>
    </w:rPr>
  </w:style>
  <w:style w:type="paragraph" w:customStyle="1" w:styleId="CM2">
    <w:name w:val="CM2"/>
    <w:basedOn w:val="Default"/>
    <w:next w:val="Default"/>
    <w:uiPriority w:val="99"/>
    <w:qFormat/>
    <w:pPr>
      <w:spacing w:line="560" w:lineRule="atLeast"/>
    </w:pPr>
    <w:rPr>
      <w:rFonts w:ascii="Sim Sun" w:eastAsia="Sim Sun" w:hAnsi="Calibri" w:cs="Times New Roman"/>
      <w:color w:val="auto"/>
    </w:rPr>
  </w:style>
  <w:style w:type="paragraph" w:customStyle="1" w:styleId="CM19">
    <w:name w:val="CM19"/>
    <w:basedOn w:val="Default"/>
    <w:next w:val="Default"/>
    <w:uiPriority w:val="99"/>
    <w:qFormat/>
    <w:pPr>
      <w:spacing w:after="568"/>
    </w:pPr>
    <w:rPr>
      <w:rFonts w:ascii="Sim Sun" w:eastAsia="Sim Sun" w:hAnsi="Calibri" w:cs="Times New Roman"/>
      <w:color w:val="auto"/>
    </w:rPr>
  </w:style>
  <w:style w:type="table" w:customStyle="1" w:styleId="affffff">
    <w:name w:val="招股书格式"/>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character" w:customStyle="1" w:styleId="25">
    <w:name w:val="正文文本缩进 2 字符"/>
    <w:basedOn w:val="a2"/>
    <w:link w:val="24"/>
    <w:qFormat/>
    <w:rPr>
      <w:rFonts w:ascii="等线" w:eastAsia="等线" w:hAnsi="等线" w:cs="Times New Roman"/>
      <w:szCs w:val="21"/>
    </w:rPr>
  </w:style>
  <w:style w:type="table" w:customStyle="1" w:styleId="1f1">
    <w:name w:val="典雅型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0">
    <w:name w:val="网格型 5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0">
    <w:name w:val="网格型1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奔奔团招股书格式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f3">
    <w:name w:val="招股书格式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paragraph" w:customStyle="1" w:styleId="4c">
    <w:name w:val="4"/>
    <w:uiPriority w:val="99"/>
    <w:qFormat/>
    <w:pPr>
      <w:widowControl w:val="0"/>
      <w:jc w:val="both"/>
    </w:pPr>
    <w:rPr>
      <w:rFonts w:ascii="等线" w:eastAsia="等线" w:hAnsi="等线"/>
      <w:kern w:val="2"/>
      <w:sz w:val="21"/>
      <w:szCs w:val="22"/>
    </w:rPr>
  </w:style>
  <w:style w:type="character" w:customStyle="1" w:styleId="1f4">
    <w:name w:val="未处理的提及1"/>
    <w:uiPriority w:val="99"/>
    <w:unhideWhenUsed/>
    <w:qFormat/>
    <w:rPr>
      <w:color w:val="808080"/>
      <w:shd w:val="clear" w:color="auto" w:fill="E6E6E6"/>
    </w:rPr>
  </w:style>
  <w:style w:type="paragraph" w:customStyle="1" w:styleId="affffff0">
    <w:name w:val="招股书"/>
    <w:basedOn w:val="afffff0"/>
    <w:link w:val="affffff1"/>
    <w:uiPriority w:val="98"/>
    <w:qFormat/>
    <w:rPr>
      <w:rFonts w:ascii="等线" w:eastAsia="等线" w:hAnsi="等线" w:cs="Times New Roman"/>
      <w:b w:val="0"/>
      <w:bCs w:val="0"/>
      <w:sz w:val="21"/>
      <w:szCs w:val="21"/>
    </w:rPr>
  </w:style>
  <w:style w:type="character" w:customStyle="1" w:styleId="affffff1">
    <w:name w:val="招股书 字符"/>
    <w:link w:val="affffff0"/>
    <w:uiPriority w:val="98"/>
    <w:qFormat/>
    <w:rPr>
      <w:rFonts w:ascii="等线" w:eastAsia="等线" w:hAnsi="等线" w:cs="Times New Roman"/>
      <w:szCs w:val="21"/>
    </w:rPr>
  </w:style>
  <w:style w:type="paragraph" w:customStyle="1" w:styleId="230">
    <w:name w:val="样式23"/>
    <w:basedOn w:val="a0"/>
    <w:link w:val="23CharChar"/>
    <w:qFormat/>
    <w:pPr>
      <w:widowControl w:val="0"/>
      <w:spacing w:line="360" w:lineRule="auto"/>
      <w:ind w:firstLineChars="200" w:firstLine="480"/>
      <w:jc w:val="both"/>
    </w:pPr>
    <w:rPr>
      <w:rFonts w:ascii="Times New Roman" w:hAnsi="Times New Roman" w:cs="Times New Roman"/>
      <w:color w:val="000000"/>
      <w:szCs w:val="20"/>
      <w:lang w:val="zh-CN"/>
    </w:rPr>
  </w:style>
  <w:style w:type="paragraph" w:customStyle="1" w:styleId="170">
    <w:name w:val="样式17"/>
    <w:basedOn w:val="a0"/>
    <w:qFormat/>
    <w:pPr>
      <w:widowControl w:val="0"/>
      <w:spacing w:before="60" w:after="60" w:line="360" w:lineRule="auto"/>
      <w:ind w:firstLineChars="200" w:firstLine="482"/>
      <w:jc w:val="both"/>
    </w:pPr>
    <w:rPr>
      <w:rFonts w:cs="Times New Roman"/>
      <w:b/>
      <w:kern w:val="2"/>
      <w:szCs w:val="20"/>
    </w:rPr>
  </w:style>
  <w:style w:type="character" w:customStyle="1" w:styleId="23CharChar">
    <w:name w:val="样式23 Char Char"/>
    <w:link w:val="230"/>
    <w:qFormat/>
    <w:rPr>
      <w:rFonts w:ascii="Times New Roman" w:eastAsia="宋体" w:hAnsi="Times New Roman" w:cs="Times New Roman"/>
      <w:color w:val="000000"/>
      <w:kern w:val="0"/>
      <w:sz w:val="24"/>
      <w:szCs w:val="20"/>
      <w:lang w:val="zh-CN" w:eastAsia="zh-CN"/>
    </w:rPr>
  </w:style>
  <w:style w:type="paragraph" w:customStyle="1" w:styleId="210">
    <w:name w:val="样式21"/>
    <w:basedOn w:val="a0"/>
    <w:qFormat/>
    <w:pPr>
      <w:tabs>
        <w:tab w:val="left" w:pos="775"/>
      </w:tabs>
      <w:spacing w:line="360" w:lineRule="auto"/>
      <w:ind w:left="775" w:hanging="360"/>
    </w:pPr>
    <w:rPr>
      <w:rFonts w:cs="Times New Roman"/>
      <w:b/>
      <w:szCs w:val="20"/>
      <w:lang w:val="zh-CN"/>
    </w:rPr>
  </w:style>
  <w:style w:type="paragraph" w:customStyle="1" w:styleId="affffff2">
    <w:name w:val="招股书单位"/>
    <w:basedOn w:val="afffffb"/>
    <w:next w:val="afffffb"/>
    <w:link w:val="Chare"/>
    <w:uiPriority w:val="6"/>
    <w:qFormat/>
    <w:pPr>
      <w:widowControl/>
      <w:spacing w:beforeLines="50" w:before="156" w:afterLines="0" w:after="0" w:line="240" w:lineRule="auto"/>
      <w:ind w:firstLineChars="0" w:firstLine="0"/>
      <w:jc w:val="right"/>
    </w:pPr>
    <w:rPr>
      <w:rFonts w:eastAsia="宋体"/>
      <w:color w:val="000000"/>
      <w:sz w:val="21"/>
      <w:szCs w:val="21"/>
    </w:rPr>
  </w:style>
  <w:style w:type="character" w:customStyle="1" w:styleId="Chare">
    <w:name w:val="招股书单位 Char"/>
    <w:link w:val="affffff2"/>
    <w:uiPriority w:val="6"/>
    <w:qFormat/>
    <w:rPr>
      <w:rFonts w:ascii="Times New Roman" w:eastAsia="宋体" w:hAnsi="Times New Roman" w:cs="Times New Roman"/>
      <w:color w:val="000000"/>
      <w:szCs w:val="21"/>
      <w:lang w:val="zh-CN" w:eastAsia="zh-CN"/>
    </w:rPr>
  </w:style>
  <w:style w:type="character" w:customStyle="1" w:styleId="HTML10">
    <w:name w:val="HTML 预设格式 字符1"/>
    <w:link w:val="HTML1"/>
    <w:qFormat/>
    <w:rPr>
      <w:rFonts w:ascii="宋体" w:hAnsi="宋体" w:cs="宋体"/>
      <w:sz w:val="24"/>
      <w:szCs w:val="24"/>
    </w:rPr>
  </w:style>
  <w:style w:type="character" w:customStyle="1" w:styleId="HTMLa">
    <w:name w:val="HTML 预设格式 字符"/>
    <w:basedOn w:val="a2"/>
    <w:qFormat/>
    <w:rPr>
      <w:rFonts w:ascii="Courier New" w:hAnsi="Courier New" w:cs="Courier New"/>
      <w:sz w:val="20"/>
      <w:szCs w:val="20"/>
    </w:rPr>
  </w:style>
  <w:style w:type="character" w:customStyle="1" w:styleId="HTMLChar">
    <w:name w:val="HTML 预设格式 Char"/>
    <w:uiPriority w:val="99"/>
    <w:qFormat/>
    <w:rPr>
      <w:rFonts w:ascii="Courier New" w:eastAsia="等线" w:hAnsi="Courier New" w:cs="Courier New"/>
      <w:sz w:val="20"/>
      <w:szCs w:val="20"/>
    </w:rPr>
  </w:style>
  <w:style w:type="character" w:customStyle="1" w:styleId="1Char">
    <w:name w:val="1正文样式 Char"/>
    <w:link w:val="1f5"/>
    <w:qFormat/>
    <w:rPr>
      <w:rFonts w:ascii="楷体" w:eastAsia="楷体" w:hAnsi="楷体"/>
      <w:b/>
      <w:sz w:val="24"/>
      <w:lang w:val="en-GB"/>
    </w:rPr>
  </w:style>
  <w:style w:type="paragraph" w:customStyle="1" w:styleId="1f5">
    <w:name w:val="1正文样式"/>
    <w:basedOn w:val="a0"/>
    <w:link w:val="1Char"/>
    <w:qFormat/>
    <w:pPr>
      <w:widowControl w:val="0"/>
      <w:adjustRightInd w:val="0"/>
      <w:snapToGrid w:val="0"/>
      <w:spacing w:afterLines="50" w:line="360" w:lineRule="auto"/>
      <w:ind w:firstLineChars="200" w:firstLine="480"/>
      <w:jc w:val="both"/>
    </w:pPr>
    <w:rPr>
      <w:rFonts w:ascii="楷体" w:eastAsia="楷体" w:hAnsi="楷体" w:cstheme="minorBidi"/>
      <w:b/>
      <w:kern w:val="2"/>
      <w:szCs w:val="22"/>
      <w:lang w:val="en-GB"/>
    </w:rPr>
  </w:style>
  <w:style w:type="paragraph" w:customStyle="1" w:styleId="2fa">
    <w:name w:val="2招股书正文"/>
    <w:link w:val="2Char"/>
    <w:qFormat/>
    <w:pPr>
      <w:spacing w:beforeLines="50" w:line="360" w:lineRule="auto"/>
      <w:ind w:firstLineChars="200" w:firstLine="200"/>
    </w:pPr>
    <w:rPr>
      <w:color w:val="000000"/>
      <w:kern w:val="2"/>
      <w:sz w:val="24"/>
      <w:lang w:val="en-GB"/>
    </w:rPr>
  </w:style>
  <w:style w:type="character" w:customStyle="1" w:styleId="2Char">
    <w:name w:val="2招股书正文 Char"/>
    <w:link w:val="2fa"/>
    <w:qFormat/>
    <w:rPr>
      <w:rFonts w:ascii="Times New Roman" w:eastAsia="宋体" w:hAnsi="Times New Roman" w:cs="Times New Roman"/>
      <w:color w:val="000000"/>
      <w:sz w:val="24"/>
      <w:szCs w:val="20"/>
      <w:lang w:val="en-GB"/>
    </w:rPr>
  </w:style>
  <w:style w:type="character" w:customStyle="1" w:styleId="2fb">
    <w:name w:val="未处理的提及2"/>
    <w:uiPriority w:val="99"/>
    <w:unhideWhenUsed/>
    <w:qFormat/>
    <w:rPr>
      <w:color w:val="808080"/>
      <w:shd w:val="clear" w:color="auto" w:fill="E6E6E6"/>
    </w:rPr>
  </w:style>
  <w:style w:type="character" w:customStyle="1" w:styleId="2Char0">
    <w:name w:val="标题 2 Char"/>
    <w:uiPriority w:val="9"/>
    <w:qFormat/>
    <w:rPr>
      <w:rFonts w:ascii="等线 Light" w:eastAsia="等线 Light" w:hAnsi="等线 Light" w:cs="Times New Roman"/>
      <w:b/>
      <w:bCs/>
      <w:sz w:val="32"/>
      <w:szCs w:val="32"/>
    </w:rPr>
  </w:style>
  <w:style w:type="character" w:customStyle="1" w:styleId="Charf">
    <w:name w:val="批注文字 Char"/>
    <w:uiPriority w:val="99"/>
    <w:qFormat/>
    <w:rPr>
      <w:rFonts w:ascii="Times New Roman" w:hAnsi="Times New Roman"/>
      <w:kern w:val="2"/>
      <w:sz w:val="21"/>
      <w:szCs w:val="24"/>
      <w:lang w:val="zh-CN" w:eastAsia="zh-CN"/>
    </w:rPr>
  </w:style>
  <w:style w:type="character" w:customStyle="1" w:styleId="-Char0">
    <w:name w:val="新泉-正文 Char"/>
    <w:link w:val="-0"/>
    <w:qFormat/>
    <w:locked/>
    <w:rPr>
      <w:rFonts w:ascii="Times New Roman" w:hAnsi="Times New Roman"/>
      <w:sz w:val="24"/>
      <w:szCs w:val="24"/>
      <w:lang w:val="zh-CN" w:eastAsia="zh-CN"/>
    </w:rPr>
  </w:style>
  <w:style w:type="paragraph" w:customStyle="1" w:styleId="-0">
    <w:name w:val="新泉-正文"/>
    <w:basedOn w:val="a0"/>
    <w:link w:val="-Char0"/>
    <w:qFormat/>
    <w:pPr>
      <w:widowControl w:val="0"/>
      <w:spacing w:beforeLines="50" w:line="360" w:lineRule="auto"/>
      <w:ind w:firstLineChars="200" w:firstLine="480"/>
      <w:jc w:val="both"/>
    </w:pPr>
    <w:rPr>
      <w:rFonts w:ascii="Times New Roman" w:eastAsiaTheme="minorEastAsia" w:hAnsi="Times New Roman" w:cstheme="minorBidi"/>
      <w:kern w:val="2"/>
      <w:lang w:val="zh-CN"/>
    </w:rPr>
  </w:style>
  <w:style w:type="character" w:customStyle="1" w:styleId="fontstyle01">
    <w:name w:val="fontstyle01"/>
    <w:qFormat/>
    <w:rPr>
      <w:rFonts w:ascii="宋体" w:eastAsia="宋体" w:hAnsi="宋体" w:hint="eastAsia"/>
      <w:color w:val="000000"/>
      <w:sz w:val="24"/>
      <w:szCs w:val="24"/>
    </w:rPr>
  </w:style>
  <w:style w:type="character" w:customStyle="1" w:styleId="fontstyle21">
    <w:name w:val="fontstyle21"/>
    <w:qFormat/>
    <w:rPr>
      <w:rFonts w:ascii="Times New Roman" w:hAnsi="Times New Roman" w:cs="Times New Roman" w:hint="default"/>
      <w:color w:val="000000"/>
      <w:sz w:val="24"/>
      <w:szCs w:val="24"/>
    </w:rPr>
  </w:style>
  <w:style w:type="character" w:customStyle="1" w:styleId="Charf0">
    <w:name w:val="正文文本缩进 Char"/>
    <w:qFormat/>
    <w:rPr>
      <w:rFonts w:ascii="仿宋_GB2312" w:eastAsia="仿宋_GB2312"/>
      <w:kern w:val="2"/>
      <w:sz w:val="28"/>
      <w:lang w:val="zh-CN" w:eastAsia="zh-CN" w:bidi="ar-SA"/>
    </w:rPr>
  </w:style>
  <w:style w:type="character" w:customStyle="1" w:styleId="afff9">
    <w:name w:val="普通(网站) 字符"/>
    <w:link w:val="afff8"/>
    <w:uiPriority w:val="99"/>
    <w:qFormat/>
    <w:rPr>
      <w:rFonts w:ascii="宋体" w:eastAsia="等线" w:hAnsi="宋体" w:cs="Times New Roman"/>
      <w:kern w:val="0"/>
      <w:sz w:val="24"/>
      <w:szCs w:val="24"/>
    </w:rPr>
  </w:style>
  <w:style w:type="paragraph" w:customStyle="1" w:styleId="211">
    <w:name w:val="正文文本缩进 21"/>
    <w:basedOn w:val="a0"/>
    <w:qFormat/>
    <w:pPr>
      <w:widowControl w:val="0"/>
      <w:overflowPunct w:val="0"/>
      <w:autoSpaceDE w:val="0"/>
      <w:autoSpaceDN w:val="0"/>
      <w:adjustRightInd w:val="0"/>
      <w:spacing w:line="360" w:lineRule="auto"/>
      <w:ind w:firstLine="573"/>
      <w:jc w:val="both"/>
      <w:textAlignment w:val="baseline"/>
    </w:pPr>
    <w:rPr>
      <w:rFonts w:ascii="仿宋_GB2312" w:eastAsia="仿宋_GB2312" w:hAnsi="Times New Roman" w:cs="Times New Roman"/>
      <w:kern w:val="2"/>
      <w:sz w:val="28"/>
      <w:szCs w:val="20"/>
    </w:rPr>
  </w:style>
  <w:style w:type="character" w:customStyle="1" w:styleId="3f4">
    <w:name w:val="未处理的提及3"/>
    <w:uiPriority w:val="99"/>
    <w:unhideWhenUsed/>
    <w:qFormat/>
    <w:rPr>
      <w:color w:val="808080"/>
      <w:shd w:val="clear" w:color="auto" w:fill="E6E6E6"/>
    </w:rPr>
  </w:style>
  <w:style w:type="character" w:customStyle="1" w:styleId="4d">
    <w:name w:val="未处理的提及4"/>
    <w:uiPriority w:val="99"/>
    <w:unhideWhenUsed/>
    <w:qFormat/>
    <w:rPr>
      <w:color w:val="808080"/>
      <w:shd w:val="clear" w:color="auto" w:fill="E6E6E6"/>
    </w:rPr>
  </w:style>
  <w:style w:type="character" w:customStyle="1" w:styleId="Charf1">
    <w:name w:val="普通(网站) Char"/>
    <w:qFormat/>
    <w:rPr>
      <w:rFonts w:ascii="宋体" w:eastAsia="宋体" w:hAnsi="宋体"/>
      <w:kern w:val="2"/>
      <w:sz w:val="24"/>
      <w:szCs w:val="24"/>
      <w:lang w:val="en-US" w:eastAsia="zh-CN" w:bidi="ar-SA"/>
    </w:rPr>
  </w:style>
  <w:style w:type="paragraph" w:customStyle="1" w:styleId="p17">
    <w:name w:val="p17"/>
    <w:basedOn w:val="a0"/>
    <w:qFormat/>
    <w:pPr>
      <w:overflowPunct w:val="0"/>
      <w:autoSpaceDE w:val="0"/>
      <w:autoSpaceDN w:val="0"/>
      <w:snapToGrid w:val="0"/>
      <w:jc w:val="both"/>
    </w:pPr>
    <w:rPr>
      <w:rFonts w:ascii="幼圆" w:eastAsia="幼圆"/>
      <w:sz w:val="15"/>
      <w:szCs w:val="15"/>
    </w:rPr>
  </w:style>
  <w:style w:type="character" w:customStyle="1" w:styleId="5b">
    <w:name w:val="未处理的提及5"/>
    <w:uiPriority w:val="99"/>
    <w:unhideWhenUsed/>
    <w:qFormat/>
    <w:rPr>
      <w:color w:val="808080"/>
      <w:shd w:val="clear" w:color="auto" w:fill="E6E6E6"/>
    </w:rPr>
  </w:style>
  <w:style w:type="character" w:customStyle="1" w:styleId="64">
    <w:name w:val="未处理的提及6"/>
    <w:uiPriority w:val="99"/>
    <w:unhideWhenUsed/>
    <w:qFormat/>
    <w:rPr>
      <w:color w:val="808080"/>
      <w:shd w:val="clear" w:color="auto" w:fill="E6E6E6"/>
    </w:rPr>
  </w:style>
  <w:style w:type="character" w:customStyle="1" w:styleId="74">
    <w:name w:val="未处理的提及7"/>
    <w:uiPriority w:val="99"/>
    <w:unhideWhenUsed/>
    <w:qFormat/>
    <w:rPr>
      <w:color w:val="808080"/>
      <w:shd w:val="clear" w:color="auto" w:fill="E6E6E6"/>
    </w:rPr>
  </w:style>
  <w:style w:type="character" w:customStyle="1" w:styleId="84">
    <w:name w:val="未处理的提及8"/>
    <w:uiPriority w:val="99"/>
    <w:unhideWhenUsed/>
    <w:qFormat/>
    <w:rPr>
      <w:color w:val="808080"/>
      <w:shd w:val="clear" w:color="auto" w:fill="E6E6E6"/>
    </w:rPr>
  </w:style>
  <w:style w:type="table" w:customStyle="1" w:styleId="2fc">
    <w:name w:val="典雅型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0">
    <w:name w:val="网格型 5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fd">
    <w:name w:val="奔奔团招股书格式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fe">
    <w:name w:val="招股书格式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
    <w:name w:val="典雅型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
    <w:name w:val="网格型 5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
    <w:name w:val="奔奔团招股书格式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3">
    <w:name w:val="招股书格式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character" w:customStyle="1" w:styleId="92">
    <w:name w:val="未处理的提及9"/>
    <w:uiPriority w:val="99"/>
    <w:unhideWhenUsed/>
    <w:qFormat/>
    <w:rPr>
      <w:color w:val="808080"/>
      <w:shd w:val="clear" w:color="auto" w:fill="E6E6E6"/>
    </w:rPr>
  </w:style>
  <w:style w:type="character" w:customStyle="1" w:styleId="100">
    <w:name w:val="未处理的提及10"/>
    <w:uiPriority w:val="99"/>
    <w:unhideWhenUsed/>
    <w:qFormat/>
    <w:rPr>
      <w:color w:val="808080"/>
      <w:shd w:val="clear" w:color="auto" w:fill="E6E6E6"/>
    </w:rPr>
  </w:style>
  <w:style w:type="character" w:customStyle="1" w:styleId="114">
    <w:name w:val="未处理的提及11"/>
    <w:uiPriority w:val="99"/>
    <w:unhideWhenUsed/>
    <w:qFormat/>
    <w:rPr>
      <w:color w:val="808080"/>
      <w:shd w:val="clear" w:color="auto" w:fill="E6E6E6"/>
    </w:rPr>
  </w:style>
  <w:style w:type="character" w:customStyle="1" w:styleId="120">
    <w:name w:val="未处理的提及12"/>
    <w:uiPriority w:val="99"/>
    <w:unhideWhenUsed/>
    <w:qFormat/>
    <w:rPr>
      <w:color w:val="605E5C"/>
      <w:shd w:val="clear" w:color="auto" w:fill="E1DFDD"/>
    </w:rPr>
  </w:style>
  <w:style w:type="table" w:customStyle="1" w:styleId="2ff">
    <w:name w:val="定制网格型2"/>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2">
    <w:name w:val="日期 Char"/>
    <w:qFormat/>
    <w:rPr>
      <w:rFonts w:ascii="等线" w:eastAsia="等线" w:hAnsi="等线" w:cs="Times New Roman"/>
      <w:szCs w:val="21"/>
    </w:rPr>
  </w:style>
  <w:style w:type="character" w:customStyle="1" w:styleId="2Char10">
    <w:name w:val="标题 2 Char1"/>
    <w:uiPriority w:val="9"/>
    <w:qFormat/>
    <w:rPr>
      <w:rFonts w:ascii="等线 Light" w:eastAsia="等线 Light" w:hAnsi="等线 Light" w:cs="Times New Roman"/>
      <w:b/>
      <w:bCs/>
      <w:sz w:val="32"/>
      <w:szCs w:val="32"/>
    </w:rPr>
  </w:style>
  <w:style w:type="character" w:customStyle="1" w:styleId="1Char0">
    <w:name w:val="标题 1 Char"/>
    <w:uiPriority w:val="9"/>
    <w:qFormat/>
    <w:rPr>
      <w:rFonts w:ascii="等线" w:eastAsia="等线" w:hAnsi="等线" w:cs="Times New Roman"/>
      <w:b/>
      <w:bCs/>
      <w:kern w:val="44"/>
      <w:sz w:val="44"/>
      <w:szCs w:val="44"/>
    </w:rPr>
  </w:style>
  <w:style w:type="character" w:customStyle="1" w:styleId="3Char0">
    <w:name w:val="标题 3 Char"/>
    <w:uiPriority w:val="9"/>
    <w:qFormat/>
    <w:rPr>
      <w:rFonts w:ascii="等线" w:eastAsia="等线" w:hAnsi="等线" w:cs="Times New Roman"/>
      <w:b/>
      <w:bCs/>
      <w:sz w:val="32"/>
      <w:szCs w:val="32"/>
    </w:rPr>
  </w:style>
  <w:style w:type="character" w:customStyle="1" w:styleId="4Char0">
    <w:name w:val="标题 4 Char"/>
    <w:uiPriority w:val="9"/>
    <w:qFormat/>
    <w:rPr>
      <w:rFonts w:ascii="等线 Light" w:eastAsia="等线 Light" w:hAnsi="等线 Light" w:cs="Times New Roman"/>
      <w:b/>
      <w:bCs/>
      <w:sz w:val="28"/>
      <w:szCs w:val="28"/>
    </w:rPr>
  </w:style>
  <w:style w:type="character" w:customStyle="1" w:styleId="5Char">
    <w:name w:val="标题 5 Char"/>
    <w:uiPriority w:val="9"/>
    <w:qFormat/>
    <w:rPr>
      <w:rFonts w:ascii="等线" w:eastAsia="等线" w:hAnsi="等线" w:cs="Times New Roman"/>
      <w:b/>
      <w:bCs/>
      <w:sz w:val="28"/>
      <w:szCs w:val="28"/>
    </w:rPr>
  </w:style>
  <w:style w:type="character" w:customStyle="1" w:styleId="6Char">
    <w:name w:val="标题 6 Char"/>
    <w:uiPriority w:val="9"/>
    <w:qFormat/>
    <w:rPr>
      <w:rFonts w:ascii="等线 Light" w:eastAsia="等线 Light" w:hAnsi="等线 Light" w:cs="Times New Roman"/>
      <w:b/>
      <w:bCs/>
      <w:sz w:val="24"/>
      <w:szCs w:val="24"/>
    </w:rPr>
  </w:style>
  <w:style w:type="character" w:customStyle="1" w:styleId="7Char">
    <w:name w:val="标题 7 Char"/>
    <w:uiPriority w:val="9"/>
    <w:qFormat/>
    <w:rPr>
      <w:rFonts w:ascii="等线" w:eastAsia="等线" w:hAnsi="等线" w:cs="Times New Roman"/>
      <w:b/>
      <w:bCs/>
      <w:sz w:val="24"/>
      <w:szCs w:val="24"/>
    </w:rPr>
  </w:style>
  <w:style w:type="character" w:customStyle="1" w:styleId="8Char">
    <w:name w:val="标题 8 Char"/>
    <w:uiPriority w:val="9"/>
    <w:qFormat/>
    <w:rPr>
      <w:rFonts w:ascii="等线 Light" w:eastAsia="等线 Light" w:hAnsi="等线 Light" w:cs="Times New Roman"/>
      <w:sz w:val="24"/>
      <w:szCs w:val="24"/>
    </w:rPr>
  </w:style>
  <w:style w:type="character" w:customStyle="1" w:styleId="9Char">
    <w:name w:val="标题 9 Char"/>
    <w:uiPriority w:val="9"/>
    <w:qFormat/>
    <w:rPr>
      <w:rFonts w:ascii="等线 Light" w:eastAsia="等线 Light" w:hAnsi="等线 Light" w:cs="Times New Roman"/>
      <w:szCs w:val="21"/>
    </w:rPr>
  </w:style>
  <w:style w:type="character" w:customStyle="1" w:styleId="Charf3">
    <w:name w:val="页眉 Char"/>
    <w:uiPriority w:val="99"/>
    <w:qFormat/>
    <w:rPr>
      <w:rFonts w:ascii="等线" w:eastAsia="等线" w:hAnsi="等线" w:cs="Times New Roman"/>
      <w:sz w:val="18"/>
      <w:szCs w:val="18"/>
    </w:rPr>
  </w:style>
  <w:style w:type="character" w:customStyle="1" w:styleId="Charf4">
    <w:name w:val="页脚 Char"/>
    <w:uiPriority w:val="99"/>
    <w:qFormat/>
    <w:rPr>
      <w:rFonts w:ascii="等线" w:eastAsia="等线" w:hAnsi="等线" w:cs="Times New Roman"/>
      <w:sz w:val="18"/>
      <w:szCs w:val="18"/>
    </w:rPr>
  </w:style>
  <w:style w:type="character" w:customStyle="1" w:styleId="Charf5">
    <w:name w:val="纯文本 Char"/>
    <w:link w:val="affffff3"/>
    <w:qFormat/>
    <w:rPr>
      <w:rFonts w:ascii="宋体" w:eastAsia="等线" w:hAnsi="Courier New" w:cs="Times New Roman"/>
      <w:szCs w:val="21"/>
      <w:lang w:val="zh-CN" w:eastAsia="zh-CN"/>
    </w:rPr>
  </w:style>
  <w:style w:type="paragraph" w:customStyle="1" w:styleId="affffff3">
    <w:name w:val="正文 + 宋体"/>
    <w:basedOn w:val="a0"/>
    <w:link w:val="Charf5"/>
    <w:qFormat/>
    <w:pPr>
      <w:widowControl w:val="0"/>
      <w:spacing w:line="360" w:lineRule="auto"/>
      <w:ind w:firstLineChars="200" w:firstLine="420"/>
      <w:jc w:val="both"/>
    </w:pPr>
    <w:rPr>
      <w:rFonts w:eastAsia="等线" w:hAnsi="Courier New" w:cs="Times New Roman"/>
      <w:kern w:val="2"/>
      <w:sz w:val="21"/>
      <w:szCs w:val="21"/>
      <w:lang w:val="zh-CN"/>
    </w:rPr>
  </w:style>
  <w:style w:type="character" w:customStyle="1" w:styleId="Charf6">
    <w:name w:val="批注框文本 Char"/>
    <w:uiPriority w:val="99"/>
    <w:qFormat/>
    <w:rPr>
      <w:rFonts w:ascii="Times New Roman" w:eastAsia="等线" w:hAnsi="Times New Roman" w:cs="Times New Roman"/>
      <w:sz w:val="18"/>
      <w:szCs w:val="18"/>
      <w:lang w:val="zh-CN" w:eastAsia="zh-CN"/>
    </w:rPr>
  </w:style>
  <w:style w:type="character" w:customStyle="1" w:styleId="Char10">
    <w:name w:val="批注文字 Char1"/>
    <w:qFormat/>
    <w:rPr>
      <w:rFonts w:ascii="Times New Roman" w:eastAsia="等线" w:hAnsi="Times New Roman" w:cs="Times New Roman"/>
      <w:szCs w:val="24"/>
      <w:lang w:val="zh-CN" w:eastAsia="zh-CN"/>
    </w:rPr>
  </w:style>
  <w:style w:type="table" w:customStyle="1" w:styleId="3f5">
    <w:name w:val="典雅型3"/>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0">
    <w:name w:val="网格型 53"/>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f6">
    <w:name w:val="定制网格型3"/>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7">
    <w:name w:val="文档结构图 Char"/>
    <w:qFormat/>
    <w:rPr>
      <w:rFonts w:ascii="Times New Roman" w:eastAsia="等线" w:hAnsi="Times New Roman" w:cs="Times New Roman"/>
      <w:szCs w:val="24"/>
      <w:shd w:val="clear" w:color="auto" w:fill="000080"/>
      <w:lang w:val="zh-CN" w:eastAsia="zh-CN"/>
    </w:rPr>
  </w:style>
  <w:style w:type="character" w:customStyle="1" w:styleId="Charf8">
    <w:name w:val="批注主题 Char"/>
    <w:semiHidden/>
    <w:qFormat/>
    <w:rPr>
      <w:rFonts w:ascii="Times New Roman" w:eastAsia="等线" w:hAnsi="Times New Roman" w:cs="Times New Roman"/>
      <w:b/>
      <w:bCs/>
      <w:szCs w:val="24"/>
      <w:lang w:val="zh-CN" w:eastAsia="zh-CN"/>
    </w:rPr>
  </w:style>
  <w:style w:type="character" w:customStyle="1" w:styleId="Charf9">
    <w:name w:val="正文文本 Char"/>
    <w:qFormat/>
    <w:rPr>
      <w:rFonts w:ascii="Times New Roman" w:eastAsia="等线" w:hAnsi="Times New Roman" w:cs="Times New Roman"/>
      <w:szCs w:val="24"/>
      <w:lang w:val="zh-CN" w:eastAsia="zh-CN"/>
    </w:rPr>
  </w:style>
  <w:style w:type="character" w:customStyle="1" w:styleId="Char11">
    <w:name w:val="正文文本缩进 Char1"/>
    <w:qFormat/>
    <w:rPr>
      <w:rFonts w:ascii="Times New Roman" w:eastAsia="等线" w:hAnsi="Times New Roman" w:cs="Times New Roman"/>
      <w:szCs w:val="24"/>
      <w:lang w:val="zh-CN" w:eastAsia="zh-CN"/>
    </w:rPr>
  </w:style>
  <w:style w:type="character" w:customStyle="1" w:styleId="2Char2">
    <w:name w:val="正文文本 2 Char"/>
    <w:qFormat/>
    <w:rPr>
      <w:rFonts w:ascii="Times New Roman" w:eastAsia="等线" w:hAnsi="Times New Roman" w:cs="Times New Roman"/>
      <w:szCs w:val="24"/>
      <w:lang w:val="zh-CN" w:eastAsia="zh-CN"/>
    </w:rPr>
  </w:style>
  <w:style w:type="table" w:customStyle="1" w:styleId="3f7">
    <w:name w:val="奔奔团招股书格式3"/>
    <w:basedOn w:val="a3"/>
    <w:qFormat/>
    <w:tblPr>
      <w:tblBorders>
        <w:top w:val="thinThickSmallGap" w:sz="24" w:space="0" w:color="auto"/>
        <w:bottom w:val="thickThinSmallGap" w:sz="24" w:space="0" w:color="auto"/>
        <w:insideH w:val="single" w:sz="4" w:space="0" w:color="auto"/>
        <w:insideV w:val="single" w:sz="4" w:space="0" w:color="auto"/>
      </w:tblBorders>
    </w:tblPr>
  </w:style>
  <w:style w:type="character" w:customStyle="1" w:styleId="Charfa">
    <w:name w:val="脚注文本 Char"/>
    <w:qFormat/>
    <w:rPr>
      <w:rFonts w:ascii="Times New Roman" w:eastAsia="等线" w:hAnsi="Times New Roman" w:cs="Times New Roman"/>
      <w:sz w:val="18"/>
      <w:szCs w:val="18"/>
      <w:lang w:val="zh-CN" w:eastAsia="zh-CN"/>
    </w:rPr>
  </w:style>
  <w:style w:type="character" w:customStyle="1" w:styleId="Charfb">
    <w:name w:val="正文首行缩进 Char"/>
    <w:uiPriority w:val="99"/>
    <w:qFormat/>
    <w:rPr>
      <w:rFonts w:ascii="Calibri" w:eastAsia="等线" w:hAnsi="Calibri" w:cs="Times New Roman"/>
      <w:szCs w:val="24"/>
      <w:lang w:val="zh-CN" w:eastAsia="zh-CN"/>
    </w:rPr>
  </w:style>
  <w:style w:type="table" w:customStyle="1" w:styleId="3f8">
    <w:name w:val="招股书格式3"/>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character" w:customStyle="1" w:styleId="2Char3">
    <w:name w:val="正文文本缩进 2 Char"/>
    <w:qFormat/>
    <w:rPr>
      <w:rFonts w:ascii="等线" w:eastAsia="等线" w:hAnsi="等线" w:cs="Times New Roman"/>
      <w:szCs w:val="21"/>
    </w:rPr>
  </w:style>
  <w:style w:type="table" w:customStyle="1" w:styleId="121">
    <w:name w:val="典雅型1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
    <w:name w:val="网格型 51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2">
    <w:name w:val="网格型12"/>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奔奔团招股书格式1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4">
    <w:name w:val="招股书格式1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character" w:customStyle="1" w:styleId="HTMLChar1">
    <w:name w:val="HTML 预设格式 Char1"/>
    <w:qFormat/>
    <w:rPr>
      <w:rFonts w:ascii="宋体" w:hAnsi="宋体" w:cs="宋体"/>
      <w:sz w:val="24"/>
      <w:szCs w:val="24"/>
    </w:rPr>
  </w:style>
  <w:style w:type="character" w:customStyle="1" w:styleId="Char12">
    <w:name w:val="普通(网站) Char1"/>
    <w:qFormat/>
    <w:rPr>
      <w:rFonts w:ascii="宋体" w:eastAsia="等线" w:hAnsi="宋体" w:cs="Times New Roman"/>
      <w:kern w:val="0"/>
      <w:sz w:val="24"/>
      <w:szCs w:val="24"/>
    </w:rPr>
  </w:style>
  <w:style w:type="table" w:customStyle="1" w:styleId="212">
    <w:name w:val="典雅型2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
    <w:name w:val="网格型 52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5">
    <w:name w:val="定制网格型1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奔奔团招股书格式2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4">
    <w:name w:val="招股书格式2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0">
    <w:name w:val="典雅型1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
    <w:name w:val="网格型 51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
    <w:name w:val="网格型11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奔奔团招股书格式1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3">
    <w:name w:val="招股书格式1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character" w:customStyle="1" w:styleId="affffff4">
    <w:name w:val="尾注文本 字符"/>
    <w:basedOn w:val="a2"/>
    <w:uiPriority w:val="99"/>
    <w:qFormat/>
  </w:style>
  <w:style w:type="character" w:customStyle="1" w:styleId="54">
    <w:name w:val="尾注文本 字符5"/>
    <w:link w:val="aff5"/>
    <w:uiPriority w:val="99"/>
    <w:qFormat/>
    <w:rPr>
      <w:rFonts w:ascii="等线" w:eastAsia="等线" w:hAnsi="等线" w:cs="Times New Roman"/>
      <w:szCs w:val="21"/>
    </w:rPr>
  </w:style>
  <w:style w:type="table" w:customStyle="1" w:styleId="215">
    <w:name w:val="定制网格型2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c">
    <w:name w:val="表头楷 Char"/>
    <w:link w:val="affffff5"/>
    <w:qFormat/>
    <w:rPr>
      <w:b/>
      <w:bCs/>
      <w:szCs w:val="21"/>
    </w:rPr>
  </w:style>
  <w:style w:type="paragraph" w:customStyle="1" w:styleId="affffff5">
    <w:name w:val="表头楷"/>
    <w:basedOn w:val="a0"/>
    <w:link w:val="Charfc"/>
    <w:qFormat/>
    <w:pPr>
      <w:widowControl w:val="0"/>
      <w:jc w:val="center"/>
    </w:pPr>
    <w:rPr>
      <w:rFonts w:asciiTheme="minorHAnsi" w:eastAsiaTheme="minorEastAsia" w:hAnsiTheme="minorHAnsi" w:cstheme="minorBidi"/>
      <w:b/>
      <w:bCs/>
      <w:kern w:val="2"/>
      <w:sz w:val="21"/>
      <w:szCs w:val="21"/>
    </w:rPr>
  </w:style>
  <w:style w:type="character" w:customStyle="1" w:styleId="Chara">
    <w:name w:val="列出段落 Char"/>
    <w:link w:val="2f8"/>
    <w:uiPriority w:val="1"/>
    <w:qFormat/>
    <w:rPr>
      <w:rFonts w:ascii="等线" w:eastAsia="等线" w:hAnsi="等线" w:cs="Times New Roman"/>
      <w:szCs w:val="21"/>
    </w:rPr>
  </w:style>
  <w:style w:type="table" w:customStyle="1" w:styleId="2ff0">
    <w:name w:val="网格型2"/>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典雅型4"/>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40">
    <w:name w:val="网格型 54"/>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f">
    <w:name w:val="定制网格型4"/>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奔奔团招股书格式4"/>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4f1">
    <w:name w:val="招股书格式4"/>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30">
    <w:name w:val="典雅型13"/>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3">
    <w:name w:val="网格型 513"/>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1">
    <w:name w:val="网格型13"/>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奔奔团招股书格式13"/>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33">
    <w:name w:val="招股书格式13"/>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20">
    <w:name w:val="典雅型2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2">
    <w:name w:val="网格型 52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5">
    <w:name w:val="定制网格型12"/>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奔奔团招股书格式2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22">
    <w:name w:val="招股书格式2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20">
    <w:name w:val="典雅型11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2">
    <w:name w:val="网格型 511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1">
    <w:name w:val="网格型112"/>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奔奔团招股书格式11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23">
    <w:name w:val="招股书格式11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310">
    <w:name w:val="典雅型3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1">
    <w:name w:val="网格型 53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3">
    <w:name w:val="定制网格型22"/>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奔奔团招股书格式3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12">
    <w:name w:val="招股书格式3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10">
    <w:name w:val="典雅型12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1">
    <w:name w:val="网格型 512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1">
    <w:name w:val="网格型12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奔奔团招股书格式12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13">
    <w:name w:val="招股书格式12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0">
    <w:name w:val="典雅型2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1">
    <w:name w:val="网格型 52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4">
    <w:name w:val="定制网格型11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奔奔团招股书格式2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12">
    <w:name w:val="招股书格式2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10">
    <w:name w:val="典雅型11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1">
    <w:name w:val="网格型 511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1">
    <w:name w:val="网格型111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奔奔团招股书格式11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13">
    <w:name w:val="招股书格式11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paragraph" w:customStyle="1" w:styleId="affffff6">
    <w:name w:val="标题 （一）"/>
    <w:basedOn w:val="afff0"/>
    <w:link w:val="affffff7"/>
    <w:qFormat/>
    <w:pPr>
      <w:keepNext/>
      <w:spacing w:beforeLines="50" w:before="156" w:afterLines="50" w:after="156" w:line="360" w:lineRule="auto"/>
      <w:ind w:firstLineChars="200" w:firstLine="482"/>
      <w:jc w:val="both"/>
      <w:outlineLvl w:val="2"/>
    </w:pPr>
    <w:rPr>
      <w:rFonts w:ascii="Times New Roman" w:eastAsia="黑体" w:hAnsi="Times New Roman"/>
      <w:sz w:val="24"/>
    </w:rPr>
  </w:style>
  <w:style w:type="character" w:customStyle="1" w:styleId="affffff7">
    <w:name w:val="标题 （一） 字符"/>
    <w:link w:val="affffff6"/>
    <w:qFormat/>
    <w:rPr>
      <w:rFonts w:ascii="Times New Roman" w:eastAsia="黑体" w:hAnsi="Times New Roman" w:cs="Times New Roman"/>
      <w:b/>
      <w:bCs/>
      <w:kern w:val="28"/>
      <w:sz w:val="24"/>
      <w:szCs w:val="32"/>
    </w:rPr>
  </w:style>
  <w:style w:type="character" w:customStyle="1" w:styleId="afff1">
    <w:name w:val="副标题 字符"/>
    <w:basedOn w:val="a2"/>
    <w:link w:val="afff0"/>
    <w:uiPriority w:val="11"/>
    <w:qFormat/>
    <w:rPr>
      <w:rFonts w:ascii="等线 Light" w:eastAsia="宋体" w:hAnsi="等线 Light" w:cs="Times New Roman"/>
      <w:b/>
      <w:bCs/>
      <w:kern w:val="28"/>
      <w:sz w:val="32"/>
      <w:szCs w:val="32"/>
    </w:rPr>
  </w:style>
  <w:style w:type="table" w:customStyle="1" w:styleId="1f6">
    <w:name w:val="预案表格1"/>
    <w:basedOn w:val="a3"/>
    <w:uiPriority w:val="99"/>
    <w:qFormat/>
    <w:rPr>
      <w:rFonts w:ascii="Calibri" w:hAnsi="Calibri"/>
    </w:rPr>
    <w:tblPr>
      <w:jc w:val="center"/>
      <w:tblBorders>
        <w:top w:val="thinThickSmallGap" w:sz="12" w:space="0" w:color="auto"/>
        <w:bottom w:val="thickThinSmallGap" w:sz="12" w:space="0" w:color="auto"/>
        <w:insideH w:val="single" w:sz="4" w:space="0" w:color="auto"/>
        <w:insideV w:val="single" w:sz="4" w:space="0" w:color="auto"/>
      </w:tblBorders>
    </w:tblPr>
    <w:trPr>
      <w:jc w:val="center"/>
    </w:trPr>
    <w:tcPr>
      <w:vAlign w:val="center"/>
    </w:tcPr>
    <w:tblStylePr w:type="firstRow">
      <w:rPr>
        <w:rFonts w:ascii="Times New Roman" w:eastAsia="宋体" w:hAnsi="Times New Roman"/>
        <w:b w:val="0"/>
        <w:i w:val="0"/>
        <w:caps w:val="0"/>
        <w:smallCaps w:val="0"/>
        <w:strike w:val="0"/>
        <w:dstrike w:val="0"/>
        <w:vanish w:val="0"/>
        <w:sz w:val="21"/>
        <w:vertAlign w:val="baseline"/>
      </w:rPr>
    </w:tblStylePr>
  </w:style>
  <w:style w:type="paragraph" w:customStyle="1" w:styleId="CM4">
    <w:name w:val="CM4"/>
    <w:basedOn w:val="Default"/>
    <w:next w:val="Default"/>
    <w:qFormat/>
    <w:pPr>
      <w:spacing w:after="615"/>
    </w:pPr>
    <w:rPr>
      <w:rFonts w:ascii="华文中宋" w:eastAsia="华文中宋" w:cs="华文中宋"/>
      <w:color w:val="auto"/>
      <w:kern w:val="0"/>
    </w:rPr>
  </w:style>
  <w:style w:type="paragraph" w:customStyle="1" w:styleId="CM1">
    <w:name w:val="CM1"/>
    <w:basedOn w:val="Default"/>
    <w:next w:val="Default"/>
    <w:uiPriority w:val="99"/>
    <w:qFormat/>
    <w:pPr>
      <w:spacing w:line="626" w:lineRule="atLeast"/>
    </w:pPr>
    <w:rPr>
      <w:rFonts w:ascii="华文中宋" w:eastAsia="华文中宋" w:cs="华文中宋"/>
      <w:color w:val="auto"/>
      <w:kern w:val="0"/>
    </w:rPr>
  </w:style>
  <w:style w:type="paragraph" w:customStyle="1" w:styleId="CM3">
    <w:name w:val="CM3"/>
    <w:basedOn w:val="Default"/>
    <w:next w:val="Default"/>
    <w:qFormat/>
    <w:pPr>
      <w:spacing w:line="626" w:lineRule="atLeast"/>
    </w:pPr>
    <w:rPr>
      <w:rFonts w:ascii="华文中宋" w:eastAsia="华文中宋" w:cs="华文中宋"/>
      <w:color w:val="auto"/>
      <w:kern w:val="0"/>
    </w:rPr>
  </w:style>
  <w:style w:type="paragraph" w:customStyle="1" w:styleId="CM6">
    <w:name w:val="CM6"/>
    <w:basedOn w:val="Default"/>
    <w:next w:val="Default"/>
    <w:qFormat/>
    <w:pPr>
      <w:spacing w:after="623"/>
    </w:pPr>
    <w:rPr>
      <w:rFonts w:ascii="华文中宋" w:eastAsia="华文中宋" w:cs="华文中宋"/>
      <w:color w:val="auto"/>
      <w:kern w:val="0"/>
    </w:rPr>
  </w:style>
  <w:style w:type="paragraph" w:customStyle="1" w:styleId="CM5">
    <w:name w:val="CM5"/>
    <w:basedOn w:val="Default"/>
    <w:next w:val="Default"/>
    <w:qFormat/>
    <w:pPr>
      <w:spacing w:line="626" w:lineRule="atLeast"/>
    </w:pPr>
    <w:rPr>
      <w:rFonts w:ascii="华文中宋" w:eastAsia="华文中宋" w:cs="华文中宋"/>
      <w:color w:val="auto"/>
      <w:kern w:val="0"/>
    </w:rPr>
  </w:style>
  <w:style w:type="paragraph" w:customStyle="1" w:styleId="CM7">
    <w:name w:val="CM7"/>
    <w:basedOn w:val="Default"/>
    <w:next w:val="Default"/>
    <w:qFormat/>
    <w:pPr>
      <w:spacing w:after="620"/>
    </w:pPr>
    <w:rPr>
      <w:rFonts w:ascii="华文中宋" w:eastAsia="华文中宋" w:cs="华文中宋"/>
      <w:color w:val="auto"/>
      <w:kern w:val="0"/>
    </w:rPr>
  </w:style>
  <w:style w:type="paragraph" w:customStyle="1" w:styleId="CM8">
    <w:name w:val="CM8"/>
    <w:basedOn w:val="Default"/>
    <w:next w:val="Default"/>
    <w:qFormat/>
    <w:pPr>
      <w:spacing w:after="623"/>
    </w:pPr>
    <w:rPr>
      <w:rFonts w:ascii="华文中宋" w:eastAsia="华文中宋" w:cs="华文中宋"/>
      <w:color w:val="auto"/>
      <w:kern w:val="0"/>
    </w:rPr>
  </w:style>
  <w:style w:type="paragraph" w:customStyle="1" w:styleId="CM10">
    <w:name w:val="CM10"/>
    <w:basedOn w:val="Default"/>
    <w:next w:val="Default"/>
    <w:qFormat/>
    <w:pPr>
      <w:spacing w:after="553"/>
    </w:pPr>
    <w:rPr>
      <w:rFonts w:ascii="华文中宋" w:eastAsia="华文中宋" w:cs="华文中宋"/>
      <w:color w:val="auto"/>
      <w:kern w:val="0"/>
    </w:rPr>
  </w:style>
  <w:style w:type="paragraph" w:customStyle="1" w:styleId="CM9">
    <w:name w:val="CM9"/>
    <w:basedOn w:val="Default"/>
    <w:next w:val="Default"/>
    <w:qFormat/>
    <w:pPr>
      <w:spacing w:after="623"/>
    </w:pPr>
    <w:rPr>
      <w:rFonts w:ascii="华文中宋" w:eastAsia="华文中宋" w:cs="华文中宋"/>
      <w:color w:val="auto"/>
      <w:kern w:val="0"/>
    </w:rPr>
  </w:style>
  <w:style w:type="paragraph" w:customStyle="1" w:styleId="xl27">
    <w:name w:val="xl27"/>
    <w:basedOn w:val="a0"/>
    <w:uiPriority w:val="99"/>
    <w:qFormat/>
    <w:pPr>
      <w:spacing w:before="100" w:beforeAutospacing="1" w:after="100" w:afterAutospacing="1"/>
      <w:jc w:val="center"/>
    </w:pPr>
    <w:rPr>
      <w:rFonts w:ascii="楷体_GB2312" w:eastAsia="楷体_GB2312" w:hAnsi="Arial Unicode MS" w:cs="Times New Roman" w:hint="eastAsia"/>
    </w:rPr>
  </w:style>
  <w:style w:type="paragraph" w:customStyle="1" w:styleId="Affffff8">
    <w:name w:val="ÐòºÅA"/>
    <w:basedOn w:val="a0"/>
    <w:qFormat/>
    <w:pPr>
      <w:tabs>
        <w:tab w:val="left" w:pos="595"/>
        <w:tab w:val="center" w:pos="2245"/>
        <w:tab w:val="center" w:pos="6497"/>
      </w:tabs>
      <w:overflowPunct w:val="0"/>
      <w:autoSpaceDE w:val="0"/>
      <w:autoSpaceDN w:val="0"/>
      <w:adjustRightInd w:val="0"/>
      <w:spacing w:after="120" w:line="360" w:lineRule="auto"/>
      <w:ind w:left="-383"/>
      <w:jc w:val="both"/>
      <w:textAlignment w:val="baseline"/>
    </w:pPr>
    <w:rPr>
      <w:rFonts w:ascii="Times New Roman" w:hAnsi="Times New Roman" w:cs="Times New Roman"/>
      <w:szCs w:val="20"/>
    </w:rPr>
  </w:style>
  <w:style w:type="table" w:customStyle="1" w:styleId="3f9">
    <w:name w:val="网格型3"/>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a0"/>
    <w:uiPriority w:val="99"/>
    <w:qFormat/>
    <w:pPr>
      <w:spacing w:after="160" w:line="240" w:lineRule="exact"/>
    </w:pPr>
    <w:rPr>
      <w:rFonts w:ascii="Arial" w:eastAsia="Times New Roman" w:hAnsi="Arial" w:cs="Verdana"/>
      <w:b/>
      <w:szCs w:val="20"/>
      <w:lang w:eastAsia="en-US"/>
    </w:rPr>
  </w:style>
  <w:style w:type="paragraph" w:customStyle="1" w:styleId="CharCharCharCharCharChar1CharCharChar">
    <w:name w:val="Char Char Char Char Char Char1 Char Char Char"/>
    <w:basedOn w:val="a0"/>
    <w:uiPriority w:val="99"/>
    <w:qFormat/>
    <w:pPr>
      <w:widowControl w:val="0"/>
      <w:autoSpaceDE w:val="0"/>
      <w:autoSpaceDN w:val="0"/>
      <w:adjustRightInd w:val="0"/>
      <w:textAlignment w:val="baseline"/>
    </w:pPr>
    <w:rPr>
      <w:rFonts w:ascii="Times New Roman" w:eastAsia="方正仿宋简体" w:hAnsi="Times New Roman" w:cs="Times New Roman"/>
      <w:kern w:val="2"/>
      <w:sz w:val="32"/>
      <w:szCs w:val="20"/>
    </w:rPr>
  </w:style>
  <w:style w:type="paragraph" w:customStyle="1" w:styleId="CharCharCharCharCharChar1CharCharChar1">
    <w:name w:val="Char Char Char Char Char Char1 Char Char Char1"/>
    <w:basedOn w:val="a0"/>
    <w:uiPriority w:val="99"/>
    <w:qFormat/>
    <w:pPr>
      <w:widowControl w:val="0"/>
      <w:autoSpaceDE w:val="0"/>
      <w:autoSpaceDN w:val="0"/>
      <w:textAlignment w:val="baseline"/>
    </w:pPr>
    <w:rPr>
      <w:rFonts w:ascii="Times New Roman" w:hAnsi="Times New Roman" w:cs="Times New Roman"/>
      <w:kern w:val="2"/>
      <w:sz w:val="21"/>
      <w:szCs w:val="20"/>
    </w:rPr>
  </w:style>
  <w:style w:type="paragraph" w:customStyle="1" w:styleId="affffff9">
    <w:name w:val="正文的样式"/>
    <w:basedOn w:val="a0"/>
    <w:qFormat/>
    <w:pPr>
      <w:widowControl w:val="0"/>
      <w:spacing w:after="100"/>
    </w:pPr>
    <w:rPr>
      <w:rFonts w:cs="Times New Roman"/>
      <w:kern w:val="2"/>
      <w:sz w:val="20"/>
      <w:szCs w:val="20"/>
    </w:rPr>
  </w:style>
  <w:style w:type="paragraph" w:customStyle="1" w:styleId="3fa">
    <w:name w:val="立信附注正文 [3级]"/>
    <w:link w:val="3Char1"/>
    <w:qFormat/>
    <w:pPr>
      <w:widowControl w:val="0"/>
      <w:tabs>
        <w:tab w:val="left" w:pos="0"/>
      </w:tabs>
      <w:adjustRightInd w:val="0"/>
      <w:snapToGrid w:val="0"/>
      <w:spacing w:line="400" w:lineRule="atLeast"/>
      <w:ind w:left="1276"/>
    </w:pPr>
    <w:rPr>
      <w:color w:val="000000"/>
      <w:kern w:val="2"/>
      <w:sz w:val="21"/>
      <w:szCs w:val="21"/>
    </w:rPr>
  </w:style>
  <w:style w:type="character" w:customStyle="1" w:styleId="3Char1">
    <w:name w:val="立信附注正文 [3级] Char"/>
    <w:link w:val="3fa"/>
    <w:qFormat/>
    <w:rPr>
      <w:rFonts w:ascii="Times New Roman" w:eastAsia="宋体" w:hAnsi="Times New Roman" w:cs="Times New Roman"/>
      <w:color w:val="000000"/>
      <w:szCs w:val="21"/>
    </w:rPr>
  </w:style>
  <w:style w:type="paragraph" w:customStyle="1" w:styleId="2ff1">
    <w:name w:val="立信附注正文 [2级]"/>
    <w:link w:val="2Char4"/>
    <w:qFormat/>
    <w:pPr>
      <w:widowControl w:val="0"/>
      <w:tabs>
        <w:tab w:val="left" w:pos="0"/>
      </w:tabs>
      <w:adjustRightInd w:val="0"/>
      <w:snapToGrid w:val="0"/>
      <w:spacing w:line="400" w:lineRule="atLeast"/>
      <w:ind w:left="714"/>
    </w:pPr>
    <w:rPr>
      <w:color w:val="000000"/>
      <w:kern w:val="2"/>
      <w:sz w:val="21"/>
      <w:szCs w:val="21"/>
    </w:rPr>
  </w:style>
  <w:style w:type="character" w:customStyle="1" w:styleId="2Char4">
    <w:name w:val="立信附注正文 [2级] Char"/>
    <w:link w:val="2ff1"/>
    <w:qFormat/>
    <w:rPr>
      <w:rFonts w:ascii="Times New Roman" w:eastAsia="宋体" w:hAnsi="Times New Roman" w:cs="Times New Roman"/>
      <w:color w:val="000000"/>
      <w:szCs w:val="21"/>
    </w:rPr>
  </w:style>
  <w:style w:type="paragraph" w:customStyle="1" w:styleId="3fb">
    <w:name w:val="样式3"/>
    <w:basedOn w:val="a0"/>
    <w:link w:val="3Char2"/>
    <w:qFormat/>
    <w:pPr>
      <w:spacing w:line="360" w:lineRule="auto"/>
      <w:ind w:firstLineChars="208" w:firstLine="437"/>
      <w:jc w:val="both"/>
    </w:pPr>
    <w:rPr>
      <w:rFonts w:ascii="Times New Roman" w:hAnsi="Times New Roman" w:cs="Times New Roman"/>
      <w:bCs/>
      <w:sz w:val="21"/>
      <w:szCs w:val="20"/>
    </w:rPr>
  </w:style>
  <w:style w:type="table" w:customStyle="1" w:styleId="4f2">
    <w:name w:val="网格型4"/>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网格型5"/>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7">
    <w:name w:val="页眉 字符1"/>
    <w:uiPriority w:val="99"/>
    <w:qFormat/>
    <w:rPr>
      <w:sz w:val="18"/>
      <w:szCs w:val="18"/>
    </w:rPr>
  </w:style>
  <w:style w:type="character" w:customStyle="1" w:styleId="1f8">
    <w:name w:val="页脚 字符1"/>
    <w:uiPriority w:val="99"/>
    <w:qFormat/>
    <w:rPr>
      <w:sz w:val="18"/>
      <w:szCs w:val="18"/>
    </w:rPr>
  </w:style>
  <w:style w:type="character" w:customStyle="1" w:styleId="1f9">
    <w:name w:val="正文文本首行缩进 字符1"/>
    <w:uiPriority w:val="99"/>
    <w:qFormat/>
    <w:rPr>
      <w:rFonts w:ascii="Calibri" w:eastAsia="等线" w:hAnsi="Calibri" w:cs="Times New Roman"/>
    </w:rPr>
  </w:style>
  <w:style w:type="character" w:customStyle="1" w:styleId="1214">
    <w:name w:val="未处理的提及121"/>
    <w:uiPriority w:val="99"/>
    <w:unhideWhenUsed/>
    <w:qFormat/>
    <w:rPr>
      <w:color w:val="605E5C"/>
      <w:shd w:val="clear" w:color="auto" w:fill="E1DFDD"/>
    </w:rPr>
  </w:style>
  <w:style w:type="character" w:customStyle="1" w:styleId="1fa">
    <w:name w:val="尾注文本 字符1"/>
    <w:uiPriority w:val="99"/>
    <w:qFormat/>
    <w:rPr>
      <w:rFonts w:ascii="等线" w:eastAsia="等线" w:hAnsi="等线" w:cs="Times New Roman"/>
      <w:szCs w:val="21"/>
    </w:rPr>
  </w:style>
  <w:style w:type="character" w:customStyle="1" w:styleId="affffffa">
    <w:name w:val="列表段落 字符"/>
    <w:qFormat/>
    <w:rPr>
      <w:rFonts w:ascii="等线" w:eastAsia="等线" w:hAnsi="等线" w:cs="Times New Roman"/>
      <w:szCs w:val="21"/>
    </w:rPr>
  </w:style>
  <w:style w:type="character" w:customStyle="1" w:styleId="Charfd">
    <w:name w:val="副标题 Char"/>
    <w:qFormat/>
    <w:rPr>
      <w:rFonts w:ascii="Calibri Light" w:eastAsia="宋体" w:hAnsi="Calibri Light" w:cs="Times New Roman"/>
      <w:b/>
      <w:bCs/>
      <w:kern w:val="28"/>
      <w:sz w:val="32"/>
      <w:szCs w:val="32"/>
    </w:rPr>
  </w:style>
  <w:style w:type="character" w:customStyle="1" w:styleId="3fc">
    <w:name w:val="页眉 字符3"/>
    <w:uiPriority w:val="99"/>
    <w:qFormat/>
    <w:rPr>
      <w:sz w:val="18"/>
      <w:szCs w:val="18"/>
    </w:rPr>
  </w:style>
  <w:style w:type="paragraph" w:customStyle="1" w:styleId="KWBodytext">
    <w:name w:val="K&amp;W Body text"/>
    <w:basedOn w:val="a0"/>
    <w:link w:val="KWBodytextChar"/>
    <w:qFormat/>
    <w:pPr>
      <w:adjustRightInd w:val="0"/>
      <w:spacing w:after="280" w:line="240" w:lineRule="atLeast"/>
      <w:jc w:val="both"/>
      <w:textAlignment w:val="baseline"/>
    </w:pPr>
    <w:rPr>
      <w:rFonts w:ascii="Arial" w:eastAsia="楷体_GB2312" w:hAnsi="Arial" w:cs="Times New Roman"/>
      <w:sz w:val="20"/>
      <w:szCs w:val="20"/>
      <w:lang w:eastAsia="en-US"/>
    </w:rPr>
  </w:style>
  <w:style w:type="character" w:customStyle="1" w:styleId="KWBodytextChar">
    <w:name w:val="K&amp;W Body text Char"/>
    <w:link w:val="KWBodytext"/>
    <w:qFormat/>
    <w:rPr>
      <w:rFonts w:ascii="Arial" w:eastAsia="楷体_GB2312" w:hAnsi="Arial" w:cs="Times New Roman"/>
      <w:kern w:val="0"/>
      <w:sz w:val="20"/>
      <w:szCs w:val="20"/>
      <w:lang w:eastAsia="en-US"/>
    </w:rPr>
  </w:style>
  <w:style w:type="paragraph" w:customStyle="1" w:styleId="3fd">
    <w:name w:val="列出段落3"/>
    <w:basedOn w:val="a0"/>
    <w:unhideWhenUsed/>
    <w:qFormat/>
    <w:pPr>
      <w:widowControl w:val="0"/>
      <w:ind w:firstLineChars="200" w:firstLine="420"/>
      <w:jc w:val="both"/>
    </w:pPr>
    <w:rPr>
      <w:rFonts w:ascii="Times New Roman" w:hAnsi="Times New Roman" w:cs="Times New Roman"/>
      <w:kern w:val="2"/>
      <w:sz w:val="21"/>
    </w:rPr>
  </w:style>
  <w:style w:type="table" w:customStyle="1" w:styleId="313">
    <w:name w:val="网格型31"/>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列表段落1"/>
    <w:basedOn w:val="a0"/>
    <w:uiPriority w:val="34"/>
    <w:qFormat/>
    <w:pPr>
      <w:widowControl w:val="0"/>
      <w:ind w:firstLineChars="200" w:firstLine="420"/>
      <w:jc w:val="both"/>
    </w:pPr>
    <w:rPr>
      <w:rFonts w:ascii="等线" w:eastAsia="等线" w:hAnsi="等线" w:cs="Times New Roman"/>
      <w:kern w:val="2"/>
      <w:sz w:val="21"/>
      <w:szCs w:val="22"/>
    </w:rPr>
  </w:style>
  <w:style w:type="table" w:customStyle="1" w:styleId="65">
    <w:name w:val="网格型6"/>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3">
    <w:name w:val="列出段落 Char1"/>
    <w:uiPriority w:val="34"/>
    <w:qFormat/>
    <w:locked/>
    <w:rPr>
      <w:kern w:val="2"/>
      <w:sz w:val="21"/>
      <w:szCs w:val="24"/>
    </w:rPr>
  </w:style>
  <w:style w:type="character" w:customStyle="1" w:styleId="35">
    <w:name w:val="正文文本 3 字符"/>
    <w:basedOn w:val="a2"/>
    <w:link w:val="34"/>
    <w:qFormat/>
    <w:rPr>
      <w:rFonts w:ascii="Times New Roman" w:eastAsia="宋体" w:hAnsi="Times New Roman" w:cs="Times New Roman"/>
      <w:kern w:val="0"/>
      <w:sz w:val="16"/>
      <w:szCs w:val="20"/>
    </w:rPr>
  </w:style>
  <w:style w:type="character" w:customStyle="1" w:styleId="affe">
    <w:name w:val="签名 字符"/>
    <w:basedOn w:val="a2"/>
    <w:link w:val="affd"/>
    <w:qFormat/>
    <w:rPr>
      <w:rFonts w:ascii="Times New Roman" w:eastAsia="宋体" w:hAnsi="Times New Roman" w:cs="Times New Roman"/>
      <w:szCs w:val="24"/>
    </w:rPr>
  </w:style>
  <w:style w:type="character" w:customStyle="1" w:styleId="38">
    <w:name w:val="正文文本缩进 3 字符"/>
    <w:basedOn w:val="a2"/>
    <w:link w:val="37"/>
    <w:qFormat/>
    <w:rPr>
      <w:rFonts w:ascii="宋体" w:eastAsia="宋体" w:hAnsi="Times New Roman" w:cs="Times New Roman"/>
      <w:b/>
      <w:sz w:val="32"/>
      <w:szCs w:val="20"/>
    </w:rPr>
  </w:style>
  <w:style w:type="character" w:customStyle="1" w:styleId="afffb">
    <w:name w:val="标题 字符"/>
    <w:basedOn w:val="a2"/>
    <w:link w:val="afffa"/>
    <w:qFormat/>
    <w:rPr>
      <w:rFonts w:ascii="Arial" w:eastAsia="宋体" w:hAnsi="Arial" w:cs="Arial"/>
      <w:b/>
      <w:bCs/>
      <w:sz w:val="32"/>
      <w:szCs w:val="32"/>
      <w:shd w:val="clear" w:color="auto" w:fill="000080"/>
    </w:rPr>
  </w:style>
  <w:style w:type="paragraph" w:customStyle="1" w:styleId="PlainText1">
    <w:name w:val="Plain Text1"/>
    <w:basedOn w:val="a0"/>
    <w:uiPriority w:val="99"/>
    <w:qFormat/>
    <w:pPr>
      <w:widowControl w:val="0"/>
      <w:autoSpaceDE w:val="0"/>
      <w:autoSpaceDN w:val="0"/>
      <w:adjustRightInd w:val="0"/>
      <w:jc w:val="both"/>
      <w:textAlignment w:val="baseline"/>
    </w:pPr>
    <w:rPr>
      <w:rFonts w:hAnsi="Times New Roman" w:cs="Times New Roman"/>
      <w:kern w:val="2"/>
      <w:sz w:val="21"/>
      <w:szCs w:val="21"/>
    </w:rPr>
  </w:style>
  <w:style w:type="paragraph" w:customStyle="1" w:styleId="zw0">
    <w:name w:val="zw"/>
    <w:basedOn w:val="a0"/>
    <w:link w:val="zwChar0"/>
    <w:qFormat/>
    <w:pPr>
      <w:widowControl w:val="0"/>
      <w:adjustRightInd w:val="0"/>
      <w:spacing w:line="360" w:lineRule="auto"/>
      <w:ind w:firstLine="482"/>
      <w:jc w:val="both"/>
      <w:textAlignment w:val="baseline"/>
    </w:pPr>
    <w:rPr>
      <w:rFonts w:ascii="Arial Narrow" w:eastAsia="楷体_GB2312" w:hAnsi="Arial Narrow" w:cs="Times New Roman"/>
      <w:szCs w:val="20"/>
    </w:rPr>
  </w:style>
  <w:style w:type="paragraph" w:customStyle="1" w:styleId="yu">
    <w:name w:val="正文yu"/>
    <w:basedOn w:val="34"/>
    <w:uiPriority w:val="99"/>
    <w:qFormat/>
    <w:pPr>
      <w:widowControl w:val="0"/>
      <w:adjustRightInd w:val="0"/>
      <w:snapToGrid w:val="0"/>
      <w:spacing w:after="0" w:line="360" w:lineRule="auto"/>
      <w:ind w:firstLineChars="200" w:firstLine="560"/>
      <w:jc w:val="both"/>
    </w:pPr>
    <w:rPr>
      <w:rFonts w:eastAsia="黑体"/>
      <w:kern w:val="2"/>
      <w:sz w:val="28"/>
      <w:szCs w:val="28"/>
    </w:rPr>
  </w:style>
  <w:style w:type="paragraph" w:customStyle="1" w:styleId="Enclosure">
    <w:name w:val="Enclosure"/>
    <w:basedOn w:val="ac"/>
    <w:next w:val="a0"/>
    <w:uiPriority w:val="99"/>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lang w:val="en-US"/>
    </w:rPr>
  </w:style>
  <w:style w:type="paragraph" w:customStyle="1" w:styleId="affffffb">
    <w:name w:val="大标题"/>
    <w:basedOn w:val="ac"/>
    <w:uiPriority w:val="99"/>
    <w:qFormat/>
    <w:pPr>
      <w:spacing w:after="0" w:line="360" w:lineRule="auto"/>
      <w:outlineLvl w:val="0"/>
    </w:pPr>
    <w:rPr>
      <w:rFonts w:ascii="仿宋_GB2312" w:eastAsia="仿宋_GB2312"/>
      <w:b/>
      <w:sz w:val="24"/>
      <w:szCs w:val="20"/>
      <w:lang w:val="en-US"/>
    </w:rPr>
  </w:style>
  <w:style w:type="paragraph" w:customStyle="1" w:styleId="xl35">
    <w:name w:val="xl35"/>
    <w:basedOn w:val="a0"/>
    <w:uiPriority w:val="99"/>
    <w:qFormat/>
    <w:pPr>
      <w:pBdr>
        <w:left w:val="single" w:sz="4" w:space="0" w:color="auto"/>
        <w:bottom w:val="single" w:sz="4" w:space="0" w:color="auto"/>
        <w:right w:val="single" w:sz="4" w:space="0" w:color="auto"/>
      </w:pBdr>
      <w:spacing w:before="100" w:after="100"/>
      <w:jc w:val="both"/>
      <w:textAlignment w:val="center"/>
    </w:pPr>
    <w:rPr>
      <w:rFonts w:cs="Times New Roman"/>
      <w:sz w:val="18"/>
      <w:szCs w:val="20"/>
    </w:rPr>
  </w:style>
  <w:style w:type="paragraph" w:customStyle="1" w:styleId="1fc">
    <w:name w:val="纯文本1"/>
    <w:basedOn w:val="a0"/>
    <w:uiPriority w:val="99"/>
    <w:qFormat/>
    <w:pPr>
      <w:widowControl w:val="0"/>
      <w:adjustRightInd w:val="0"/>
      <w:jc w:val="both"/>
      <w:textAlignment w:val="baseline"/>
    </w:pPr>
    <w:rPr>
      <w:rFonts w:hAnsi="Times New Roman" w:cs="Times New Roman"/>
      <w:sz w:val="21"/>
      <w:szCs w:val="20"/>
    </w:rPr>
  </w:style>
  <w:style w:type="paragraph" w:customStyle="1" w:styleId="font8">
    <w:name w:val="font8"/>
    <w:basedOn w:val="a0"/>
    <w:qFormat/>
    <w:pPr>
      <w:spacing w:before="100" w:beforeAutospacing="1" w:after="100" w:afterAutospacing="1"/>
    </w:pPr>
    <w:rPr>
      <w:rFonts w:cs="Arial Unicode MS" w:hint="eastAsia"/>
      <w:b/>
      <w:bCs/>
      <w:color w:val="000000"/>
      <w:sz w:val="18"/>
      <w:szCs w:val="18"/>
    </w:rPr>
  </w:style>
  <w:style w:type="paragraph" w:customStyle="1" w:styleId="font9">
    <w:name w:val="font9"/>
    <w:basedOn w:val="a0"/>
    <w:qFormat/>
    <w:pPr>
      <w:spacing w:before="100" w:beforeAutospacing="1" w:after="100" w:afterAutospacing="1"/>
    </w:pPr>
    <w:rPr>
      <w:rFonts w:cs="Arial Unicode MS" w:hint="eastAsia"/>
      <w:color w:val="000000"/>
      <w:sz w:val="18"/>
      <w:szCs w:val="18"/>
    </w:rPr>
  </w:style>
  <w:style w:type="paragraph" w:customStyle="1" w:styleId="xl47">
    <w:name w:val="xl47"/>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rPr>
  </w:style>
  <w:style w:type="paragraph" w:customStyle="1" w:styleId="xl48">
    <w:name w:val="xl48"/>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sz w:val="20"/>
      <w:szCs w:val="20"/>
    </w:rPr>
  </w:style>
  <w:style w:type="paragraph" w:customStyle="1" w:styleId="xl49">
    <w:name w:val="xl49"/>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0">
    <w:name w:val="xl50"/>
    <w:basedOn w:val="a0"/>
    <w:uiPriority w:val="99"/>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sz w:val="20"/>
      <w:szCs w:val="20"/>
    </w:rPr>
  </w:style>
  <w:style w:type="paragraph" w:customStyle="1" w:styleId="xl51">
    <w:name w:val="xl51"/>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sz w:val="18"/>
      <w:szCs w:val="18"/>
    </w:rPr>
  </w:style>
  <w:style w:type="paragraph" w:customStyle="1" w:styleId="xl52">
    <w:name w:val="xl52"/>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21"/>
      <w:szCs w:val="21"/>
    </w:rPr>
  </w:style>
  <w:style w:type="paragraph" w:customStyle="1" w:styleId="xl53">
    <w:name w:val="xl53"/>
    <w:basedOn w:val="a0"/>
    <w:uiPriority w:val="99"/>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仿宋_GB2312" w:eastAsia="仿宋_GB2312" w:hAnsi="Arial Unicode MS" w:cs="Arial Unicode MS" w:hint="eastAsia"/>
      <w:sz w:val="18"/>
      <w:szCs w:val="18"/>
    </w:rPr>
  </w:style>
  <w:style w:type="paragraph" w:customStyle="1" w:styleId="xl54">
    <w:name w:val="xl54"/>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20"/>
      <w:szCs w:val="20"/>
    </w:rPr>
  </w:style>
  <w:style w:type="paragraph" w:customStyle="1" w:styleId="xl55">
    <w:name w:val="xl55"/>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Arial Unicode MS" w:cs="Arial Unicode MS" w:hint="eastAsia"/>
      <w:sz w:val="18"/>
      <w:szCs w:val="18"/>
    </w:rPr>
  </w:style>
  <w:style w:type="paragraph" w:customStyle="1" w:styleId="xl56">
    <w:name w:val="xl56"/>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Arial Unicode MS" w:cs="Arial Unicode MS" w:hint="eastAsia"/>
      <w:sz w:val="20"/>
      <w:szCs w:val="20"/>
    </w:rPr>
  </w:style>
  <w:style w:type="paragraph" w:customStyle="1" w:styleId="xl57">
    <w:name w:val="xl57"/>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8">
    <w:name w:val="xl58"/>
    <w:basedOn w:val="a0"/>
    <w:uiPriority w:val="99"/>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sz w:val="18"/>
      <w:szCs w:val="18"/>
    </w:rPr>
  </w:style>
  <w:style w:type="paragraph" w:customStyle="1" w:styleId="xl59">
    <w:name w:val="xl59"/>
    <w:basedOn w:val="a0"/>
    <w:uiPriority w:val="99"/>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Arial Unicode MS" w:hAnsi="Times New Roman" w:cs="Times New Roman"/>
      <w:sz w:val="20"/>
      <w:szCs w:val="20"/>
    </w:rPr>
  </w:style>
  <w:style w:type="paragraph" w:customStyle="1" w:styleId="xl60">
    <w:name w:val="xl60"/>
    <w:basedOn w:val="a0"/>
    <w:uiPriority w:val="99"/>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61">
    <w:name w:val="xl61"/>
    <w:basedOn w:val="a0"/>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62">
    <w:name w:val="xl62"/>
    <w:basedOn w:val="a0"/>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18"/>
      <w:szCs w:val="18"/>
    </w:rPr>
  </w:style>
  <w:style w:type="paragraph" w:customStyle="1" w:styleId="xl63">
    <w:name w:val="xl63"/>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64">
    <w:name w:val="xl6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0"/>
      <w:szCs w:val="20"/>
    </w:rPr>
  </w:style>
  <w:style w:type="paragraph" w:customStyle="1" w:styleId="xl65">
    <w:name w:val="xl6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rPr>
  </w:style>
  <w:style w:type="paragraph" w:customStyle="1" w:styleId="xl66">
    <w:name w:val="xl6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rPr>
  </w:style>
  <w:style w:type="paragraph" w:customStyle="1" w:styleId="xl67">
    <w:name w:val="xl6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eastAsia="Arial Unicode MS" w:hAnsi="MS Sans Serif" w:cs="Arial Unicode MS"/>
      <w:sz w:val="20"/>
      <w:szCs w:val="20"/>
    </w:rPr>
  </w:style>
  <w:style w:type="paragraph" w:customStyle="1" w:styleId="fig">
    <w:name w:val="fig"/>
    <w:basedOn w:val="a0"/>
    <w:uiPriority w:val="99"/>
    <w:qFormat/>
    <w:pPr>
      <w:widowControl w:val="0"/>
      <w:adjustRightInd w:val="0"/>
      <w:spacing w:before="120" w:after="240" w:line="360" w:lineRule="atLeast"/>
      <w:jc w:val="center"/>
      <w:textAlignment w:val="baseline"/>
    </w:pPr>
    <w:rPr>
      <w:rFonts w:ascii="黑体" w:eastAsia="黑体" w:hAnsi="Times New Roman" w:cs="Times New Roman"/>
    </w:rPr>
  </w:style>
  <w:style w:type="paragraph" w:customStyle="1" w:styleId="affffffc">
    <w:name w:val="杨"/>
    <w:basedOn w:val="zw0"/>
    <w:uiPriority w:val="99"/>
    <w:qFormat/>
    <w:pPr>
      <w:spacing w:before="60" w:after="60" w:line="380" w:lineRule="atLeast"/>
    </w:pPr>
    <w:rPr>
      <w:rFonts w:eastAsia="宋体"/>
    </w:rPr>
  </w:style>
  <w:style w:type="paragraph" w:customStyle="1" w:styleId="1fd">
    <w:name w:val="样式1"/>
    <w:basedOn w:val="a0"/>
    <w:link w:val="1CharChar"/>
    <w:qFormat/>
    <w:pPr>
      <w:widowControl w:val="0"/>
      <w:jc w:val="both"/>
    </w:pPr>
    <w:rPr>
      <w:rFonts w:ascii="Times New Roman" w:hAnsi="Times New Roman" w:cs="Times New Roman"/>
      <w:kern w:val="2"/>
      <w:sz w:val="21"/>
      <w:szCs w:val="20"/>
    </w:rPr>
  </w:style>
  <w:style w:type="paragraph" w:customStyle="1" w:styleId="XBT">
    <w:name w:val="XBT"/>
    <w:basedOn w:val="a0"/>
    <w:uiPriority w:val="99"/>
    <w:qFormat/>
    <w:pPr>
      <w:widowControl w:val="0"/>
      <w:adjustRightInd w:val="0"/>
      <w:spacing w:before="360" w:after="240" w:line="440" w:lineRule="atLeast"/>
      <w:ind w:firstLine="482"/>
      <w:jc w:val="both"/>
      <w:textAlignment w:val="baseline"/>
    </w:pPr>
    <w:rPr>
      <w:rFonts w:ascii="Arial Narrow" w:eastAsia="黑体" w:hAnsi="Arial Narrow" w:cs="Times New Roman"/>
      <w:b/>
      <w:szCs w:val="20"/>
    </w:rPr>
  </w:style>
  <w:style w:type="paragraph" w:customStyle="1" w:styleId="b12">
    <w:name w:val="b12"/>
    <w:basedOn w:val="a0"/>
    <w:uiPriority w:val="99"/>
    <w:qFormat/>
    <w:pPr>
      <w:spacing w:before="100" w:beforeAutospacing="1" w:after="100" w:afterAutospacing="1"/>
    </w:pPr>
    <w:rPr>
      <w:rFonts w:cs="Times New Roman"/>
      <w:b/>
      <w:bCs/>
      <w:color w:val="000000"/>
      <w:sz w:val="18"/>
      <w:szCs w:val="18"/>
    </w:rPr>
  </w:style>
  <w:style w:type="paragraph" w:customStyle="1" w:styleId="b15">
    <w:name w:val="b15"/>
    <w:basedOn w:val="a0"/>
    <w:uiPriority w:val="99"/>
    <w:qFormat/>
    <w:pPr>
      <w:spacing w:before="100" w:beforeAutospacing="1" w:after="100" w:afterAutospacing="1"/>
    </w:pPr>
    <w:rPr>
      <w:rFonts w:cs="Times New Roman"/>
      <w:b/>
      <w:bCs/>
      <w:color w:val="000000"/>
      <w:sz w:val="23"/>
      <w:szCs w:val="23"/>
    </w:rPr>
  </w:style>
  <w:style w:type="paragraph" w:customStyle="1" w:styleId="xl34">
    <w:name w:val="xl34"/>
    <w:basedOn w:val="a0"/>
    <w:uiPriority w:val="99"/>
    <w:qFormat/>
    <w:pPr>
      <w:pBdr>
        <w:bottom w:val="single" w:sz="4" w:space="0" w:color="auto"/>
        <w:right w:val="single" w:sz="4" w:space="0" w:color="auto"/>
      </w:pBdr>
      <w:spacing w:before="100" w:beforeAutospacing="1" w:after="100" w:afterAutospacing="1"/>
      <w:jc w:val="right"/>
    </w:pPr>
    <w:rPr>
      <w:rFonts w:ascii="Times New Roman" w:hAnsi="Times New Roman" w:cs="Times New Roman"/>
      <w:sz w:val="18"/>
      <w:szCs w:val="18"/>
    </w:rPr>
  </w:style>
  <w:style w:type="paragraph" w:customStyle="1" w:styleId="xl31">
    <w:name w:val="xl31"/>
    <w:basedOn w:val="a0"/>
    <w:uiPriority w:val="99"/>
    <w:qFormat/>
    <w:pPr>
      <w:pBdr>
        <w:bottom w:val="single" w:sz="4" w:space="0" w:color="auto"/>
        <w:right w:val="single" w:sz="4" w:space="0" w:color="auto"/>
      </w:pBdr>
      <w:spacing w:before="100" w:beforeAutospacing="1" w:after="100" w:afterAutospacing="1"/>
      <w:jc w:val="right"/>
    </w:pPr>
    <w:rPr>
      <w:rFonts w:ascii="Times New Roman" w:hAnsi="Times New Roman" w:cs="Times New Roman"/>
      <w:sz w:val="18"/>
      <w:szCs w:val="18"/>
    </w:rPr>
  </w:style>
  <w:style w:type="paragraph" w:customStyle="1" w:styleId="GX">
    <w:name w:val="GX.正文"/>
    <w:basedOn w:val="a0"/>
    <w:link w:val="GXChar"/>
    <w:qFormat/>
    <w:pPr>
      <w:widowControl w:val="0"/>
      <w:spacing w:line="360" w:lineRule="auto"/>
      <w:ind w:firstLineChars="200" w:firstLine="200"/>
      <w:jc w:val="both"/>
    </w:pPr>
    <w:rPr>
      <w:rFonts w:ascii="Times New Roman" w:eastAsia="仿宋_GB2312" w:hAnsi="Times New Roman" w:cs="Times New Roman"/>
      <w:kern w:val="2"/>
    </w:rPr>
  </w:style>
  <w:style w:type="character" w:customStyle="1" w:styleId="GXChar">
    <w:name w:val="GX.正文 Char"/>
    <w:link w:val="GX"/>
    <w:qFormat/>
    <w:rPr>
      <w:rFonts w:ascii="Times New Roman" w:eastAsia="仿宋_GB2312" w:hAnsi="Times New Roman" w:cs="Times New Roman"/>
      <w:sz w:val="24"/>
      <w:szCs w:val="24"/>
    </w:rPr>
  </w:style>
  <w:style w:type="paragraph" w:customStyle="1" w:styleId="affffffd">
    <w:name w:val="正"/>
    <w:basedOn w:val="a0"/>
    <w:uiPriority w:val="99"/>
    <w:qFormat/>
    <w:pPr>
      <w:autoSpaceDE w:val="0"/>
      <w:autoSpaceDN w:val="0"/>
      <w:adjustRightInd w:val="0"/>
      <w:spacing w:line="360" w:lineRule="auto"/>
      <w:ind w:firstLine="510"/>
      <w:jc w:val="both"/>
      <w:textAlignment w:val="bottom"/>
    </w:pPr>
    <w:rPr>
      <w:rFonts w:ascii="Times New Roman" w:hAnsi="Times New Roman" w:cs="Times New Roman"/>
      <w:szCs w:val="20"/>
    </w:rPr>
  </w:style>
  <w:style w:type="paragraph" w:customStyle="1" w:styleId="affffffe">
    <w:name w:val="附 注"/>
    <w:basedOn w:val="ae"/>
    <w:uiPriority w:val="99"/>
    <w:qFormat/>
    <w:pPr>
      <w:tabs>
        <w:tab w:val="left" w:pos="920"/>
      </w:tabs>
      <w:spacing w:after="60" w:line="440" w:lineRule="atLeast"/>
      <w:ind w:firstLine="624"/>
    </w:pPr>
    <w:rPr>
      <w:rFonts w:ascii="Garamond" w:hAnsi="Garamond"/>
      <w:sz w:val="28"/>
    </w:rPr>
  </w:style>
  <w:style w:type="paragraph" w:customStyle="1" w:styleId="xl24">
    <w:name w:val="xl24"/>
    <w:basedOn w:val="a0"/>
    <w:uiPriority w:val="99"/>
    <w:qFormat/>
    <w:pPr>
      <w:pBdr>
        <w:top w:val="single" w:sz="4" w:space="0" w:color="000000"/>
        <w:left w:val="single" w:sz="4" w:space="0" w:color="000000"/>
        <w:bottom w:val="single" w:sz="4" w:space="0" w:color="auto"/>
        <w:right w:val="single" w:sz="8" w:space="0" w:color="000000"/>
      </w:pBdr>
      <w:shd w:val="clear" w:color="auto" w:fill="FFFFFF"/>
      <w:spacing w:before="100" w:beforeAutospacing="1" w:after="100" w:afterAutospacing="1"/>
      <w:jc w:val="center"/>
      <w:textAlignment w:val="center"/>
    </w:pPr>
    <w:rPr>
      <w:rFonts w:cs="Times New Roman"/>
      <w:color w:val="000000"/>
      <w:sz w:val="18"/>
      <w:szCs w:val="18"/>
    </w:rPr>
  </w:style>
  <w:style w:type="paragraph" w:customStyle="1" w:styleId="xl25">
    <w:name w:val="xl25"/>
    <w:basedOn w:val="a0"/>
    <w:uiPriority w:val="99"/>
    <w:qFormat/>
    <w:pPr>
      <w:pBdr>
        <w:top w:val="single" w:sz="4" w:space="0" w:color="auto"/>
        <w:left w:val="single" w:sz="8" w:space="0" w:color="000000"/>
        <w:bottom w:val="single" w:sz="4" w:space="0" w:color="808080"/>
        <w:right w:val="single" w:sz="4" w:space="0" w:color="808080"/>
      </w:pBdr>
      <w:spacing w:before="100" w:beforeAutospacing="1" w:after="100" w:afterAutospacing="1"/>
      <w:textAlignment w:val="center"/>
    </w:pPr>
    <w:rPr>
      <w:rFonts w:cs="Times New Roman"/>
      <w:color w:val="000000"/>
      <w:sz w:val="18"/>
      <w:szCs w:val="18"/>
    </w:rPr>
  </w:style>
  <w:style w:type="paragraph" w:customStyle="1" w:styleId="xl26">
    <w:name w:val="xl26"/>
    <w:basedOn w:val="a0"/>
    <w:uiPriority w:val="99"/>
    <w:qFormat/>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cs="Times New Roman"/>
      <w:color w:val="000000"/>
      <w:sz w:val="18"/>
      <w:szCs w:val="18"/>
    </w:rPr>
  </w:style>
  <w:style w:type="paragraph" w:customStyle="1" w:styleId="xl28">
    <w:name w:val="xl28"/>
    <w:basedOn w:val="a0"/>
    <w:uiPriority w:val="99"/>
    <w:qFormat/>
    <w:pPr>
      <w:pBdr>
        <w:top w:val="single" w:sz="4" w:space="0" w:color="auto"/>
        <w:left w:val="single" w:sz="4" w:space="0" w:color="808080"/>
        <w:bottom w:val="single" w:sz="4" w:space="0" w:color="808080"/>
        <w:right w:val="single" w:sz="8" w:space="0" w:color="000000"/>
      </w:pBdr>
      <w:spacing w:before="100" w:beforeAutospacing="1" w:after="100" w:afterAutospacing="1"/>
      <w:textAlignment w:val="center"/>
    </w:pPr>
    <w:rPr>
      <w:rFonts w:cs="Times New Roman"/>
      <w:color w:val="000000"/>
      <w:sz w:val="18"/>
      <w:szCs w:val="18"/>
    </w:rPr>
  </w:style>
  <w:style w:type="paragraph" w:customStyle="1" w:styleId="xl29">
    <w:name w:val="xl29"/>
    <w:basedOn w:val="a0"/>
    <w:uiPriority w:val="99"/>
    <w:qFormat/>
    <w:pPr>
      <w:pBdr>
        <w:top w:val="single" w:sz="4" w:space="0" w:color="808080"/>
        <w:left w:val="single" w:sz="8" w:space="0" w:color="000000"/>
        <w:bottom w:val="single" w:sz="4" w:space="0" w:color="808080"/>
        <w:right w:val="single" w:sz="4" w:space="0" w:color="808080"/>
      </w:pBdr>
      <w:spacing w:before="100" w:beforeAutospacing="1" w:after="100" w:afterAutospacing="1"/>
      <w:textAlignment w:val="center"/>
    </w:pPr>
    <w:rPr>
      <w:rFonts w:cs="Times New Roman"/>
      <w:color w:val="000000"/>
      <w:sz w:val="18"/>
      <w:szCs w:val="18"/>
    </w:rPr>
  </w:style>
  <w:style w:type="paragraph" w:customStyle="1" w:styleId="xl30">
    <w:name w:val="xl30"/>
    <w:basedOn w:val="a0"/>
    <w:uiPriority w:val="99"/>
    <w:qFormat/>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cs="Times New Roman"/>
      <w:color w:val="000000"/>
      <w:sz w:val="18"/>
      <w:szCs w:val="18"/>
    </w:rPr>
  </w:style>
  <w:style w:type="paragraph" w:customStyle="1" w:styleId="xl32">
    <w:name w:val="xl32"/>
    <w:basedOn w:val="a0"/>
    <w:uiPriority w:val="99"/>
    <w:qFormat/>
    <w:pPr>
      <w:pBdr>
        <w:top w:val="single" w:sz="4" w:space="0" w:color="808080"/>
        <w:left w:val="single" w:sz="4" w:space="0" w:color="808080"/>
        <w:bottom w:val="single" w:sz="4" w:space="0" w:color="808080"/>
        <w:right w:val="single" w:sz="8" w:space="0" w:color="000000"/>
      </w:pBdr>
      <w:spacing w:before="100" w:beforeAutospacing="1" w:after="100" w:afterAutospacing="1"/>
      <w:textAlignment w:val="center"/>
    </w:pPr>
    <w:rPr>
      <w:rFonts w:cs="Times New Roman"/>
      <w:color w:val="000000"/>
      <w:sz w:val="18"/>
      <w:szCs w:val="18"/>
    </w:rPr>
  </w:style>
  <w:style w:type="paragraph" w:customStyle="1" w:styleId="xl33">
    <w:name w:val="xl33"/>
    <w:basedOn w:val="a0"/>
    <w:uiPriority w:val="99"/>
    <w:qFormat/>
    <w:pPr>
      <w:pBdr>
        <w:top w:val="single" w:sz="8" w:space="0" w:color="000000"/>
        <w:left w:val="single" w:sz="8" w:space="0" w:color="000000"/>
        <w:right w:val="single" w:sz="4" w:space="0" w:color="000000"/>
      </w:pBdr>
      <w:shd w:val="clear" w:color="auto" w:fill="FFFFFF"/>
      <w:spacing w:before="100" w:beforeAutospacing="1" w:after="100" w:afterAutospacing="1"/>
      <w:jc w:val="center"/>
      <w:textAlignment w:val="center"/>
    </w:pPr>
    <w:rPr>
      <w:rFonts w:cs="Times New Roman"/>
      <w:color w:val="000000"/>
      <w:sz w:val="18"/>
      <w:szCs w:val="18"/>
    </w:rPr>
  </w:style>
  <w:style w:type="paragraph" w:customStyle="1" w:styleId="xl36">
    <w:name w:val="xl36"/>
    <w:basedOn w:val="a0"/>
    <w:uiPriority w:val="99"/>
    <w:qFormat/>
    <w:pPr>
      <w:pBdr>
        <w:left w:val="single" w:sz="4" w:space="0" w:color="000000"/>
        <w:bottom w:val="single" w:sz="4" w:space="0" w:color="auto"/>
        <w:right w:val="single" w:sz="4" w:space="0" w:color="000000"/>
      </w:pBdr>
      <w:shd w:val="clear" w:color="auto" w:fill="FFFFFF"/>
      <w:spacing w:before="100" w:beforeAutospacing="1" w:after="100" w:afterAutospacing="1"/>
      <w:jc w:val="center"/>
      <w:textAlignment w:val="center"/>
    </w:pPr>
    <w:rPr>
      <w:rFonts w:cs="Times New Roman"/>
      <w:color w:val="000000"/>
      <w:sz w:val="18"/>
      <w:szCs w:val="18"/>
    </w:rPr>
  </w:style>
  <w:style w:type="paragraph" w:customStyle="1" w:styleId="xl22">
    <w:name w:val="xl22"/>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color w:val="000000"/>
      <w:sz w:val="18"/>
      <w:szCs w:val="18"/>
    </w:rPr>
  </w:style>
  <w:style w:type="paragraph" w:customStyle="1" w:styleId="xl23">
    <w:name w:val="xl23"/>
    <w:basedOn w:val="a0"/>
    <w:uiPriority w:val="99"/>
    <w:qFormat/>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cs="Times New Roman"/>
      <w:color w:val="000000"/>
      <w:sz w:val="18"/>
      <w:szCs w:val="18"/>
    </w:rPr>
  </w:style>
  <w:style w:type="paragraph" w:customStyle="1" w:styleId="xl37">
    <w:name w:val="xl37"/>
    <w:basedOn w:val="a0"/>
    <w:uiPriority w:val="99"/>
    <w:qFormat/>
    <w:pPr>
      <w:pBdr>
        <w:left w:val="single" w:sz="4" w:space="0" w:color="auto"/>
        <w:bottom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38">
    <w:name w:val="xl38"/>
    <w:basedOn w:val="a0"/>
    <w:uiPriority w:val="99"/>
    <w:qFormat/>
    <w:pPr>
      <w:pBdr>
        <w:bottom w:val="single" w:sz="4" w:space="0" w:color="auto"/>
        <w:right w:val="single" w:sz="4" w:space="0" w:color="auto"/>
      </w:pBdr>
      <w:spacing w:before="100" w:beforeAutospacing="1" w:after="100" w:afterAutospacing="1"/>
      <w:jc w:val="center"/>
      <w:textAlignment w:val="top"/>
    </w:pPr>
    <w:rPr>
      <w:rFonts w:cs="Times New Roman"/>
      <w:b/>
      <w:bCs/>
      <w:sz w:val="20"/>
      <w:szCs w:val="20"/>
    </w:rPr>
  </w:style>
  <w:style w:type="paragraph" w:customStyle="1" w:styleId="xl39">
    <w:name w:val="xl39"/>
    <w:basedOn w:val="a0"/>
    <w:uiPriority w:val="99"/>
    <w:qFormat/>
    <w:pPr>
      <w:pBdr>
        <w:top w:val="single" w:sz="4" w:space="0" w:color="auto"/>
        <w:bottom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40">
    <w:name w:val="xl40"/>
    <w:basedOn w:val="a0"/>
    <w:uiPriority w:val="99"/>
    <w:qFormat/>
    <w:pPr>
      <w:pBdr>
        <w:bottom w:val="single" w:sz="4" w:space="0" w:color="auto"/>
        <w:right w:val="single" w:sz="4" w:space="0" w:color="auto"/>
      </w:pBdr>
      <w:spacing w:before="100" w:beforeAutospacing="1" w:after="100" w:afterAutospacing="1"/>
      <w:jc w:val="right"/>
    </w:pPr>
    <w:rPr>
      <w:rFonts w:ascii="Times New Roman" w:hAnsi="Times New Roman" w:cs="Times New Roman"/>
      <w:b/>
      <w:bCs/>
      <w:sz w:val="20"/>
      <w:szCs w:val="20"/>
    </w:rPr>
  </w:style>
  <w:style w:type="paragraph" w:customStyle="1" w:styleId="CharChar1Char">
    <w:name w:val="Char Char1 Char"/>
    <w:basedOn w:val="af4"/>
    <w:uiPriority w:val="99"/>
    <w:qFormat/>
    <w:rPr>
      <w:rFonts w:ascii="Tahoma" w:eastAsia="宋体" w:hAnsi="Tahoma"/>
      <w:sz w:val="24"/>
      <w:lang w:val="en-US"/>
    </w:rPr>
  </w:style>
  <w:style w:type="paragraph" w:customStyle="1" w:styleId="TableText">
    <w:name w:val="Table Text"/>
    <w:uiPriority w:val="99"/>
    <w:qFormat/>
    <w:pPr>
      <w:jc w:val="center"/>
    </w:pPr>
    <w:rPr>
      <w:snapToGrid w:val="0"/>
      <w:color w:val="000000"/>
      <w:sz w:val="22"/>
      <w:lang w:eastAsia="en-US"/>
    </w:rPr>
  </w:style>
  <w:style w:type="table" w:customStyle="1" w:styleId="afffffff">
    <w:name w:val="附注表格"/>
    <w:basedOn w:val="a3"/>
    <w:qFormat/>
    <w:pPr>
      <w:jc w:val="center"/>
    </w:pPr>
    <w:rPr>
      <w:szCs w:val="21"/>
    </w:rPr>
    <w:tblPr>
      <w:tblBorders>
        <w:top w:val="single" w:sz="4" w:space="0" w:color="auto"/>
        <w:bottom w:val="single" w:sz="4" w:space="0" w:color="auto"/>
        <w:insideH w:val="dotted" w:sz="4" w:space="0" w:color="auto"/>
        <w:insideV w:val="dotted" w:sz="4" w:space="0" w:color="auto"/>
      </w:tblBorders>
    </w:tblPr>
    <w:trPr>
      <w:tblHeader/>
    </w:trPr>
  </w:style>
  <w:style w:type="paragraph" w:customStyle="1" w:styleId="5d">
    <w:name w:val="表格5"/>
    <w:basedOn w:val="a0"/>
    <w:uiPriority w:val="99"/>
    <w:qFormat/>
    <w:pPr>
      <w:widowControl w:val="0"/>
      <w:jc w:val="both"/>
    </w:pPr>
    <w:rPr>
      <w:rFonts w:ascii="Times New Roman" w:eastAsia="仿宋_GB2312" w:hAnsi="Times New Roman" w:cs="Times New Roman"/>
      <w:kern w:val="2"/>
      <w:sz w:val="21"/>
      <w:szCs w:val="21"/>
    </w:rPr>
  </w:style>
  <w:style w:type="paragraph" w:customStyle="1" w:styleId="Arial">
    <w:name w:val="样式 招股书正文 + (符号) Arial 加粗"/>
    <w:basedOn w:val="afffffb"/>
    <w:uiPriority w:val="99"/>
    <w:qFormat/>
    <w:pPr>
      <w:spacing w:afterLines="0" w:after="0"/>
    </w:pPr>
    <w:rPr>
      <w:rFonts w:ascii="Arial" w:eastAsia="宋体" w:hAnsi="Arial"/>
      <w:bCs/>
      <w:lang w:val="en-US"/>
    </w:rPr>
  </w:style>
  <w:style w:type="paragraph" w:customStyle="1" w:styleId="Arial1">
    <w:name w:val="样式 招股书正文 + (符号) Arial 加粗1"/>
    <w:basedOn w:val="afffffb"/>
    <w:uiPriority w:val="99"/>
    <w:qFormat/>
    <w:pPr>
      <w:spacing w:afterLines="0" w:after="0"/>
    </w:pPr>
    <w:rPr>
      <w:rFonts w:ascii="Arial" w:eastAsia="宋体" w:hAnsi="Arial"/>
      <w:bCs/>
      <w:kern w:val="0"/>
      <w:lang w:val="en-US"/>
    </w:rPr>
  </w:style>
  <w:style w:type="character" w:customStyle="1" w:styleId="ArialChar">
    <w:name w:val="样式 招股书正文 + (符号) Arial 加粗 Char"/>
    <w:qFormat/>
    <w:rPr>
      <w:rFonts w:ascii="Arial" w:eastAsia="宋体" w:hAnsi="Arial"/>
      <w:bCs/>
      <w:kern w:val="2"/>
      <w:sz w:val="24"/>
      <w:szCs w:val="24"/>
      <w:lang w:val="en-US" w:eastAsia="zh-CN" w:bidi="ar-SA"/>
    </w:rPr>
  </w:style>
  <w:style w:type="paragraph" w:customStyle="1" w:styleId="2ff2">
    <w:name w:val="样式 招股书正文 + 首行缩进:  2 字符"/>
    <w:basedOn w:val="afffffb"/>
    <w:uiPriority w:val="99"/>
    <w:qFormat/>
    <w:pPr>
      <w:spacing w:afterLines="0" w:after="0"/>
      <w:ind w:firstLine="480"/>
    </w:pPr>
    <w:rPr>
      <w:rFonts w:ascii="Arial" w:eastAsia="宋体" w:hAnsi="Arial" w:cs="宋体"/>
      <w:szCs w:val="20"/>
      <w:lang w:val="en-US"/>
    </w:rPr>
  </w:style>
  <w:style w:type="paragraph" w:customStyle="1" w:styleId="3Arial">
    <w:name w:val="样式 招股书标题3 + (西文) Arial (中文) 宋体 非加粗"/>
    <w:basedOn w:val="a0"/>
    <w:uiPriority w:val="99"/>
    <w:qFormat/>
    <w:pPr>
      <w:widowControl w:val="0"/>
      <w:spacing w:beforeLines="50" w:afterLines="50" w:line="360" w:lineRule="auto"/>
      <w:ind w:firstLineChars="200" w:firstLine="200"/>
      <w:jc w:val="both"/>
      <w:outlineLvl w:val="3"/>
    </w:pPr>
    <w:rPr>
      <w:rFonts w:ascii="Arial" w:hAnsi="Arial"/>
      <w:b/>
      <w:position w:val="2"/>
    </w:rPr>
  </w:style>
  <w:style w:type="character" w:customStyle="1" w:styleId="2Char5">
    <w:name w:val="样式 样式 招股书正文 + 首行缩进:  2 字符 + 加粗 Char"/>
    <w:qFormat/>
    <w:rPr>
      <w:rFonts w:ascii="Arial" w:eastAsia="宋体" w:hAnsi="Arial" w:cs="宋体"/>
      <w:bCs/>
      <w:kern w:val="2"/>
      <w:sz w:val="24"/>
      <w:szCs w:val="24"/>
      <w:lang w:val="en-US" w:eastAsia="zh-CN" w:bidi="ar-SA"/>
    </w:rPr>
  </w:style>
  <w:style w:type="character" w:customStyle="1" w:styleId="GB2312">
    <w:name w:val="样式 楷体_GB2312"/>
    <w:qFormat/>
    <w:rPr>
      <w:rFonts w:ascii="楷体_GB2312" w:eastAsia="楷体_GB2312" w:hAnsi="楷体_GB2312"/>
      <w:b/>
    </w:rPr>
  </w:style>
  <w:style w:type="character" w:customStyle="1" w:styleId="GB23121">
    <w:name w:val="样式 楷体_GB23121"/>
    <w:qFormat/>
    <w:rPr>
      <w:rFonts w:ascii="楷体_GB2312" w:eastAsia="楷体_GB2312" w:hAnsi="楷体_GB2312"/>
      <w:b/>
    </w:rPr>
  </w:style>
  <w:style w:type="character" w:customStyle="1" w:styleId="GB23120">
    <w:name w:val="样式 楷体_GB2312 小四"/>
    <w:qFormat/>
    <w:rPr>
      <w:rFonts w:ascii="楷体_GB2312" w:eastAsia="楷体_GB2312" w:hAnsi="楷体_GB2312"/>
      <w:b/>
      <w:sz w:val="24"/>
    </w:rPr>
  </w:style>
  <w:style w:type="character" w:customStyle="1" w:styleId="21Char">
    <w:name w:val="样式 样式 招股书正文 + 首行缩进:  2 字符 + 加粗1 Char"/>
    <w:qFormat/>
    <w:rPr>
      <w:rFonts w:ascii="Arial" w:eastAsia="宋体" w:hAnsi="Arial" w:cs="宋体"/>
      <w:bCs/>
      <w:kern w:val="2"/>
      <w:sz w:val="24"/>
      <w:szCs w:val="24"/>
      <w:lang w:val="en-US" w:eastAsia="zh-CN" w:bidi="ar-SA"/>
    </w:rPr>
  </w:style>
  <w:style w:type="character" w:customStyle="1" w:styleId="afffffff0">
    <w:name w:val="样式 小四 加粗"/>
    <w:qFormat/>
    <w:rPr>
      <w:rFonts w:ascii="Arial" w:hAnsi="Arial"/>
      <w:bCs/>
      <w:sz w:val="24"/>
    </w:rPr>
  </w:style>
  <w:style w:type="paragraph" w:customStyle="1" w:styleId="afffffff1">
    <w:name w:val="正文_缩进"/>
    <w:basedOn w:val="a0"/>
    <w:uiPriority w:val="99"/>
    <w:qFormat/>
    <w:pPr>
      <w:widowControl w:val="0"/>
      <w:spacing w:line="360" w:lineRule="auto"/>
      <w:ind w:firstLineChars="200" w:firstLine="200"/>
      <w:jc w:val="both"/>
    </w:pPr>
    <w:rPr>
      <w:rFonts w:ascii="Arial" w:eastAsia="Times New Roman" w:hAnsi="Arial" w:cs="Arial"/>
      <w:kern w:val="2"/>
    </w:rPr>
  </w:style>
  <w:style w:type="paragraph" w:customStyle="1" w:styleId="3fe">
    <w:name w:val="招股书标题3"/>
    <w:basedOn w:val="a0"/>
    <w:next w:val="afffffb"/>
    <w:uiPriority w:val="99"/>
    <w:qFormat/>
    <w:pPr>
      <w:widowControl w:val="0"/>
      <w:spacing w:line="360" w:lineRule="auto"/>
      <w:ind w:firstLineChars="200" w:firstLine="200"/>
      <w:jc w:val="both"/>
      <w:outlineLvl w:val="3"/>
    </w:pPr>
    <w:rPr>
      <w:rFonts w:eastAsia="楷体_GB2312"/>
      <w:b/>
      <w:bCs/>
      <w:position w:val="2"/>
    </w:rPr>
  </w:style>
  <w:style w:type="paragraph" w:customStyle="1" w:styleId="2ff3">
    <w:name w:val="招股书标题2"/>
    <w:basedOn w:val="a0"/>
    <w:next w:val="afffffb"/>
    <w:uiPriority w:val="99"/>
    <w:qFormat/>
    <w:pPr>
      <w:widowControl w:val="0"/>
      <w:spacing w:line="360" w:lineRule="auto"/>
      <w:ind w:firstLineChars="200" w:firstLine="200"/>
      <w:jc w:val="both"/>
      <w:outlineLvl w:val="2"/>
    </w:pPr>
    <w:rPr>
      <w:rFonts w:eastAsia="楷体_GB2312"/>
      <w:b/>
      <w:bCs/>
      <w:kern w:val="2"/>
      <w:position w:val="2"/>
    </w:rPr>
  </w:style>
  <w:style w:type="paragraph" w:customStyle="1" w:styleId="3ff">
    <w:name w:val="样式 招股书标题3 + (中文) 宋体 小五"/>
    <w:basedOn w:val="3fe"/>
    <w:uiPriority w:val="99"/>
    <w:qFormat/>
    <w:rPr>
      <w:rFonts w:ascii="Arial" w:eastAsia="宋体" w:hAnsi="Arial"/>
      <w:b w:val="0"/>
      <w:sz w:val="18"/>
    </w:rPr>
  </w:style>
  <w:style w:type="paragraph" w:customStyle="1" w:styleId="afffffff2">
    <w:name w:val="表序"/>
    <w:basedOn w:val="a0"/>
    <w:uiPriority w:val="99"/>
    <w:qFormat/>
    <w:pPr>
      <w:widowControl w:val="0"/>
      <w:adjustRightInd w:val="0"/>
      <w:spacing w:beforeLines="20" w:afterLines="20"/>
      <w:ind w:firstLineChars="100" w:firstLine="100"/>
      <w:jc w:val="both"/>
      <w:textAlignment w:val="baseline"/>
    </w:pPr>
    <w:rPr>
      <w:rFonts w:eastAsia="黑体" w:cs="Times New Roman"/>
      <w:color w:val="000000"/>
      <w:szCs w:val="20"/>
    </w:rPr>
  </w:style>
  <w:style w:type="paragraph" w:customStyle="1" w:styleId="afffffff3">
    <w:name w:val="附注－标题二"/>
    <w:basedOn w:val="a0"/>
    <w:uiPriority w:val="99"/>
    <w:qFormat/>
    <w:pPr>
      <w:keepNext/>
      <w:widowControl w:val="0"/>
      <w:tabs>
        <w:tab w:val="left" w:pos="480"/>
        <w:tab w:val="left" w:pos="525"/>
        <w:tab w:val="left" w:pos="924"/>
        <w:tab w:val="left" w:pos="1092"/>
        <w:tab w:val="left" w:pos="1204"/>
      </w:tabs>
      <w:adjustRightInd w:val="0"/>
      <w:snapToGrid w:val="0"/>
      <w:spacing w:beforeLines="50" w:afterLines="50" w:line="360" w:lineRule="auto"/>
      <w:ind w:left="480" w:hanging="480"/>
      <w:jc w:val="both"/>
      <w:outlineLvl w:val="1"/>
    </w:pPr>
    <w:rPr>
      <w:rFonts w:ascii="黑体" w:eastAsia="黑体" w:cs="Times New Roman"/>
      <w:b/>
      <w:snapToGrid w:val="0"/>
      <w:color w:val="000000"/>
      <w:szCs w:val="28"/>
    </w:rPr>
  </w:style>
  <w:style w:type="paragraph" w:customStyle="1" w:styleId="afffffff4">
    <w:name w:val="附注－标题五"/>
    <w:basedOn w:val="a0"/>
    <w:next w:val="afffffff5"/>
    <w:uiPriority w:val="99"/>
    <w:qFormat/>
    <w:pPr>
      <w:widowControl w:val="0"/>
      <w:tabs>
        <w:tab w:val="left" w:pos="720"/>
      </w:tabs>
      <w:adjustRightInd w:val="0"/>
      <w:snapToGrid w:val="0"/>
      <w:spacing w:before="120" w:afterLines="50" w:line="360" w:lineRule="auto"/>
      <w:jc w:val="both"/>
    </w:pPr>
    <w:rPr>
      <w:rFonts w:ascii="Arial Narrow" w:hAnsi="Arial Narrow" w:cs="Times New Roman"/>
      <w:b/>
      <w:kern w:val="2"/>
      <w:sz w:val="21"/>
      <w:szCs w:val="21"/>
    </w:rPr>
  </w:style>
  <w:style w:type="paragraph" w:customStyle="1" w:styleId="afffffff5">
    <w:name w:val="附注－正文"/>
    <w:basedOn w:val="afd"/>
    <w:uiPriority w:val="99"/>
    <w:qFormat/>
    <w:pPr>
      <w:adjustRightInd w:val="0"/>
      <w:snapToGrid w:val="0"/>
      <w:spacing w:afterLines="50" w:after="0" w:line="360" w:lineRule="auto"/>
      <w:ind w:leftChars="0" w:left="0" w:firstLineChars="200" w:firstLine="200"/>
    </w:pPr>
    <w:rPr>
      <w:rFonts w:eastAsia="宋体"/>
      <w:szCs w:val="20"/>
      <w:lang w:val="en-US"/>
    </w:rPr>
  </w:style>
  <w:style w:type="paragraph" w:customStyle="1" w:styleId="Char40">
    <w:name w:val="Char4"/>
    <w:basedOn w:val="a0"/>
    <w:uiPriority w:val="99"/>
    <w:qFormat/>
    <w:pPr>
      <w:widowControl w:val="0"/>
      <w:jc w:val="both"/>
    </w:pPr>
    <w:rPr>
      <w:rFonts w:ascii="Tahoma" w:hAnsi="Tahoma" w:cs="Times New Roman"/>
      <w:kern w:val="2"/>
      <w:szCs w:val="20"/>
    </w:rPr>
  </w:style>
  <w:style w:type="paragraph" w:customStyle="1" w:styleId="Char14">
    <w:name w:val="Char1"/>
    <w:basedOn w:val="a0"/>
    <w:link w:val="Char1Char"/>
    <w:uiPriority w:val="99"/>
    <w:qFormat/>
    <w:pPr>
      <w:widowControl w:val="0"/>
      <w:jc w:val="both"/>
    </w:pPr>
    <w:rPr>
      <w:rFonts w:ascii="Tahoma" w:hAnsi="Tahoma" w:cs="Times New Roman"/>
      <w:kern w:val="2"/>
      <w:szCs w:val="20"/>
    </w:rPr>
  </w:style>
  <w:style w:type="character" w:customStyle="1" w:styleId="Char1Char">
    <w:name w:val="Char1 Char"/>
    <w:link w:val="Char14"/>
    <w:uiPriority w:val="99"/>
    <w:qFormat/>
    <w:rPr>
      <w:rFonts w:ascii="Tahoma" w:eastAsia="宋体" w:hAnsi="Tahoma" w:cs="Times New Roman"/>
      <w:sz w:val="24"/>
      <w:szCs w:val="20"/>
    </w:rPr>
  </w:style>
  <w:style w:type="paragraph" w:customStyle="1" w:styleId="CharCharCharCharCharCharChar">
    <w:name w:val="Char Char Char Char Char Char Char"/>
    <w:basedOn w:val="a0"/>
    <w:uiPriority w:val="99"/>
    <w:qFormat/>
    <w:pPr>
      <w:spacing w:after="160" w:line="240" w:lineRule="exact"/>
    </w:pPr>
    <w:rPr>
      <w:rFonts w:ascii="Verdana" w:hAnsi="Verdana" w:cs="Times New Roman"/>
      <w:sz w:val="20"/>
      <w:szCs w:val="20"/>
      <w:lang w:eastAsia="en-US"/>
    </w:rPr>
  </w:style>
  <w:style w:type="paragraph" w:customStyle="1" w:styleId="p0">
    <w:name w:val="p0"/>
    <w:basedOn w:val="a0"/>
    <w:uiPriority w:val="99"/>
    <w:qFormat/>
    <w:pPr>
      <w:spacing w:before="100" w:beforeAutospacing="1" w:after="100" w:afterAutospacing="1"/>
    </w:pPr>
  </w:style>
  <w:style w:type="character" w:customStyle="1" w:styleId="CharCharChar0">
    <w:name w:val="普通文字 Char Char Char"/>
    <w:qFormat/>
    <w:rPr>
      <w:rFonts w:ascii="宋体" w:eastAsia="宋体" w:hAnsi="Courier New"/>
      <w:kern w:val="2"/>
      <w:sz w:val="21"/>
      <w:lang w:val="en-US" w:eastAsia="zh-CN" w:bidi="ar-SA"/>
    </w:rPr>
  </w:style>
  <w:style w:type="paragraph" w:customStyle="1" w:styleId="xl44">
    <w:name w:val="xl44"/>
    <w:basedOn w:val="a0"/>
    <w:uiPriority w:val="99"/>
    <w:qFormat/>
    <w:pPr>
      <w:spacing w:before="100" w:beforeAutospacing="1" w:after="100" w:afterAutospacing="1"/>
      <w:jc w:val="center"/>
      <w:textAlignment w:val="center"/>
    </w:pPr>
    <w:rPr>
      <w:rFonts w:cs="Times New Roman"/>
      <w:b/>
      <w:bCs/>
      <w:sz w:val="28"/>
      <w:szCs w:val="28"/>
    </w:rPr>
  </w:style>
  <w:style w:type="paragraph" w:customStyle="1" w:styleId="xl41">
    <w:name w:val="xl41"/>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rPr>
  </w:style>
  <w:style w:type="paragraph" w:customStyle="1" w:styleId="xl42">
    <w:name w:val="xl42"/>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rPr>
  </w:style>
  <w:style w:type="paragraph" w:customStyle="1" w:styleId="xl43">
    <w:name w:val="xl43"/>
    <w:basedOn w:val="a0"/>
    <w:uiPriority w:val="99"/>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45">
    <w:name w:val="xl45"/>
    <w:basedOn w:val="a0"/>
    <w:uiPriority w:val="99"/>
    <w:qFormat/>
    <w:pPr>
      <w:pBdr>
        <w:top w:val="single" w:sz="4" w:space="0" w:color="auto"/>
        <w:bottom w:val="single" w:sz="4" w:space="0" w:color="auto"/>
        <w:right w:val="single" w:sz="4" w:space="0" w:color="auto"/>
      </w:pBdr>
      <w:spacing w:before="100" w:beforeAutospacing="1" w:after="100" w:afterAutospacing="1"/>
      <w:textAlignment w:val="center"/>
    </w:pPr>
    <w:rPr>
      <w:rFonts w:cs="Times New Roman"/>
      <w:sz w:val="20"/>
      <w:szCs w:val="20"/>
    </w:rPr>
  </w:style>
  <w:style w:type="paragraph" w:customStyle="1" w:styleId="xl46">
    <w:name w:val="xl46"/>
    <w:basedOn w:val="a0"/>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68">
    <w:name w:val="xl68"/>
    <w:basedOn w:val="a0"/>
    <w:qFormat/>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afffffff6">
    <w:name w:val="编号"/>
    <w:basedOn w:val="afffe"/>
    <w:uiPriority w:val="99"/>
    <w:qFormat/>
    <w:pPr>
      <w:tabs>
        <w:tab w:val="left" w:pos="780"/>
      </w:tabs>
      <w:spacing w:before="120" w:after="0"/>
      <w:ind w:left="780" w:firstLineChars="0" w:hanging="360"/>
    </w:pPr>
    <w:rPr>
      <w:rFonts w:ascii="Garamond" w:eastAsia="仿宋_GB2312" w:hAnsi="Garamond"/>
      <w:sz w:val="28"/>
      <w:szCs w:val="20"/>
    </w:rPr>
  </w:style>
  <w:style w:type="paragraph" w:customStyle="1" w:styleId="afffffff7">
    <w:name w:val="屈正文"/>
    <w:basedOn w:val="a0"/>
    <w:uiPriority w:val="99"/>
    <w:qFormat/>
    <w:pPr>
      <w:widowControl w:val="0"/>
      <w:tabs>
        <w:tab w:val="left" w:pos="1280"/>
      </w:tabs>
      <w:spacing w:after="120"/>
      <w:ind w:firstLine="560"/>
      <w:jc w:val="both"/>
    </w:pPr>
    <w:rPr>
      <w:rFonts w:ascii="Garamond" w:eastAsia="仿宋_GB2312" w:hAnsi="Garamond" w:cs="Times New Roman"/>
      <w:kern w:val="2"/>
      <w:sz w:val="28"/>
      <w:szCs w:val="20"/>
    </w:rPr>
  </w:style>
  <w:style w:type="paragraph" w:customStyle="1" w:styleId="afffffff8">
    <w:name w:val="主标题"/>
    <w:basedOn w:val="ac"/>
    <w:uiPriority w:val="99"/>
    <w:qFormat/>
    <w:pPr>
      <w:spacing w:before="360" w:after="360" w:line="360" w:lineRule="auto"/>
      <w:jc w:val="center"/>
    </w:pPr>
    <w:rPr>
      <w:rFonts w:ascii="文鼎小标宋简" w:eastAsia="文鼎小标宋简" w:hAnsi="Garamond"/>
      <w:sz w:val="40"/>
      <w:szCs w:val="20"/>
      <w:lang w:val="en-US"/>
    </w:rPr>
  </w:style>
  <w:style w:type="paragraph" w:customStyle="1" w:styleId="1fe">
    <w:name w:val="附件标题1"/>
    <w:basedOn w:val="41"/>
    <w:uiPriority w:val="99"/>
    <w:qFormat/>
    <w:pPr>
      <w:tabs>
        <w:tab w:val="left" w:pos="1417"/>
      </w:tabs>
      <w:adjustRightInd w:val="0"/>
      <w:spacing w:before="120" w:after="0" w:line="376" w:lineRule="atLeast"/>
      <w:ind w:left="1417" w:hanging="855"/>
      <w:textAlignment w:val="baseline"/>
    </w:pPr>
    <w:rPr>
      <w:rFonts w:ascii="Arial" w:eastAsia="宋体" w:hAnsi="Arial"/>
      <w:bCs w:val="0"/>
      <w:kern w:val="0"/>
      <w:szCs w:val="20"/>
    </w:rPr>
  </w:style>
  <w:style w:type="paragraph" w:customStyle="1" w:styleId="afffffff9">
    <w:name w:val="表格标题"/>
    <w:basedOn w:val="a0"/>
    <w:uiPriority w:val="99"/>
    <w:qFormat/>
    <w:pPr>
      <w:widowControl w:val="0"/>
      <w:spacing w:before="240" w:after="240" w:line="360" w:lineRule="atLeast"/>
      <w:jc w:val="center"/>
    </w:pPr>
    <w:rPr>
      <w:rFonts w:ascii="Garamond" w:eastAsia="仿宋_GB2312" w:hAnsi="Garamond" w:cs="Times New Roman"/>
      <w:b/>
      <w:kern w:val="2"/>
      <w:sz w:val="30"/>
      <w:szCs w:val="20"/>
    </w:rPr>
  </w:style>
  <w:style w:type="paragraph" w:customStyle="1" w:styleId="xl112">
    <w:name w:val="xl112"/>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13">
    <w:name w:val="xl113"/>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14">
    <w:name w:val="xl11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15">
    <w:name w:val="xl11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6">
    <w:name w:val="xl11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rPr>
  </w:style>
  <w:style w:type="paragraph" w:customStyle="1" w:styleId="xl117">
    <w:name w:val="xl11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PresentationSubtitle">
    <w:name w:val="Presentation Subtitle"/>
    <w:basedOn w:val="a0"/>
    <w:next w:val="a0"/>
    <w:uiPriority w:val="99"/>
    <w:qFormat/>
    <w:pPr>
      <w:tabs>
        <w:tab w:val="right" w:pos="10800"/>
      </w:tabs>
      <w:ind w:right="648"/>
    </w:pPr>
    <w:rPr>
      <w:rFonts w:ascii="UBSHeadline" w:eastAsia="华文楷体" w:hAnsi="UBSHeadline" w:cs="Times New Roman"/>
      <w:color w:val="FFD539"/>
      <w:sz w:val="48"/>
      <w:szCs w:val="20"/>
    </w:rPr>
  </w:style>
  <w:style w:type="paragraph" w:customStyle="1" w:styleId="Char2CharCharChar">
    <w:name w:val="Char2 Char Char Char"/>
    <w:basedOn w:val="a0"/>
    <w:uiPriority w:val="99"/>
    <w:qFormat/>
    <w:pPr>
      <w:widowControl w:val="0"/>
      <w:jc w:val="both"/>
    </w:pPr>
    <w:rPr>
      <w:rFonts w:ascii="Tahoma" w:hAnsi="Tahoma" w:cs="Times New Roman"/>
      <w:kern w:val="2"/>
      <w:szCs w:val="20"/>
    </w:rPr>
  </w:style>
  <w:style w:type="paragraph" w:customStyle="1" w:styleId="afffffffa">
    <w:name w:val="内部地址姓名"/>
    <w:basedOn w:val="a0"/>
    <w:uiPriority w:val="99"/>
    <w:qFormat/>
    <w:pPr>
      <w:widowControl w:val="0"/>
      <w:jc w:val="both"/>
    </w:pPr>
    <w:rPr>
      <w:rFonts w:ascii="Times New Roman" w:hAnsi="Times New Roman" w:cs="Times New Roman"/>
      <w:kern w:val="2"/>
      <w:sz w:val="21"/>
    </w:rPr>
  </w:style>
  <w:style w:type="paragraph" w:customStyle="1" w:styleId="2ff4">
    <w:name w:val="样式2"/>
    <w:basedOn w:val="a0"/>
    <w:uiPriority w:val="99"/>
    <w:qFormat/>
    <w:pPr>
      <w:widowControl w:val="0"/>
      <w:adjustRightInd w:val="0"/>
      <w:snapToGrid w:val="0"/>
      <w:spacing w:line="360" w:lineRule="auto"/>
      <w:jc w:val="both"/>
      <w:textAlignment w:val="baseline"/>
    </w:pPr>
    <w:rPr>
      <w:rFonts w:hAnsi="Times New Roman" w:cs="Times New Roman"/>
      <w:spacing w:val="2"/>
      <w:szCs w:val="20"/>
    </w:rPr>
  </w:style>
  <w:style w:type="paragraph" w:customStyle="1" w:styleId="Char4CharCharCharCharCharCharCharCharCharCharCharCharCharChar">
    <w:name w:val="Char4 Char Char Char Char Char Char Char Char Char Char Char Char Char Char"/>
    <w:basedOn w:val="a0"/>
    <w:uiPriority w:val="99"/>
    <w:qFormat/>
    <w:pPr>
      <w:widowControl w:val="0"/>
      <w:jc w:val="both"/>
    </w:pPr>
    <w:rPr>
      <w:rFonts w:ascii="Tahoma" w:hAnsi="Tahoma" w:cs="Times New Roman"/>
      <w:kern w:val="2"/>
      <w:szCs w:val="20"/>
    </w:rPr>
  </w:style>
  <w:style w:type="paragraph" w:customStyle="1" w:styleId="Char2CharChar1CharCharCharCharCharCharCharCharChar">
    <w:name w:val="Char2 Char Char1 Char Char Char Char Char Char Char Char Char"/>
    <w:basedOn w:val="a0"/>
    <w:uiPriority w:val="99"/>
    <w:qFormat/>
    <w:pPr>
      <w:widowControl w:val="0"/>
      <w:jc w:val="both"/>
    </w:pPr>
    <w:rPr>
      <w:rFonts w:ascii="Tahoma" w:hAnsi="Tahoma" w:cs="Times New Roman"/>
      <w:kern w:val="2"/>
      <w:szCs w:val="20"/>
    </w:rPr>
  </w:style>
  <w:style w:type="paragraph" w:customStyle="1" w:styleId="1ff">
    <w:name w:val="正文1"/>
    <w:basedOn w:val="a0"/>
    <w:uiPriority w:val="99"/>
    <w:qFormat/>
    <w:pPr>
      <w:widowControl w:val="0"/>
      <w:adjustRightInd w:val="0"/>
      <w:spacing w:line="360" w:lineRule="atLeast"/>
      <w:ind w:firstLine="588"/>
      <w:jc w:val="both"/>
      <w:textAlignment w:val="baseline"/>
    </w:pPr>
    <w:rPr>
      <w:rFonts w:hAnsi="Times New Roman" w:cs="Times New Roman"/>
      <w:spacing w:val="8"/>
      <w:sz w:val="28"/>
      <w:szCs w:val="20"/>
    </w:rPr>
  </w:style>
  <w:style w:type="paragraph" w:customStyle="1" w:styleId="-6">
    <w:name w:val="È±Ê¡ÎÄ±¾-×¢ÊÍ"/>
    <w:basedOn w:val="a0"/>
    <w:uiPriority w:val="99"/>
    <w:qFormat/>
    <w:pPr>
      <w:tabs>
        <w:tab w:val="left" w:pos="595"/>
        <w:tab w:val="center" w:pos="2245"/>
        <w:tab w:val="center" w:pos="6497"/>
      </w:tabs>
      <w:overflowPunct w:val="0"/>
      <w:autoSpaceDE w:val="0"/>
      <w:autoSpaceDN w:val="0"/>
      <w:adjustRightInd w:val="0"/>
      <w:spacing w:after="120" w:line="360" w:lineRule="auto"/>
      <w:jc w:val="both"/>
      <w:textAlignment w:val="baseline"/>
    </w:pPr>
    <w:rPr>
      <w:rFonts w:ascii="Times New Roman" w:hAnsi="Times New Roman" w:cs="Times New Roman"/>
      <w:szCs w:val="20"/>
    </w:rPr>
  </w:style>
  <w:style w:type="paragraph" w:customStyle="1" w:styleId="2ff5">
    <w:name w:val="×Ó±êÌâ2"/>
    <w:basedOn w:val="a0"/>
    <w:uiPriority w:val="99"/>
    <w:qFormat/>
    <w:pPr>
      <w:overflowPunct w:val="0"/>
      <w:autoSpaceDE w:val="0"/>
      <w:autoSpaceDN w:val="0"/>
      <w:adjustRightInd w:val="0"/>
      <w:spacing w:after="140" w:line="360" w:lineRule="auto"/>
      <w:ind w:left="-383"/>
      <w:jc w:val="both"/>
      <w:textAlignment w:val="baseline"/>
    </w:pPr>
    <w:rPr>
      <w:rFonts w:ascii="Arial" w:hAnsi="Arial" w:cs="Times New Roman"/>
      <w:sz w:val="28"/>
      <w:szCs w:val="20"/>
    </w:rPr>
  </w:style>
  <w:style w:type="paragraph" w:customStyle="1" w:styleId="3-">
    <w:name w:val="×Ó±êÌâ3-×¢ÊÍ"/>
    <w:basedOn w:val="a0"/>
    <w:uiPriority w:val="99"/>
    <w:qFormat/>
    <w:pPr>
      <w:tabs>
        <w:tab w:val="left" w:pos="595"/>
        <w:tab w:val="center" w:pos="2245"/>
        <w:tab w:val="center" w:pos="6497"/>
      </w:tabs>
      <w:overflowPunct w:val="0"/>
      <w:autoSpaceDE w:val="0"/>
      <w:autoSpaceDN w:val="0"/>
      <w:adjustRightInd w:val="0"/>
      <w:spacing w:after="120" w:line="360" w:lineRule="auto"/>
      <w:ind w:left="-383"/>
      <w:jc w:val="both"/>
      <w:textAlignment w:val="baseline"/>
    </w:pPr>
    <w:rPr>
      <w:rFonts w:ascii="Times New Roman" w:hAnsi="Times New Roman" w:cs="Times New Roman"/>
      <w:szCs w:val="20"/>
    </w:rPr>
  </w:style>
  <w:style w:type="character" w:customStyle="1" w:styleId="af2">
    <w:name w:val="列表项目符号 字符"/>
    <w:link w:val="af1"/>
    <w:qFormat/>
    <w:rPr>
      <w:rFonts w:ascii="Times New Roman" w:eastAsia="宋体" w:hAnsi="Times New Roman" w:cs="Times New Roman"/>
      <w:szCs w:val="24"/>
    </w:rPr>
  </w:style>
  <w:style w:type="paragraph" w:customStyle="1" w:styleId="font1">
    <w:name w:val="font1"/>
    <w:basedOn w:val="a0"/>
    <w:uiPriority w:val="99"/>
    <w:qFormat/>
    <w:pPr>
      <w:spacing w:before="100" w:beforeAutospacing="1" w:after="100" w:afterAutospacing="1"/>
    </w:pPr>
    <w:rPr>
      <w:rFonts w:cs="Arial Unicode MS" w:hint="eastAsia"/>
    </w:rPr>
  </w:style>
  <w:style w:type="paragraph" w:customStyle="1" w:styleId="66">
    <w:name w:val="6"/>
    <w:basedOn w:val="a0"/>
    <w:next w:val="HTML1"/>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customStyle="1" w:styleId="5e">
    <w:name w:val="5"/>
    <w:basedOn w:val="a0"/>
    <w:next w:val="26"/>
    <w:uiPriority w:val="99"/>
    <w:qFormat/>
    <w:pPr>
      <w:widowControl w:val="0"/>
      <w:spacing w:line="500" w:lineRule="exact"/>
      <w:ind w:right="28"/>
      <w:jc w:val="both"/>
    </w:pPr>
    <w:rPr>
      <w:rFonts w:cs="Arial"/>
      <w:color w:val="3366FF"/>
      <w:kern w:val="2"/>
    </w:rPr>
  </w:style>
  <w:style w:type="character" w:customStyle="1" w:styleId="unnamed81">
    <w:name w:val="unnamed81"/>
    <w:qFormat/>
    <w:rPr>
      <w:sz w:val="22"/>
      <w:szCs w:val="22"/>
    </w:rPr>
  </w:style>
  <w:style w:type="paragraph" w:customStyle="1" w:styleId="2ff6">
    <w:name w:val="正文2"/>
    <w:uiPriority w:val="99"/>
    <w:qFormat/>
    <w:pPr>
      <w:widowControl w:val="0"/>
      <w:adjustRightInd w:val="0"/>
      <w:spacing w:line="312" w:lineRule="atLeast"/>
      <w:jc w:val="both"/>
      <w:textAlignment w:val="baseline"/>
    </w:pPr>
    <w:rPr>
      <w:rFonts w:ascii="宋体"/>
      <w:sz w:val="34"/>
    </w:rPr>
  </w:style>
  <w:style w:type="character" w:customStyle="1" w:styleId="v15">
    <w:name w:val="v15"/>
    <w:qFormat/>
  </w:style>
  <w:style w:type="paragraph" w:customStyle="1" w:styleId="H1">
    <w:name w:val="H1"/>
    <w:basedOn w:val="1"/>
    <w:uiPriority w:val="99"/>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20"/>
    <w:uiPriority w:val="99"/>
    <w:qFormat/>
    <w:pPr>
      <w:keepNext w:val="0"/>
      <w:keepLines w:val="0"/>
      <w:widowControl/>
      <w:adjustRightInd w:val="0"/>
      <w:spacing w:before="120" w:after="120" w:line="360" w:lineRule="atLeast"/>
      <w:ind w:right="28"/>
      <w:textAlignment w:val="baseline"/>
      <w:outlineLvl w:val="9"/>
    </w:pPr>
    <w:rPr>
      <w:rFonts w:ascii="宋体" w:eastAsia="宋体" w:hAnsi="Times New Roman"/>
      <w:bCs w:val="0"/>
      <w:kern w:val="0"/>
      <w:sz w:val="24"/>
      <w:szCs w:val="20"/>
    </w:rPr>
  </w:style>
  <w:style w:type="paragraph" w:customStyle="1" w:styleId="table">
    <w:name w:val="table"/>
    <w:basedOn w:val="a0"/>
    <w:uiPriority w:val="99"/>
    <w:qFormat/>
    <w:pPr>
      <w:adjustRightInd w:val="0"/>
      <w:spacing w:before="240" w:after="120" w:line="360" w:lineRule="atLeast"/>
      <w:ind w:firstLine="425"/>
      <w:jc w:val="center"/>
      <w:textAlignment w:val="baseline"/>
    </w:pPr>
    <w:rPr>
      <w:rFonts w:ascii="黑体" w:eastAsia="黑体" w:hAnsi="Times New Roman" w:cs="Times New Roman"/>
      <w:b/>
      <w:szCs w:val="20"/>
    </w:rPr>
  </w:style>
  <w:style w:type="paragraph" w:customStyle="1" w:styleId="H4">
    <w:name w:val="H4"/>
    <w:basedOn w:val="a0"/>
    <w:uiPriority w:val="99"/>
    <w:qFormat/>
    <w:pPr>
      <w:adjustRightInd w:val="0"/>
      <w:spacing w:before="120" w:after="120" w:line="360" w:lineRule="exact"/>
      <w:ind w:right="28" w:firstLine="425"/>
      <w:jc w:val="both"/>
      <w:textAlignment w:val="baseline"/>
    </w:pPr>
    <w:rPr>
      <w:rFonts w:hAnsi="Times New Roman" w:cs="Times New Roman"/>
      <w:b/>
      <w:szCs w:val="20"/>
    </w:rPr>
  </w:style>
  <w:style w:type="paragraph" w:customStyle="1" w:styleId="ZWBT">
    <w:name w:val="ZWBT"/>
    <w:basedOn w:val="a0"/>
    <w:uiPriority w:val="99"/>
    <w:qFormat/>
    <w:pPr>
      <w:widowControl w:val="0"/>
      <w:autoSpaceDE w:val="0"/>
      <w:autoSpaceDN w:val="0"/>
      <w:adjustRightInd w:val="0"/>
      <w:spacing w:before="240" w:after="120" w:line="440" w:lineRule="atLeast"/>
      <w:ind w:left="601" w:right="386"/>
      <w:jc w:val="both"/>
      <w:textAlignment w:val="bottom"/>
    </w:pPr>
    <w:rPr>
      <w:rFonts w:ascii="黑体" w:eastAsia="黑体" w:hAnsi="Arial" w:cs="Times New Roman"/>
      <w:sz w:val="32"/>
      <w:szCs w:val="20"/>
    </w:rPr>
  </w:style>
  <w:style w:type="paragraph" w:customStyle="1" w:styleId="l18">
    <w:name w:val="l18"/>
    <w:basedOn w:val="a0"/>
    <w:uiPriority w:val="99"/>
    <w:qFormat/>
    <w:pPr>
      <w:spacing w:before="100" w:beforeAutospacing="1" w:after="100" w:afterAutospacing="1"/>
    </w:pPr>
    <w:rPr>
      <w:rFonts w:cs="Times New Roman"/>
      <w:color w:val="000000"/>
      <w:sz w:val="14"/>
      <w:szCs w:val="14"/>
    </w:rPr>
  </w:style>
  <w:style w:type="paragraph" w:customStyle="1" w:styleId="67">
    <w:name w:val="样式6"/>
    <w:basedOn w:val="a0"/>
    <w:uiPriority w:val="99"/>
    <w:qFormat/>
    <w:pPr>
      <w:widowControl w:val="0"/>
      <w:tabs>
        <w:tab w:val="left" w:pos="1440"/>
      </w:tabs>
      <w:spacing w:after="120"/>
      <w:ind w:left="675" w:hanging="315"/>
      <w:jc w:val="both"/>
    </w:pPr>
    <w:rPr>
      <w:rFonts w:ascii="Times New Roman" w:eastAsia="楷体_GB2312" w:hAnsi="Times New Roman" w:cs="Times New Roman"/>
      <w:kern w:val="2"/>
      <w:szCs w:val="20"/>
    </w:rPr>
  </w:style>
  <w:style w:type="paragraph" w:customStyle="1" w:styleId="75">
    <w:name w:val="样式7"/>
    <w:basedOn w:val="a0"/>
    <w:uiPriority w:val="99"/>
    <w:qFormat/>
    <w:pPr>
      <w:widowControl w:val="0"/>
      <w:tabs>
        <w:tab w:val="left" w:pos="992"/>
        <w:tab w:val="left" w:pos="1440"/>
      </w:tabs>
      <w:spacing w:after="120"/>
      <w:ind w:left="992" w:hanging="315"/>
      <w:jc w:val="both"/>
    </w:pPr>
    <w:rPr>
      <w:rFonts w:ascii="Times New Roman" w:eastAsia="楷体_GB2312" w:hAnsi="Times New Roman" w:cs="Times New Roman"/>
      <w:kern w:val="2"/>
      <w:szCs w:val="20"/>
    </w:rPr>
  </w:style>
  <w:style w:type="paragraph" w:customStyle="1" w:styleId="afffffffb">
    <w:name w:val="表格内容"/>
    <w:basedOn w:val="a0"/>
    <w:link w:val="Charfe"/>
    <w:qFormat/>
    <w:pPr>
      <w:autoSpaceDE w:val="0"/>
      <w:autoSpaceDN w:val="0"/>
      <w:adjustRightInd w:val="0"/>
      <w:spacing w:before="60" w:line="300" w:lineRule="auto"/>
      <w:jc w:val="center"/>
      <w:textAlignment w:val="bottom"/>
    </w:pPr>
    <w:rPr>
      <w:rFonts w:ascii="Arial" w:eastAsia="楷体_GB2312" w:hAnsi="Arial" w:cs="Times New Roman"/>
      <w:spacing w:val="-25"/>
      <w:szCs w:val="20"/>
    </w:rPr>
  </w:style>
  <w:style w:type="paragraph" w:customStyle="1" w:styleId="afffffffc">
    <w:name w:val="简单回函地址"/>
    <w:basedOn w:val="a0"/>
    <w:uiPriority w:val="99"/>
    <w:qFormat/>
    <w:pPr>
      <w:widowControl w:val="0"/>
      <w:jc w:val="both"/>
    </w:pPr>
    <w:rPr>
      <w:rFonts w:ascii="Times New Roman" w:hAnsi="Times New Roman" w:cs="Times New Roman"/>
      <w:kern w:val="2"/>
      <w:sz w:val="21"/>
      <w:szCs w:val="20"/>
    </w:rPr>
  </w:style>
  <w:style w:type="paragraph" w:customStyle="1" w:styleId="CharCharCharCharCharCharChar2">
    <w:name w:val="Char Char Char Char Char Char Char2"/>
    <w:basedOn w:val="a0"/>
    <w:uiPriority w:val="99"/>
    <w:qFormat/>
    <w:pPr>
      <w:spacing w:after="160" w:line="240" w:lineRule="exact"/>
    </w:pPr>
    <w:rPr>
      <w:rFonts w:ascii="Times New Roman" w:eastAsia="Times New Roman" w:hAnsi="Times New Roman" w:cs="Angsana New"/>
      <w:sz w:val="20"/>
      <w:szCs w:val="20"/>
      <w:lang w:bidi="th-TH"/>
    </w:rPr>
  </w:style>
  <w:style w:type="character" w:customStyle="1" w:styleId="14zihongcu1">
    <w:name w:val="14zihong_cu1"/>
    <w:qFormat/>
    <w:rPr>
      <w:b/>
      <w:bCs/>
      <w:sz w:val="18"/>
      <w:szCs w:val="18"/>
      <w:u w:val="none"/>
    </w:rPr>
  </w:style>
  <w:style w:type="character" w:customStyle="1" w:styleId="grame">
    <w:name w:val="grame"/>
    <w:qFormat/>
  </w:style>
  <w:style w:type="character" w:customStyle="1" w:styleId="font141">
    <w:name w:val="font141"/>
    <w:qFormat/>
    <w:rPr>
      <w:rFonts w:ascii="ˎ̥" w:hAnsi="ˎ̥" w:hint="default"/>
      <w:sz w:val="21"/>
      <w:szCs w:val="21"/>
    </w:rPr>
  </w:style>
  <w:style w:type="paragraph" w:customStyle="1" w:styleId="BodySingle">
    <w:name w:val="Body Single"/>
    <w:uiPriority w:val="99"/>
    <w:qFormat/>
    <w:pPr>
      <w:widowControl w:val="0"/>
      <w:tabs>
        <w:tab w:val="left" w:pos="705"/>
        <w:tab w:val="left" w:pos="1440"/>
        <w:tab w:val="left" w:pos="2304"/>
        <w:tab w:val="right" w:pos="10425"/>
      </w:tabs>
      <w:jc w:val="both"/>
    </w:pPr>
    <w:rPr>
      <w:snapToGrid w:val="0"/>
      <w:color w:val="000000"/>
      <w:sz w:val="24"/>
      <w:lang w:eastAsia="en-US"/>
    </w:rPr>
  </w:style>
  <w:style w:type="character" w:customStyle="1" w:styleId="text1">
    <w:name w:val="text1"/>
    <w:qFormat/>
    <w:rPr>
      <w:color w:val="000000"/>
      <w:spacing w:val="360"/>
      <w:sz w:val="22"/>
      <w:szCs w:val="22"/>
      <w:u w:val="none"/>
    </w:rPr>
  </w:style>
  <w:style w:type="character" w:customStyle="1" w:styleId="txt1">
    <w:name w:val="txt1"/>
    <w:qFormat/>
    <w:rPr>
      <w:rFonts w:ascii="宋体" w:eastAsia="宋体" w:hAnsi="宋体" w:hint="eastAsia"/>
      <w:color w:val="000000"/>
      <w:spacing w:val="280"/>
      <w:sz w:val="16"/>
      <w:szCs w:val="16"/>
      <w:u w:val="none"/>
    </w:rPr>
  </w:style>
  <w:style w:type="paragraph" w:customStyle="1" w:styleId="Heading">
    <w:name w:val="Heading"/>
    <w:basedOn w:val="ac"/>
    <w:uiPriority w:val="99"/>
    <w:qFormat/>
    <w:pPr>
      <w:widowControl/>
      <w:tabs>
        <w:tab w:val="left" w:pos="1008"/>
        <w:tab w:val="left" w:pos="1872"/>
        <w:tab w:val="left" w:pos="2592"/>
      </w:tabs>
      <w:autoSpaceDE w:val="0"/>
      <w:autoSpaceDN w:val="0"/>
      <w:spacing w:after="0"/>
    </w:pPr>
    <w:rPr>
      <w:rFonts w:ascii="Arial" w:eastAsia="宋体" w:hAnsi="Arial"/>
      <w:b/>
      <w:color w:val="000000"/>
      <w:kern w:val="0"/>
      <w:sz w:val="20"/>
      <w:szCs w:val="22"/>
      <w:lang w:val="en-US"/>
    </w:rPr>
  </w:style>
  <w:style w:type="paragraph" w:customStyle="1" w:styleId="LettHdOnly">
    <w:name w:val="LettHd_Only"/>
    <w:uiPriority w:val="99"/>
    <w:qFormat/>
    <w:pPr>
      <w:autoSpaceDE w:val="0"/>
      <w:autoSpaceDN w:val="0"/>
      <w:ind w:left="56"/>
    </w:pPr>
    <w:rPr>
      <w:rFonts w:ascii="Helvetica" w:hAnsi="Helvetica"/>
      <w:color w:val="000000"/>
      <w:sz w:val="14"/>
    </w:rPr>
  </w:style>
  <w:style w:type="paragraph" w:customStyle="1" w:styleId="Level1">
    <w:name w:val="Level 1"/>
    <w:uiPriority w:val="99"/>
    <w:qFormat/>
    <w:pPr>
      <w:widowControl w:val="0"/>
      <w:tabs>
        <w:tab w:val="left" w:pos="720"/>
        <w:tab w:val="left" w:pos="1425"/>
        <w:tab w:val="left" w:pos="2355"/>
        <w:tab w:val="right" w:pos="10440"/>
      </w:tabs>
      <w:spacing w:after="288"/>
      <w:ind w:firstLine="720"/>
      <w:jc w:val="both"/>
    </w:pPr>
    <w:rPr>
      <w:snapToGrid w:val="0"/>
      <w:color w:val="000000"/>
      <w:sz w:val="24"/>
      <w:lang w:eastAsia="en-US"/>
    </w:rPr>
  </w:style>
  <w:style w:type="paragraph" w:customStyle="1" w:styleId="Level2">
    <w:name w:val="Level 2"/>
    <w:uiPriority w:val="99"/>
    <w:qFormat/>
    <w:pPr>
      <w:widowControl w:val="0"/>
      <w:tabs>
        <w:tab w:val="left" w:pos="720"/>
        <w:tab w:val="left" w:pos="1425"/>
        <w:tab w:val="left" w:pos="2355"/>
      </w:tabs>
      <w:spacing w:after="288"/>
      <w:ind w:left="1440"/>
      <w:jc w:val="both"/>
    </w:pPr>
    <w:rPr>
      <w:snapToGrid w:val="0"/>
      <w:color w:val="000000"/>
      <w:sz w:val="24"/>
      <w:lang w:eastAsia="en-US"/>
    </w:rPr>
  </w:style>
  <w:style w:type="paragraph" w:customStyle="1" w:styleId="Level3">
    <w:name w:val="Level 3"/>
    <w:uiPriority w:val="99"/>
    <w:qFormat/>
    <w:pPr>
      <w:widowControl w:val="0"/>
      <w:tabs>
        <w:tab w:val="left" w:pos="720"/>
        <w:tab w:val="left" w:pos="1425"/>
      </w:tabs>
      <w:spacing w:after="288"/>
      <w:ind w:left="2160"/>
      <w:jc w:val="both"/>
    </w:pPr>
    <w:rPr>
      <w:snapToGrid w:val="0"/>
      <w:color w:val="000000"/>
      <w:sz w:val="24"/>
      <w:lang w:eastAsia="en-US"/>
    </w:rPr>
  </w:style>
  <w:style w:type="paragraph" w:customStyle="1" w:styleId="Bullet">
    <w:name w:val="Bullet"/>
    <w:uiPriority w:val="99"/>
    <w:qFormat/>
    <w:pPr>
      <w:widowControl w:val="0"/>
      <w:spacing w:after="288"/>
      <w:ind w:left="1440"/>
      <w:jc w:val="both"/>
    </w:pPr>
    <w:rPr>
      <w:snapToGrid w:val="0"/>
      <w:color w:val="000000"/>
      <w:sz w:val="24"/>
      <w:lang w:eastAsia="en-US"/>
    </w:rPr>
  </w:style>
  <w:style w:type="paragraph" w:customStyle="1" w:styleId="Major">
    <w:name w:val="Major"/>
    <w:next w:val="ac"/>
    <w:uiPriority w:val="99"/>
    <w:qFormat/>
    <w:pPr>
      <w:keepNext/>
      <w:keepLines/>
      <w:widowControl w:val="0"/>
      <w:tabs>
        <w:tab w:val="left" w:pos="705"/>
        <w:tab w:val="left" w:pos="1425"/>
        <w:tab w:val="left" w:pos="2310"/>
        <w:tab w:val="right" w:pos="10440"/>
      </w:tabs>
      <w:spacing w:after="288"/>
    </w:pPr>
    <w:rPr>
      <w:b/>
      <w:snapToGrid w:val="0"/>
      <w:color w:val="000000"/>
      <w:sz w:val="28"/>
      <w:lang w:eastAsia="en-US"/>
    </w:rPr>
  </w:style>
  <w:style w:type="paragraph" w:customStyle="1" w:styleId="Minor">
    <w:name w:val="Minor"/>
    <w:next w:val="ac"/>
    <w:uiPriority w:val="99"/>
    <w:qFormat/>
    <w:pPr>
      <w:keepNext/>
      <w:keepLines/>
      <w:widowControl w:val="0"/>
      <w:tabs>
        <w:tab w:val="left" w:pos="720"/>
        <w:tab w:val="left" w:pos="1425"/>
        <w:tab w:val="left" w:pos="2355"/>
        <w:tab w:val="right" w:pos="10440"/>
      </w:tabs>
      <w:spacing w:after="288"/>
    </w:pPr>
    <w:rPr>
      <w:b/>
      <w:snapToGrid w:val="0"/>
      <w:color w:val="000000"/>
      <w:sz w:val="24"/>
      <w:lang w:eastAsia="en-US"/>
    </w:rPr>
  </w:style>
  <w:style w:type="paragraph" w:customStyle="1" w:styleId="TableSBelow">
    <w:name w:val="Table S Below"/>
    <w:uiPriority w:val="99"/>
    <w:qFormat/>
    <w:pPr>
      <w:widowControl w:val="0"/>
    </w:pPr>
    <w:rPr>
      <w:snapToGrid w:val="0"/>
      <w:color w:val="000000"/>
      <w:sz w:val="24"/>
      <w:lang w:eastAsia="en-US"/>
    </w:rPr>
  </w:style>
  <w:style w:type="paragraph" w:customStyle="1" w:styleId="Boxbullet">
    <w:name w:val="Box bullet"/>
    <w:uiPriority w:val="99"/>
    <w:qFormat/>
    <w:pPr>
      <w:widowControl w:val="0"/>
      <w:spacing w:after="288"/>
      <w:ind w:left="1440"/>
      <w:jc w:val="both"/>
    </w:pPr>
    <w:rPr>
      <w:snapToGrid w:val="0"/>
      <w:color w:val="000000"/>
      <w:sz w:val="24"/>
      <w:lang w:eastAsia="en-US"/>
    </w:rPr>
  </w:style>
  <w:style w:type="paragraph" w:customStyle="1" w:styleId="Bulletsmall">
    <w:name w:val="Bullet small"/>
    <w:uiPriority w:val="99"/>
    <w:qFormat/>
    <w:pPr>
      <w:widowControl w:val="0"/>
      <w:spacing w:after="288"/>
      <w:ind w:left="1440"/>
      <w:jc w:val="both"/>
    </w:pPr>
    <w:rPr>
      <w:snapToGrid w:val="0"/>
      <w:color w:val="000000"/>
      <w:sz w:val="24"/>
      <w:lang w:eastAsia="en-US"/>
    </w:rPr>
  </w:style>
  <w:style w:type="paragraph" w:customStyle="1" w:styleId="Sub-minor">
    <w:name w:val="Sub-minor"/>
    <w:next w:val="ac"/>
    <w:uiPriority w:val="99"/>
    <w:qFormat/>
    <w:pPr>
      <w:keepNext/>
      <w:keepLines/>
      <w:widowControl w:val="0"/>
      <w:tabs>
        <w:tab w:val="left" w:pos="720"/>
        <w:tab w:val="left" w:pos="1425"/>
        <w:tab w:val="left" w:pos="2355"/>
        <w:tab w:val="right" w:pos="10440"/>
      </w:tabs>
      <w:spacing w:after="288"/>
      <w:ind w:left="720"/>
    </w:pPr>
    <w:rPr>
      <w:b/>
      <w:snapToGrid w:val="0"/>
      <w:color w:val="000000"/>
      <w:sz w:val="24"/>
      <w:lang w:eastAsia="en-US"/>
    </w:rPr>
  </w:style>
  <w:style w:type="paragraph" w:customStyle="1" w:styleId="Section">
    <w:name w:val="Section"/>
    <w:next w:val="Major"/>
    <w:uiPriority w:val="99"/>
    <w:qFormat/>
    <w:pPr>
      <w:keepNext/>
      <w:keepLines/>
      <w:widowControl w:val="0"/>
      <w:tabs>
        <w:tab w:val="left" w:pos="705"/>
        <w:tab w:val="left" w:pos="1425"/>
        <w:tab w:val="left" w:pos="2310"/>
        <w:tab w:val="right" w:pos="10425"/>
      </w:tabs>
      <w:spacing w:after="288"/>
    </w:pPr>
    <w:rPr>
      <w:b/>
      <w:snapToGrid w:val="0"/>
      <w:color w:val="000000"/>
      <w:sz w:val="36"/>
      <w:lang w:eastAsia="en-US"/>
    </w:rPr>
  </w:style>
  <w:style w:type="paragraph" w:customStyle="1" w:styleId="Note">
    <w:name w:val="Note:"/>
    <w:next w:val="ac"/>
    <w:uiPriority w:val="99"/>
    <w:qFormat/>
    <w:pPr>
      <w:widowControl w:val="0"/>
      <w:tabs>
        <w:tab w:val="left" w:pos="705"/>
        <w:tab w:val="left" w:pos="1440"/>
        <w:tab w:val="left" w:pos="2304"/>
        <w:tab w:val="right" w:pos="10425"/>
      </w:tabs>
      <w:spacing w:after="288"/>
      <w:ind w:left="720"/>
      <w:jc w:val="both"/>
    </w:pPr>
    <w:rPr>
      <w:snapToGrid w:val="0"/>
      <w:color w:val="000000"/>
      <w:sz w:val="24"/>
      <w:lang w:eastAsia="en-US"/>
    </w:rPr>
  </w:style>
  <w:style w:type="paragraph" w:customStyle="1" w:styleId="Indent">
    <w:name w:val="Indent"/>
    <w:uiPriority w:val="99"/>
    <w:qFormat/>
    <w:pPr>
      <w:widowControl w:val="0"/>
      <w:tabs>
        <w:tab w:val="left" w:pos="1425"/>
        <w:tab w:val="left" w:pos="2175"/>
        <w:tab w:val="left" w:pos="2895"/>
      </w:tabs>
      <w:spacing w:after="288"/>
      <w:ind w:left="720"/>
      <w:jc w:val="both"/>
    </w:pPr>
    <w:rPr>
      <w:snapToGrid w:val="0"/>
      <w:color w:val="000000"/>
      <w:sz w:val="24"/>
      <w:lang w:eastAsia="en-US"/>
    </w:rPr>
  </w:style>
  <w:style w:type="paragraph" w:customStyle="1" w:styleId="Tickbox">
    <w:name w:val="Tickbox"/>
    <w:uiPriority w:val="99"/>
    <w:qFormat/>
    <w:pPr>
      <w:widowControl w:val="0"/>
      <w:spacing w:after="288"/>
      <w:ind w:left="1440"/>
      <w:jc w:val="both"/>
    </w:pPr>
    <w:rPr>
      <w:snapToGrid w:val="0"/>
      <w:color w:val="000000"/>
      <w:sz w:val="24"/>
      <w:lang w:eastAsia="en-US"/>
    </w:rPr>
  </w:style>
  <w:style w:type="paragraph" w:customStyle="1" w:styleId="Tablebullet">
    <w:name w:val="Table bullet"/>
    <w:uiPriority w:val="99"/>
    <w:qFormat/>
    <w:pPr>
      <w:widowControl w:val="0"/>
      <w:ind w:left="316"/>
    </w:pPr>
    <w:rPr>
      <w:snapToGrid w:val="0"/>
      <w:color w:val="000000"/>
      <w:sz w:val="24"/>
      <w:lang w:eastAsia="en-US"/>
    </w:rPr>
  </w:style>
  <w:style w:type="paragraph" w:customStyle="1" w:styleId="TableSDUnd">
    <w:name w:val="Table S/D Und"/>
    <w:uiPriority w:val="99"/>
    <w:qFormat/>
    <w:pPr>
      <w:widowControl w:val="0"/>
    </w:pPr>
    <w:rPr>
      <w:snapToGrid w:val="0"/>
      <w:color w:val="000000"/>
      <w:sz w:val="24"/>
      <w:lang w:eastAsia="en-US"/>
    </w:rPr>
  </w:style>
  <w:style w:type="paragraph" w:customStyle="1" w:styleId="Dash">
    <w:name w:val="Dash"/>
    <w:uiPriority w:val="99"/>
    <w:qFormat/>
    <w:pPr>
      <w:widowControl w:val="0"/>
      <w:tabs>
        <w:tab w:val="left" w:pos="720"/>
        <w:tab w:val="left" w:pos="1425"/>
        <w:tab w:val="right" w:pos="9720"/>
      </w:tabs>
      <w:spacing w:after="288"/>
      <w:ind w:left="2160"/>
      <w:jc w:val="both"/>
    </w:pPr>
    <w:rPr>
      <w:snapToGrid w:val="0"/>
      <w:color w:val="000000"/>
      <w:sz w:val="24"/>
      <w:lang w:eastAsia="en-US"/>
    </w:rPr>
  </w:style>
  <w:style w:type="paragraph" w:customStyle="1" w:styleId="TableMidLine">
    <w:name w:val="Table MidLine"/>
    <w:uiPriority w:val="99"/>
    <w:qFormat/>
    <w:pPr>
      <w:widowControl w:val="0"/>
      <w:spacing w:line="360" w:lineRule="atLeast"/>
    </w:pPr>
    <w:rPr>
      <w:snapToGrid w:val="0"/>
      <w:color w:val="000000"/>
      <w:sz w:val="24"/>
      <w:lang w:eastAsia="en-US"/>
    </w:rPr>
  </w:style>
  <w:style w:type="character" w:customStyle="1" w:styleId="read1">
    <w:name w:val="read1"/>
    <w:qFormat/>
    <w:rPr>
      <w:rFonts w:ascii="ˎ̥" w:hAnsi="ˎ̥" w:hint="default"/>
      <w:color w:val="000000"/>
      <w:u w:val="none"/>
    </w:rPr>
  </w:style>
  <w:style w:type="paragraph" w:customStyle="1" w:styleId="textbody-c1">
    <w:name w:val="textbody-c1"/>
    <w:basedOn w:val="a0"/>
    <w:uiPriority w:val="99"/>
    <w:qFormat/>
    <w:pPr>
      <w:spacing w:before="100" w:beforeAutospacing="1" w:after="100" w:afterAutospacing="1"/>
    </w:pPr>
  </w:style>
  <w:style w:type="paragraph" w:customStyle="1" w:styleId="PP">
    <w:name w:val="PP 行"/>
    <w:basedOn w:val="affd"/>
    <w:uiPriority w:val="99"/>
    <w:qFormat/>
  </w:style>
  <w:style w:type="paragraph" w:customStyle="1" w:styleId="150">
    <w:name w:val="样式 两端对齐 行距: 1.5 倍行距"/>
    <w:basedOn w:val="a0"/>
    <w:uiPriority w:val="99"/>
    <w:qFormat/>
    <w:pPr>
      <w:widowControl w:val="0"/>
      <w:autoSpaceDE w:val="0"/>
      <w:autoSpaceDN w:val="0"/>
      <w:adjustRightInd w:val="0"/>
      <w:spacing w:line="360" w:lineRule="auto"/>
      <w:ind w:firstLineChars="200" w:firstLine="560"/>
      <w:jc w:val="both"/>
    </w:pPr>
    <w:rPr>
      <w:rFonts w:ascii="仿宋_GB2312" w:eastAsia="仿宋_GB2312" w:hAnsi="Times New Roman" w:cs="Times New Roman"/>
      <w:sz w:val="28"/>
      <w:szCs w:val="20"/>
    </w:rPr>
  </w:style>
  <w:style w:type="character" w:customStyle="1" w:styleId="f31">
    <w:name w:val="f31"/>
    <w:qFormat/>
    <w:rPr>
      <w:spacing w:val="375"/>
      <w:sz w:val="18"/>
      <w:szCs w:val="18"/>
      <w:u w:val="none"/>
    </w:rPr>
  </w:style>
  <w:style w:type="paragraph" w:customStyle="1" w:styleId="21215Char">
    <w:name w:val="样式 样式 样式 样式 首行缩进:  2 字符1 + 首行缩进:  2 字符 + 行距: 1.5 倍行距 Char + 首行缩进..."/>
    <w:basedOn w:val="a0"/>
    <w:uiPriority w:val="99"/>
    <w:qFormat/>
    <w:pPr>
      <w:widowControl w:val="0"/>
      <w:spacing w:line="360" w:lineRule="auto"/>
      <w:ind w:firstLineChars="200" w:firstLine="560"/>
      <w:jc w:val="both"/>
    </w:pPr>
    <w:rPr>
      <w:rFonts w:ascii="Times New Roman" w:hAnsi="Times New Roman" w:cs="Times New Roman"/>
      <w:kern w:val="2"/>
      <w:sz w:val="28"/>
      <w:szCs w:val="28"/>
    </w:rPr>
  </w:style>
  <w:style w:type="character" w:customStyle="1" w:styleId="dsfd">
    <w:name w:val="dsfd"/>
    <w:qFormat/>
  </w:style>
  <w:style w:type="character" w:customStyle="1" w:styleId="t151">
    <w:name w:val="t151"/>
    <w:qFormat/>
    <w:rPr>
      <w:rFonts w:ascii="ˎ̥" w:hAnsi="ˎ̥" w:hint="default"/>
      <w:color w:val="B34300"/>
      <w:sz w:val="18"/>
      <w:szCs w:val="18"/>
    </w:rPr>
  </w:style>
  <w:style w:type="character" w:customStyle="1" w:styleId="redcolor1">
    <w:name w:val="red_color1"/>
    <w:qFormat/>
    <w:rPr>
      <w:color w:val="990000"/>
    </w:rPr>
  </w:style>
  <w:style w:type="paragraph" w:customStyle="1" w:styleId="AT3">
    <w:name w:val="AT标题3"/>
    <w:basedOn w:val="31"/>
    <w:next w:val="a0"/>
    <w:uiPriority w:val="99"/>
    <w:qFormat/>
    <w:pPr>
      <w:keepNext w:val="0"/>
      <w:keepLines w:val="0"/>
      <w:widowControl/>
      <w:spacing w:before="0" w:after="0" w:line="360" w:lineRule="auto"/>
    </w:pPr>
    <w:rPr>
      <w:rFonts w:ascii="仿宋_GB2312" w:eastAsia="仿宋_GB2312" w:hAnsi="Times New Roman"/>
      <w:kern w:val="0"/>
      <w:sz w:val="28"/>
    </w:rPr>
  </w:style>
  <w:style w:type="paragraph" w:customStyle="1" w:styleId="AT">
    <w:name w:val="AT正文"/>
    <w:basedOn w:val="a0"/>
    <w:uiPriority w:val="99"/>
    <w:qFormat/>
    <w:pPr>
      <w:wordWrap w:val="0"/>
      <w:spacing w:line="360" w:lineRule="auto"/>
      <w:ind w:firstLineChars="2571" w:firstLine="5399"/>
    </w:pPr>
    <w:rPr>
      <w:rFonts w:ascii="Times New Roman" w:eastAsia="仿宋_GB2312" w:hAnsi="Times New Roman" w:cs="Times New Roman"/>
      <w:bCs/>
      <w:sz w:val="21"/>
      <w:szCs w:val="21"/>
    </w:rPr>
  </w:style>
  <w:style w:type="paragraph" w:customStyle="1" w:styleId="AT0">
    <w:name w:val="AT表格"/>
    <w:basedOn w:val="a0"/>
    <w:uiPriority w:val="99"/>
    <w:qFormat/>
    <w:pPr>
      <w:jc w:val="center"/>
    </w:pPr>
    <w:rPr>
      <w:rFonts w:ascii="Arial Narrow" w:eastAsia="仿宋_GB2312" w:hAnsi="Arial Narrow" w:cs="Times New Roman"/>
      <w:color w:val="000000"/>
      <w:sz w:val="18"/>
      <w:szCs w:val="18"/>
    </w:rPr>
  </w:style>
  <w:style w:type="paragraph" w:customStyle="1" w:styleId="AT1">
    <w:name w:val="AT表头"/>
    <w:basedOn w:val="AT"/>
    <w:uiPriority w:val="99"/>
    <w:qFormat/>
    <w:pPr>
      <w:ind w:firstLineChars="0" w:firstLine="0"/>
      <w:jc w:val="center"/>
    </w:pPr>
    <w:rPr>
      <w:b/>
    </w:rPr>
  </w:style>
  <w:style w:type="character" w:customStyle="1" w:styleId="da1">
    <w:name w:val="da1"/>
    <w:qFormat/>
    <w:rPr>
      <w:rFonts w:ascii="宋体" w:eastAsia="宋体" w:hAnsi="宋体" w:hint="eastAsia"/>
      <w:color w:val="000000"/>
      <w:spacing w:val="360"/>
      <w:sz w:val="28"/>
      <w:szCs w:val="28"/>
      <w:u w:val="none"/>
    </w:rPr>
  </w:style>
  <w:style w:type="character" w:customStyle="1" w:styleId="font21">
    <w:name w:val="font21"/>
    <w:qFormat/>
    <w:rPr>
      <w:color w:val="000000"/>
      <w:sz w:val="21"/>
      <w:szCs w:val="21"/>
      <w:u w:val="none"/>
    </w:rPr>
  </w:style>
  <w:style w:type="paragraph" w:customStyle="1" w:styleId="font10">
    <w:name w:val="font10"/>
    <w:basedOn w:val="a0"/>
    <w:qFormat/>
    <w:pPr>
      <w:spacing w:before="100" w:beforeAutospacing="1" w:after="100" w:afterAutospacing="1"/>
    </w:pPr>
    <w:rPr>
      <w:rFonts w:cs="Arial Unicode MS" w:hint="eastAsia"/>
      <w:color w:val="000000"/>
      <w:sz w:val="20"/>
      <w:szCs w:val="20"/>
    </w:rPr>
  </w:style>
  <w:style w:type="character" w:customStyle="1" w:styleId="md2">
    <w:name w:val="md2"/>
    <w:qFormat/>
    <w:rPr>
      <w:spacing w:val="300"/>
      <w:sz w:val="22"/>
      <w:szCs w:val="22"/>
    </w:rPr>
  </w:style>
  <w:style w:type="paragraph" w:customStyle="1" w:styleId="font11">
    <w:name w:val="font11"/>
    <w:basedOn w:val="a0"/>
    <w:uiPriority w:val="99"/>
    <w:qFormat/>
    <w:pPr>
      <w:spacing w:before="100" w:beforeAutospacing="1" w:after="100" w:afterAutospacing="1"/>
    </w:pPr>
    <w:rPr>
      <w:sz w:val="20"/>
      <w:szCs w:val="20"/>
    </w:rPr>
  </w:style>
  <w:style w:type="character" w:customStyle="1" w:styleId="h10">
    <w:name w:val="h1"/>
    <w:qFormat/>
    <w:rPr>
      <w:rFonts w:hint="default"/>
      <w:spacing w:val="274"/>
      <w:sz w:val="21"/>
      <w:szCs w:val="21"/>
    </w:rPr>
  </w:style>
  <w:style w:type="character" w:customStyle="1" w:styleId="style61">
    <w:name w:val="style61"/>
    <w:qFormat/>
    <w:rPr>
      <w:b/>
      <w:bCs/>
      <w:color w:val="CC0000"/>
      <w:sz w:val="33"/>
      <w:szCs w:val="33"/>
    </w:rPr>
  </w:style>
  <w:style w:type="paragraph" w:customStyle="1" w:styleId="314">
    <w:name w:val="正文文本缩进 31"/>
    <w:basedOn w:val="a0"/>
    <w:uiPriority w:val="99"/>
    <w:qFormat/>
    <w:pPr>
      <w:adjustRightInd w:val="0"/>
      <w:spacing w:line="440" w:lineRule="exact"/>
      <w:ind w:firstLine="480"/>
      <w:textAlignment w:val="baseline"/>
    </w:pPr>
    <w:rPr>
      <w:rFonts w:cs="Times New Roman"/>
      <w:szCs w:val="20"/>
    </w:rPr>
  </w:style>
  <w:style w:type="paragraph" w:customStyle="1" w:styleId="af32hichaf0dbchf32cgrid">
    <w:name w:val="af32hichaf0dbchf32cgrid"/>
    <w:uiPriority w:val="99"/>
    <w:qFormat/>
    <w:pPr>
      <w:widowControl w:val="0"/>
      <w:tabs>
        <w:tab w:val="left" w:pos="0"/>
      </w:tabs>
      <w:autoSpaceDE w:val="0"/>
      <w:autoSpaceDN w:val="0"/>
      <w:adjustRightInd w:val="0"/>
      <w:ind w:right="26" w:firstLine="480"/>
    </w:pPr>
    <w:rPr>
      <w:rFonts w:ascii="楷体_GB2312" w:eastAsia="楷体_GB2312"/>
      <w:sz w:val="28"/>
    </w:rPr>
  </w:style>
  <w:style w:type="character" w:customStyle="1" w:styleId="CharChar1">
    <w:name w:val="Char Char1"/>
    <w:qFormat/>
    <w:rPr>
      <w:rFonts w:ascii="宋体" w:eastAsia="宋体" w:hAnsi="宋体" w:cs="宋体"/>
      <w:color w:val="000080"/>
      <w:sz w:val="24"/>
      <w:szCs w:val="24"/>
      <w:lang w:val="en-US" w:eastAsia="zh-CN" w:bidi="ar-SA"/>
    </w:rPr>
  </w:style>
  <w:style w:type="paragraph" w:customStyle="1" w:styleId="ATCharCharCharCharCharChar">
    <w:name w:val="AT正文 Char Char Char Char Char Char"/>
    <w:basedOn w:val="a0"/>
    <w:uiPriority w:val="99"/>
    <w:qFormat/>
    <w:pPr>
      <w:wordWrap w:val="0"/>
      <w:spacing w:line="360" w:lineRule="auto"/>
      <w:jc w:val="both"/>
    </w:pPr>
    <w:rPr>
      <w:rFonts w:ascii="仿宋_GB2312" w:eastAsia="仿宋_GB2312" w:hAnsi="Times New Roman" w:cs="Times New Roman"/>
      <w:bCs/>
      <w:kern w:val="2"/>
      <w:sz w:val="28"/>
      <w:szCs w:val="28"/>
    </w:rPr>
  </w:style>
  <w:style w:type="paragraph" w:customStyle="1" w:styleId="1ff0">
    <w:name w:val="日期1"/>
    <w:basedOn w:val="a0"/>
    <w:next w:val="a0"/>
    <w:uiPriority w:val="99"/>
    <w:qFormat/>
    <w:pPr>
      <w:widowControl w:val="0"/>
      <w:adjustRightInd w:val="0"/>
      <w:spacing w:line="312" w:lineRule="atLeast"/>
      <w:jc w:val="both"/>
      <w:textAlignment w:val="baseline"/>
    </w:pPr>
    <w:rPr>
      <w:rFonts w:hAnsi="Times New Roman" w:cs="Times New Roman"/>
      <w:sz w:val="28"/>
      <w:szCs w:val="20"/>
    </w:rPr>
  </w:style>
  <w:style w:type="paragraph" w:customStyle="1" w:styleId="ZW1">
    <w:name w:val="ZW1"/>
    <w:basedOn w:val="a0"/>
    <w:uiPriority w:val="99"/>
    <w:qFormat/>
    <w:pPr>
      <w:widowControl w:val="0"/>
      <w:spacing w:before="120" w:line="360" w:lineRule="auto"/>
      <w:ind w:firstLine="567"/>
      <w:jc w:val="both"/>
    </w:pPr>
    <w:rPr>
      <w:rFonts w:ascii="Arial Narrow" w:hAnsi="Arial Narrow" w:cs="Times New Roman"/>
      <w:kern w:val="2"/>
      <w:szCs w:val="20"/>
    </w:rPr>
  </w:style>
  <w:style w:type="paragraph" w:customStyle="1" w:styleId="216">
    <w:name w:val="正文文本 21"/>
    <w:basedOn w:val="a0"/>
    <w:uiPriority w:val="99"/>
    <w:qFormat/>
    <w:pPr>
      <w:widowControl w:val="0"/>
      <w:adjustRightInd w:val="0"/>
      <w:ind w:firstLine="420"/>
      <w:textAlignment w:val="baseline"/>
    </w:pPr>
    <w:rPr>
      <w:rFonts w:hAnsi="Times New Roman" w:cs="Times New Roman"/>
      <w:color w:val="000000"/>
      <w:kern w:val="2"/>
      <w:szCs w:val="20"/>
    </w:rPr>
  </w:style>
  <w:style w:type="paragraph" w:customStyle="1" w:styleId="xl1077">
    <w:name w:val="xl1077"/>
    <w:basedOn w:val="a0"/>
    <w:uiPriority w:val="99"/>
    <w:qFormat/>
    <w:pPr>
      <w:spacing w:before="100" w:after="100"/>
      <w:jc w:val="center"/>
      <w:textAlignment w:val="center"/>
    </w:pPr>
    <w:rPr>
      <w:rFonts w:ascii="仿宋_GB2312" w:eastAsia="仿宋_GB2312" w:cs="Times New Roman" w:hint="eastAsia"/>
      <w:b/>
      <w:szCs w:val="20"/>
    </w:rPr>
  </w:style>
  <w:style w:type="paragraph" w:customStyle="1" w:styleId="afffffffd">
    <w:name w:val="标准"/>
    <w:basedOn w:val="a0"/>
    <w:uiPriority w:val="99"/>
    <w:qFormat/>
    <w:pPr>
      <w:widowControl w:val="0"/>
      <w:autoSpaceDE w:val="0"/>
      <w:autoSpaceDN w:val="0"/>
      <w:adjustRightInd w:val="0"/>
      <w:spacing w:line="360" w:lineRule="auto"/>
      <w:jc w:val="center"/>
      <w:textAlignment w:val="baseline"/>
    </w:pPr>
    <w:rPr>
      <w:rFonts w:ascii="仿宋_GB2312" w:eastAsia="仿宋_GB2312" w:hAnsi="Times New Roman" w:cs="Times New Roman"/>
      <w:kern w:val="2"/>
      <w:szCs w:val="20"/>
    </w:rPr>
  </w:style>
  <w:style w:type="paragraph" w:customStyle="1" w:styleId="Char30">
    <w:name w:val="Char3"/>
    <w:basedOn w:val="a0"/>
    <w:uiPriority w:val="99"/>
    <w:qFormat/>
    <w:pPr>
      <w:widowControl w:val="0"/>
      <w:jc w:val="both"/>
    </w:pPr>
    <w:rPr>
      <w:rFonts w:ascii="Times New Roman" w:hAnsi="Times New Roman" w:cs="Times New Roman"/>
      <w:kern w:val="2"/>
      <w:sz w:val="21"/>
    </w:rPr>
  </w:style>
  <w:style w:type="paragraph" w:customStyle="1" w:styleId="xl72">
    <w:name w:val="xl72"/>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cs="Times New Roman" w:hint="eastAsia"/>
      <w:sz w:val="20"/>
      <w:szCs w:val="20"/>
    </w:rPr>
  </w:style>
  <w:style w:type="paragraph" w:customStyle="1" w:styleId="Char2CharCharCharCharCharCharCharCharChar">
    <w:name w:val="Char2 Char Char Char Char Char Char Char Char Char"/>
    <w:basedOn w:val="a0"/>
    <w:uiPriority w:val="99"/>
    <w:qFormat/>
    <w:pPr>
      <w:widowControl w:val="0"/>
      <w:jc w:val="both"/>
    </w:pPr>
    <w:rPr>
      <w:rFonts w:ascii="Tahoma" w:hAnsi="Tahoma" w:cs="Times New Roman"/>
      <w:kern w:val="2"/>
      <w:szCs w:val="20"/>
    </w:rPr>
  </w:style>
  <w:style w:type="paragraph" w:customStyle="1" w:styleId="CharCharChar1Char">
    <w:name w:val="Char Char Char1 Char"/>
    <w:basedOn w:val="a0"/>
    <w:uiPriority w:val="99"/>
    <w:qFormat/>
    <w:pPr>
      <w:widowControl w:val="0"/>
      <w:jc w:val="both"/>
    </w:pPr>
    <w:rPr>
      <w:rFonts w:ascii="Tahoma" w:hAnsi="Tahoma" w:cs="Times New Roman"/>
      <w:kern w:val="2"/>
      <w:szCs w:val="20"/>
    </w:rPr>
  </w:style>
  <w:style w:type="character" w:customStyle="1" w:styleId="zwChar0">
    <w:name w:val="zw Char"/>
    <w:link w:val="zw0"/>
    <w:qFormat/>
    <w:rPr>
      <w:rFonts w:ascii="Arial Narrow" w:eastAsia="楷体_GB2312" w:hAnsi="Arial Narrow" w:cs="Times New Roman"/>
      <w:kern w:val="0"/>
      <w:sz w:val="24"/>
      <w:szCs w:val="20"/>
    </w:rPr>
  </w:style>
  <w:style w:type="character" w:customStyle="1" w:styleId="ho121">
    <w:name w:val="ho121"/>
    <w:qFormat/>
    <w:rPr>
      <w:color w:val="CC0000"/>
    </w:rPr>
  </w:style>
  <w:style w:type="paragraph" w:customStyle="1" w:styleId="126">
    <w:name w:val="纯文本12"/>
    <w:basedOn w:val="a0"/>
    <w:uiPriority w:val="99"/>
    <w:qFormat/>
    <w:pPr>
      <w:widowControl w:val="0"/>
      <w:adjustRightInd w:val="0"/>
      <w:jc w:val="both"/>
      <w:textAlignment w:val="baseline"/>
    </w:pPr>
    <w:rPr>
      <w:rFonts w:hAnsi="Times New Roman" w:cs="Times New Roman"/>
      <w:sz w:val="21"/>
      <w:szCs w:val="20"/>
    </w:rPr>
  </w:style>
  <w:style w:type="paragraph" w:customStyle="1" w:styleId="CharChar1Char2">
    <w:name w:val="Char Char1 Char2"/>
    <w:basedOn w:val="a0"/>
    <w:uiPriority w:val="99"/>
    <w:qFormat/>
    <w:pPr>
      <w:widowControl w:val="0"/>
      <w:jc w:val="both"/>
    </w:pPr>
    <w:rPr>
      <w:rFonts w:ascii="Times New Roman" w:hAnsi="Times New Roman" w:cs="Times New Roman"/>
      <w:kern w:val="2"/>
      <w:sz w:val="21"/>
      <w:szCs w:val="20"/>
    </w:rPr>
  </w:style>
  <w:style w:type="paragraph" w:customStyle="1" w:styleId="1CharCharCharCharCharChar">
    <w:name w:val="1 Char Char Char Char Char Char"/>
    <w:basedOn w:val="a0"/>
    <w:uiPriority w:val="99"/>
    <w:qFormat/>
    <w:pPr>
      <w:widowControl w:val="0"/>
      <w:jc w:val="both"/>
    </w:pPr>
    <w:rPr>
      <w:rFonts w:ascii="Tahoma" w:hAnsi="Tahoma" w:cs="Times New Roman"/>
      <w:kern w:val="2"/>
      <w:szCs w:val="20"/>
    </w:rPr>
  </w:style>
  <w:style w:type="paragraph" w:customStyle="1" w:styleId="1CharCharCharCharCharChar1Char">
    <w:name w:val="1 Char Char Char Char Char Char1 Char"/>
    <w:basedOn w:val="a0"/>
    <w:uiPriority w:val="99"/>
    <w:qFormat/>
    <w:pPr>
      <w:widowControl w:val="0"/>
      <w:jc w:val="both"/>
    </w:pPr>
    <w:rPr>
      <w:rFonts w:ascii="Tahoma" w:hAnsi="Tahoma" w:cs="Times New Roman"/>
      <w:kern w:val="2"/>
      <w:szCs w:val="20"/>
    </w:rPr>
  </w:style>
  <w:style w:type="paragraph" w:customStyle="1" w:styleId="afffffffe">
    <w:name w:val="表格数据"/>
    <w:basedOn w:val="a0"/>
    <w:uiPriority w:val="99"/>
    <w:qFormat/>
    <w:pPr>
      <w:widowControl w:val="0"/>
      <w:spacing w:line="400" w:lineRule="exact"/>
      <w:jc w:val="right"/>
    </w:pPr>
    <w:rPr>
      <w:rFonts w:ascii="Times New Roman" w:eastAsia="仿宋_GB2312" w:hAnsi="Times New Roman"/>
      <w:kern w:val="2"/>
      <w:sz w:val="21"/>
      <w:szCs w:val="20"/>
    </w:rPr>
  </w:style>
  <w:style w:type="paragraph" w:customStyle="1" w:styleId="affffffff">
    <w:name w:val="表格正文"/>
    <w:basedOn w:val="a0"/>
    <w:uiPriority w:val="99"/>
    <w:qFormat/>
    <w:pPr>
      <w:widowControl w:val="0"/>
      <w:spacing w:line="400" w:lineRule="exact"/>
      <w:jc w:val="both"/>
    </w:pPr>
    <w:rPr>
      <w:rFonts w:ascii="仿宋_GB2312" w:eastAsia="仿宋_GB2312" w:hAnsi="Times New Roman"/>
      <w:b/>
      <w:bCs/>
      <w:kern w:val="2"/>
      <w:sz w:val="21"/>
      <w:szCs w:val="20"/>
    </w:rPr>
  </w:style>
  <w:style w:type="paragraph" w:customStyle="1" w:styleId="AT10">
    <w:name w:val="AT标题1"/>
    <w:basedOn w:val="1"/>
    <w:next w:val="a0"/>
    <w:uiPriority w:val="99"/>
    <w:qFormat/>
    <w:pPr>
      <w:keepNext w:val="0"/>
      <w:keepLines w:val="0"/>
      <w:spacing w:after="0" w:line="360" w:lineRule="auto"/>
      <w:jc w:val="center"/>
    </w:pPr>
    <w:rPr>
      <w:rFonts w:ascii="仿宋_GB2312" w:eastAsia="仿宋_GB2312" w:hAnsi="宋体"/>
      <w:spacing w:val="20"/>
      <w:sz w:val="32"/>
      <w:szCs w:val="36"/>
    </w:rPr>
  </w:style>
  <w:style w:type="paragraph" w:customStyle="1" w:styleId="CharCharCharCharCharCharCharCharCharChar">
    <w:name w:val="Char Char Char Char Char Char Char Char Char Char"/>
    <w:basedOn w:val="a0"/>
    <w:uiPriority w:val="99"/>
    <w:qFormat/>
    <w:pPr>
      <w:widowControl w:val="0"/>
      <w:jc w:val="both"/>
    </w:pPr>
    <w:rPr>
      <w:rFonts w:ascii="Tahoma" w:hAnsi="Tahoma" w:cs="Times New Roman"/>
      <w:kern w:val="2"/>
      <w:szCs w:val="20"/>
    </w:rPr>
  </w:style>
  <w:style w:type="paragraph" w:customStyle="1" w:styleId="CharCharChar1Char2">
    <w:name w:val="Char Char Char1 Char2"/>
    <w:basedOn w:val="a0"/>
    <w:uiPriority w:val="99"/>
    <w:qFormat/>
    <w:pPr>
      <w:widowControl w:val="0"/>
      <w:jc w:val="both"/>
    </w:pPr>
    <w:rPr>
      <w:rFonts w:ascii="Tahoma" w:hAnsi="Tahoma" w:cs="Times New Roman"/>
      <w:kern w:val="2"/>
      <w:szCs w:val="20"/>
    </w:rPr>
  </w:style>
  <w:style w:type="paragraph" w:customStyle="1" w:styleId="Char41">
    <w:name w:val="Char41"/>
    <w:basedOn w:val="a0"/>
    <w:uiPriority w:val="99"/>
    <w:qFormat/>
    <w:pPr>
      <w:widowControl w:val="0"/>
      <w:jc w:val="both"/>
    </w:pPr>
    <w:rPr>
      <w:rFonts w:ascii="Tahoma" w:hAnsi="Tahoma" w:cs="Times New Roman"/>
      <w:kern w:val="2"/>
      <w:szCs w:val="20"/>
    </w:rPr>
  </w:style>
  <w:style w:type="paragraph" w:customStyle="1" w:styleId="Char110">
    <w:name w:val="Char11"/>
    <w:basedOn w:val="a0"/>
    <w:link w:val="Char1Char1"/>
    <w:qFormat/>
    <w:pPr>
      <w:widowControl w:val="0"/>
      <w:jc w:val="both"/>
    </w:pPr>
    <w:rPr>
      <w:rFonts w:ascii="Tahoma" w:hAnsi="Tahoma" w:cs="Times New Roman"/>
      <w:kern w:val="2"/>
      <w:szCs w:val="20"/>
    </w:rPr>
  </w:style>
  <w:style w:type="character" w:customStyle="1" w:styleId="Char1Char1">
    <w:name w:val="Char1 Char1"/>
    <w:link w:val="Char110"/>
    <w:qFormat/>
    <w:rPr>
      <w:rFonts w:ascii="Tahoma" w:eastAsia="宋体" w:hAnsi="Tahoma" w:cs="Times New Roman"/>
      <w:sz w:val="24"/>
      <w:szCs w:val="20"/>
    </w:rPr>
  </w:style>
  <w:style w:type="paragraph" w:customStyle="1" w:styleId="Char2CharCharChar1">
    <w:name w:val="Char2 Char Char Char1"/>
    <w:basedOn w:val="a0"/>
    <w:uiPriority w:val="99"/>
    <w:qFormat/>
    <w:pPr>
      <w:widowControl w:val="0"/>
      <w:jc w:val="both"/>
    </w:pPr>
    <w:rPr>
      <w:rFonts w:ascii="Tahoma" w:hAnsi="Tahoma" w:cs="Times New Roman"/>
      <w:kern w:val="2"/>
      <w:szCs w:val="20"/>
    </w:rPr>
  </w:style>
  <w:style w:type="paragraph" w:customStyle="1" w:styleId="Char1CharCharChar1">
    <w:name w:val="Char1 Char Char Char1"/>
    <w:basedOn w:val="a0"/>
    <w:uiPriority w:val="99"/>
    <w:qFormat/>
    <w:pPr>
      <w:widowControl w:val="0"/>
      <w:jc w:val="both"/>
    </w:pPr>
    <w:rPr>
      <w:rFonts w:ascii="Tahoma" w:hAnsi="Tahoma" w:cs="Times New Roman"/>
      <w:kern w:val="2"/>
      <w:szCs w:val="20"/>
    </w:rPr>
  </w:style>
  <w:style w:type="paragraph" w:customStyle="1" w:styleId="Char4CharCharCharCharCharCharCharCharCharCharCharCharCharChar1">
    <w:name w:val="Char4 Char Char Char Char Char Char Char Char Char Char Char Char Char Char1"/>
    <w:basedOn w:val="a0"/>
    <w:uiPriority w:val="99"/>
    <w:qFormat/>
    <w:pPr>
      <w:widowControl w:val="0"/>
      <w:jc w:val="both"/>
    </w:pPr>
    <w:rPr>
      <w:rFonts w:ascii="Tahoma" w:hAnsi="Tahoma" w:cs="Times New Roman"/>
      <w:kern w:val="2"/>
      <w:szCs w:val="20"/>
    </w:rPr>
  </w:style>
  <w:style w:type="paragraph" w:customStyle="1" w:styleId="Char2CharChar1CharCharCharCharCharCharCharCharChar1">
    <w:name w:val="Char2 Char Char1 Char Char Char Char Char Char Char Char Char1"/>
    <w:basedOn w:val="a0"/>
    <w:uiPriority w:val="99"/>
    <w:qFormat/>
    <w:pPr>
      <w:widowControl w:val="0"/>
      <w:jc w:val="both"/>
    </w:pPr>
    <w:rPr>
      <w:rFonts w:ascii="Tahoma" w:hAnsi="Tahoma" w:cs="Times New Roman"/>
      <w:kern w:val="2"/>
      <w:szCs w:val="20"/>
    </w:rPr>
  </w:style>
  <w:style w:type="paragraph" w:customStyle="1" w:styleId="CharCharChar1">
    <w:name w:val="Char Char Char1"/>
    <w:basedOn w:val="a0"/>
    <w:uiPriority w:val="99"/>
    <w:qFormat/>
    <w:pPr>
      <w:spacing w:after="160" w:line="240" w:lineRule="exact"/>
    </w:pPr>
    <w:rPr>
      <w:rFonts w:ascii="Verdana" w:hAnsi="Verdana" w:cs="Times New Roman"/>
      <w:sz w:val="20"/>
      <w:szCs w:val="20"/>
      <w:lang w:eastAsia="en-US"/>
    </w:rPr>
  </w:style>
  <w:style w:type="paragraph" w:customStyle="1" w:styleId="217">
    <w:name w:val="正文21"/>
    <w:uiPriority w:val="99"/>
    <w:qFormat/>
    <w:pPr>
      <w:widowControl w:val="0"/>
      <w:adjustRightInd w:val="0"/>
      <w:spacing w:line="312" w:lineRule="atLeast"/>
      <w:jc w:val="both"/>
      <w:textAlignment w:val="baseline"/>
    </w:pPr>
    <w:rPr>
      <w:rFonts w:ascii="宋体"/>
      <w:sz w:val="34"/>
    </w:rPr>
  </w:style>
  <w:style w:type="paragraph" w:customStyle="1" w:styleId="CharCharCharCharCharCharChar1">
    <w:name w:val="Char Char Char Char Char Char Char1"/>
    <w:basedOn w:val="a0"/>
    <w:uiPriority w:val="99"/>
    <w:qFormat/>
    <w:pPr>
      <w:spacing w:after="160" w:line="240" w:lineRule="exact"/>
    </w:pPr>
    <w:rPr>
      <w:rFonts w:ascii="Times New Roman" w:eastAsia="Times New Roman" w:hAnsi="Times New Roman" w:cs="Angsana New"/>
      <w:sz w:val="20"/>
      <w:szCs w:val="20"/>
      <w:lang w:bidi="th-TH"/>
    </w:rPr>
  </w:style>
  <w:style w:type="paragraph" w:customStyle="1" w:styleId="3110">
    <w:name w:val="正文文本缩进 311"/>
    <w:basedOn w:val="a0"/>
    <w:uiPriority w:val="99"/>
    <w:qFormat/>
    <w:pPr>
      <w:adjustRightInd w:val="0"/>
      <w:spacing w:line="440" w:lineRule="exact"/>
      <w:ind w:firstLine="480"/>
      <w:textAlignment w:val="baseline"/>
    </w:pPr>
    <w:rPr>
      <w:rFonts w:cs="Times New Roman"/>
      <w:szCs w:val="20"/>
    </w:rPr>
  </w:style>
  <w:style w:type="character" w:customStyle="1" w:styleId="CharChar11">
    <w:name w:val="Char Char11"/>
    <w:qFormat/>
    <w:rPr>
      <w:rFonts w:ascii="宋体" w:eastAsia="宋体" w:hAnsi="宋体" w:cs="宋体"/>
      <w:color w:val="000080"/>
      <w:sz w:val="24"/>
      <w:szCs w:val="24"/>
      <w:lang w:val="en-US" w:eastAsia="zh-CN" w:bidi="ar-SA"/>
    </w:rPr>
  </w:style>
  <w:style w:type="paragraph" w:customStyle="1" w:styleId="116">
    <w:name w:val="日期11"/>
    <w:basedOn w:val="a0"/>
    <w:next w:val="a0"/>
    <w:uiPriority w:val="99"/>
    <w:qFormat/>
    <w:pPr>
      <w:widowControl w:val="0"/>
      <w:adjustRightInd w:val="0"/>
      <w:spacing w:line="312" w:lineRule="atLeast"/>
      <w:jc w:val="both"/>
      <w:textAlignment w:val="baseline"/>
    </w:pPr>
    <w:rPr>
      <w:rFonts w:hAnsi="Times New Roman" w:cs="Times New Roman"/>
      <w:sz w:val="28"/>
      <w:szCs w:val="20"/>
    </w:rPr>
  </w:style>
  <w:style w:type="paragraph" w:customStyle="1" w:styleId="2113">
    <w:name w:val="正文文本缩进 211"/>
    <w:basedOn w:val="a0"/>
    <w:uiPriority w:val="99"/>
    <w:qFormat/>
    <w:pPr>
      <w:widowControl w:val="0"/>
      <w:adjustRightInd w:val="0"/>
      <w:ind w:firstLine="435"/>
      <w:textAlignment w:val="baseline"/>
    </w:pPr>
    <w:rPr>
      <w:rFonts w:ascii="Times New Roman" w:hAnsi="Times New Roman" w:cs="Times New Roman"/>
      <w:color w:val="000000"/>
      <w:kern w:val="2"/>
      <w:sz w:val="28"/>
      <w:szCs w:val="20"/>
    </w:rPr>
  </w:style>
  <w:style w:type="paragraph" w:customStyle="1" w:styleId="2114">
    <w:name w:val="正文文本 211"/>
    <w:basedOn w:val="a0"/>
    <w:uiPriority w:val="99"/>
    <w:qFormat/>
    <w:pPr>
      <w:widowControl w:val="0"/>
      <w:adjustRightInd w:val="0"/>
      <w:ind w:firstLine="420"/>
      <w:textAlignment w:val="baseline"/>
    </w:pPr>
    <w:rPr>
      <w:rFonts w:hAnsi="Times New Roman" w:cs="Times New Roman"/>
      <w:color w:val="000000"/>
      <w:kern w:val="2"/>
      <w:szCs w:val="20"/>
    </w:rPr>
  </w:style>
  <w:style w:type="paragraph" w:customStyle="1" w:styleId="Char20">
    <w:name w:val="Char2"/>
    <w:basedOn w:val="a0"/>
    <w:uiPriority w:val="99"/>
    <w:qFormat/>
    <w:pPr>
      <w:widowControl w:val="0"/>
      <w:jc w:val="both"/>
    </w:pPr>
    <w:rPr>
      <w:rFonts w:ascii="Times New Roman" w:hAnsi="Times New Roman" w:cs="Times New Roman"/>
      <w:kern w:val="2"/>
      <w:sz w:val="21"/>
    </w:rPr>
  </w:style>
  <w:style w:type="paragraph" w:customStyle="1" w:styleId="Char2CharCharCharCharCharCharCharCharChar1">
    <w:name w:val="Char2 Char Char Char Char Char Char Char Char Char1"/>
    <w:basedOn w:val="a0"/>
    <w:uiPriority w:val="99"/>
    <w:qFormat/>
    <w:pPr>
      <w:widowControl w:val="0"/>
      <w:jc w:val="both"/>
    </w:pPr>
    <w:rPr>
      <w:rFonts w:ascii="Tahoma" w:hAnsi="Tahoma" w:cs="Times New Roman"/>
      <w:kern w:val="2"/>
      <w:szCs w:val="20"/>
    </w:rPr>
  </w:style>
  <w:style w:type="paragraph" w:customStyle="1" w:styleId="117">
    <w:name w:val="纯文本11"/>
    <w:basedOn w:val="a0"/>
    <w:uiPriority w:val="99"/>
    <w:qFormat/>
    <w:pPr>
      <w:widowControl w:val="0"/>
      <w:adjustRightInd w:val="0"/>
      <w:jc w:val="both"/>
      <w:textAlignment w:val="baseline"/>
    </w:pPr>
    <w:rPr>
      <w:rFonts w:hAnsi="Times New Roman" w:cs="Times New Roman"/>
      <w:sz w:val="21"/>
      <w:szCs w:val="20"/>
    </w:rPr>
  </w:style>
  <w:style w:type="paragraph" w:customStyle="1" w:styleId="CharChar1Char1">
    <w:name w:val="Char Char1 Char1"/>
    <w:basedOn w:val="a0"/>
    <w:uiPriority w:val="99"/>
    <w:qFormat/>
    <w:pPr>
      <w:widowControl w:val="0"/>
      <w:jc w:val="both"/>
    </w:pPr>
    <w:rPr>
      <w:rFonts w:ascii="Times New Roman" w:hAnsi="Times New Roman" w:cs="Times New Roman"/>
      <w:kern w:val="2"/>
      <w:sz w:val="21"/>
      <w:szCs w:val="20"/>
    </w:rPr>
  </w:style>
  <w:style w:type="paragraph" w:customStyle="1" w:styleId="CharCharChar1Char1">
    <w:name w:val="Char Char Char1 Char1"/>
    <w:basedOn w:val="a0"/>
    <w:uiPriority w:val="99"/>
    <w:qFormat/>
    <w:pPr>
      <w:widowControl w:val="0"/>
      <w:jc w:val="both"/>
    </w:pPr>
    <w:rPr>
      <w:rFonts w:ascii="Tahoma" w:hAnsi="Tahoma" w:cs="Times New Roman"/>
      <w:kern w:val="2"/>
      <w:szCs w:val="20"/>
    </w:rPr>
  </w:style>
  <w:style w:type="paragraph" w:customStyle="1" w:styleId="CharCharCharChar1">
    <w:name w:val="Char Char Char Char1"/>
    <w:basedOn w:val="a0"/>
    <w:uiPriority w:val="99"/>
    <w:qFormat/>
    <w:pPr>
      <w:widowControl w:val="0"/>
      <w:jc w:val="both"/>
    </w:pPr>
    <w:rPr>
      <w:rFonts w:ascii="Tahoma" w:hAnsi="Tahoma" w:cs="Times New Roman"/>
      <w:kern w:val="2"/>
      <w:szCs w:val="20"/>
    </w:rPr>
  </w:style>
  <w:style w:type="character" w:customStyle="1" w:styleId="af">
    <w:name w:val="正文缩进 字符"/>
    <w:link w:val="ae"/>
    <w:qFormat/>
    <w:rPr>
      <w:rFonts w:ascii="Times New Roman" w:eastAsia="仿宋_GB2312" w:hAnsi="Times New Roman" w:cs="Times New Roman"/>
      <w:sz w:val="24"/>
      <w:szCs w:val="20"/>
    </w:rPr>
  </w:style>
  <w:style w:type="paragraph" w:customStyle="1" w:styleId="affffffff0">
    <w:name w:val="尽职正文"/>
    <w:basedOn w:val="HTML1"/>
    <w:uiPriority w:val="99"/>
    <w:qFormat/>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spacing w:beforeLines="50" w:line="400" w:lineRule="exact"/>
      <w:ind w:firstLineChars="200" w:firstLine="200"/>
      <w:jc w:val="both"/>
    </w:pPr>
    <w:rPr>
      <w:rFonts w:hAnsi="Courier New" w:cs="Courier New"/>
      <w:kern w:val="0"/>
      <w:sz w:val="23"/>
      <w:szCs w:val="20"/>
    </w:rPr>
  </w:style>
  <w:style w:type="paragraph" w:customStyle="1" w:styleId="Charff">
    <w:name w:val="默认段落字体 Char"/>
    <w:basedOn w:val="a0"/>
    <w:uiPriority w:val="99"/>
    <w:qFormat/>
    <w:pPr>
      <w:widowControl w:val="0"/>
      <w:jc w:val="both"/>
    </w:pPr>
    <w:rPr>
      <w:rFonts w:ascii="Tahoma" w:hAnsi="Tahoma" w:cs="Times New Roman"/>
      <w:kern w:val="2"/>
      <w:szCs w:val="20"/>
    </w:rPr>
  </w:style>
  <w:style w:type="paragraph" w:customStyle="1" w:styleId="1CharCharCharChar">
    <w:name w:val="1 Char Char Char Char"/>
    <w:basedOn w:val="a0"/>
    <w:uiPriority w:val="99"/>
    <w:qFormat/>
    <w:pPr>
      <w:widowControl w:val="0"/>
      <w:jc w:val="both"/>
    </w:pPr>
    <w:rPr>
      <w:rFonts w:ascii="Tahoma" w:hAnsi="Tahoma" w:cs="Times New Roman"/>
      <w:kern w:val="2"/>
      <w:szCs w:val="20"/>
    </w:rPr>
  </w:style>
  <w:style w:type="character" w:customStyle="1" w:styleId="highlight1">
    <w:name w:val="highlight1"/>
    <w:qFormat/>
    <w:rPr>
      <w:sz w:val="21"/>
      <w:szCs w:val="21"/>
    </w:rPr>
  </w:style>
  <w:style w:type="paragraph" w:customStyle="1" w:styleId="DecimalAligned">
    <w:name w:val="Decimal Aligned"/>
    <w:basedOn w:val="a0"/>
    <w:uiPriority w:val="40"/>
    <w:qFormat/>
    <w:pPr>
      <w:tabs>
        <w:tab w:val="decimal" w:pos="360"/>
      </w:tabs>
      <w:spacing w:after="200" w:line="276" w:lineRule="auto"/>
    </w:pPr>
    <w:rPr>
      <w:rFonts w:ascii="Calibri" w:hAnsi="Calibri" w:cs="Times New Roman"/>
      <w:sz w:val="22"/>
      <w:szCs w:val="22"/>
    </w:rPr>
  </w:style>
  <w:style w:type="character" w:customStyle="1" w:styleId="1ff1">
    <w:name w:val="不明显强调1"/>
    <w:uiPriority w:val="19"/>
    <w:qFormat/>
    <w:rPr>
      <w:rFonts w:eastAsia="宋体" w:cs="Times New Roman"/>
      <w:i/>
      <w:iCs/>
      <w:color w:val="808080"/>
      <w:szCs w:val="22"/>
      <w:lang w:eastAsia="zh-CN"/>
    </w:rPr>
  </w:style>
  <w:style w:type="character" w:customStyle="1" w:styleId="CharChar12">
    <w:name w:val="Char Char12"/>
    <w:qFormat/>
    <w:rPr>
      <w:rFonts w:eastAsia="宋体"/>
      <w:kern w:val="2"/>
      <w:sz w:val="21"/>
      <w:szCs w:val="20"/>
      <w:lang w:val="en-US" w:eastAsia="zh-CN" w:bidi="ar-SA"/>
    </w:rPr>
  </w:style>
  <w:style w:type="character" w:customStyle="1" w:styleId="CharChar9">
    <w:name w:val="Char Char9"/>
    <w:qFormat/>
    <w:rPr>
      <w:rFonts w:ascii="Times New Roman" w:eastAsia="宋体" w:hAnsi="Times New Roman" w:cs="Times New Roman"/>
      <w:sz w:val="18"/>
      <w:szCs w:val="20"/>
    </w:rPr>
  </w:style>
  <w:style w:type="character" w:customStyle="1" w:styleId="CharChar6">
    <w:name w:val="Char Char6"/>
    <w:qFormat/>
    <w:rPr>
      <w:rFonts w:ascii="Times New Roman" w:eastAsia="宋体" w:hAnsi="Times New Roman" w:cs="Times New Roman"/>
      <w:sz w:val="18"/>
      <w:szCs w:val="20"/>
    </w:rPr>
  </w:style>
  <w:style w:type="character" w:customStyle="1" w:styleId="k1">
    <w:name w:val="k1"/>
    <w:qFormat/>
    <w:rPr>
      <w:color w:val="999999"/>
    </w:rPr>
  </w:style>
  <w:style w:type="character" w:customStyle="1" w:styleId="zzzz1">
    <w:name w:val="zzzz1"/>
    <w:qFormat/>
    <w:rPr>
      <w:sz w:val="20"/>
      <w:szCs w:val="20"/>
    </w:rPr>
  </w:style>
  <w:style w:type="character" w:customStyle="1" w:styleId="CharChar3">
    <w:name w:val="Char Char3"/>
    <w:qFormat/>
    <w:rPr>
      <w:rFonts w:ascii="宋体" w:hAnsi="Courier New"/>
      <w:kern w:val="2"/>
      <w:sz w:val="28"/>
    </w:rPr>
  </w:style>
  <w:style w:type="paragraph" w:customStyle="1" w:styleId="affffffff1">
    <w:name w:val="内容"/>
    <w:basedOn w:val="a0"/>
    <w:uiPriority w:val="99"/>
    <w:qFormat/>
    <w:pPr>
      <w:widowControl w:val="0"/>
      <w:spacing w:line="360" w:lineRule="exact"/>
      <w:ind w:firstLine="314"/>
      <w:jc w:val="both"/>
    </w:pPr>
    <w:rPr>
      <w:rFonts w:ascii="楷体_GB2312" w:eastAsia="楷体_GB2312" w:hAnsi="Arial" w:cs="Arial"/>
      <w:kern w:val="2"/>
      <w:sz w:val="28"/>
    </w:rPr>
  </w:style>
  <w:style w:type="character" w:customStyle="1" w:styleId="content1">
    <w:name w:val="content1"/>
    <w:qFormat/>
    <w:rPr>
      <w:rFonts w:ascii="Arial" w:hAnsi="Arial" w:cs="Arial" w:hint="default"/>
      <w:color w:val="000000"/>
      <w:sz w:val="16"/>
      <w:szCs w:val="16"/>
    </w:rPr>
  </w:style>
  <w:style w:type="character" w:customStyle="1" w:styleId="CharChar">
    <w:name w:val="Char Char"/>
    <w:qFormat/>
    <w:locked/>
    <w:rPr>
      <w:rFonts w:ascii="宋体" w:eastAsia="宋体" w:hAnsi="Courier New"/>
      <w:kern w:val="2"/>
      <w:sz w:val="21"/>
      <w:lang w:val="en-US" w:eastAsia="zh-CN" w:bidi="ar-SA"/>
    </w:rPr>
  </w:style>
  <w:style w:type="paragraph" w:customStyle="1" w:styleId="zw00">
    <w:name w:val="zw0"/>
    <w:basedOn w:val="a0"/>
    <w:uiPriority w:val="99"/>
    <w:qFormat/>
    <w:pPr>
      <w:spacing w:line="440" w:lineRule="atLeast"/>
      <w:ind w:firstLine="601"/>
      <w:jc w:val="both"/>
    </w:pPr>
    <w:rPr>
      <w:rFonts w:ascii="Arial Narrow" w:hAnsi="Arial Narrow"/>
      <w:sz w:val="28"/>
      <w:szCs w:val="28"/>
    </w:rPr>
  </w:style>
  <w:style w:type="paragraph" w:styleId="affffffff2">
    <w:name w:val="No Spacing"/>
    <w:uiPriority w:val="1"/>
    <w:qFormat/>
    <w:pPr>
      <w:widowControl w:val="0"/>
      <w:jc w:val="both"/>
    </w:pPr>
    <w:rPr>
      <w:rFonts w:ascii="Calibri" w:hAnsi="Calibri"/>
      <w:kern w:val="2"/>
      <w:sz w:val="21"/>
      <w:szCs w:val="22"/>
    </w:rPr>
  </w:style>
  <w:style w:type="character" w:customStyle="1" w:styleId="zwCharChar">
    <w:name w:val="zw Char Char"/>
    <w:qFormat/>
    <w:rPr>
      <w:rFonts w:ascii="Arial Narrow" w:eastAsia="楷体_GB2312" w:hAnsi="Arial Narrow" w:cs="Times New Roman"/>
      <w:kern w:val="0"/>
      <w:sz w:val="24"/>
      <w:szCs w:val="20"/>
    </w:rPr>
  </w:style>
  <w:style w:type="character" w:customStyle="1" w:styleId="comment-gmt1">
    <w:name w:val="comment-gmt1"/>
    <w:qFormat/>
    <w:rPr>
      <w:color w:val="666666"/>
      <w:sz w:val="17"/>
      <w:szCs w:val="17"/>
    </w:rPr>
  </w:style>
  <w:style w:type="paragraph" w:customStyle="1" w:styleId="z-1">
    <w:name w:val="z-窗体顶端1"/>
    <w:basedOn w:val="a0"/>
    <w:next w:val="a0"/>
    <w:link w:val="z-Char"/>
    <w:uiPriority w:val="99"/>
    <w:unhideWhenUsed/>
    <w:qFormat/>
    <w:pPr>
      <w:pBdr>
        <w:bottom w:val="single" w:sz="6" w:space="1" w:color="auto"/>
      </w:pBdr>
      <w:jc w:val="center"/>
    </w:pPr>
    <w:rPr>
      <w:rFonts w:ascii="Arial" w:hAnsi="Arial" w:cs="Arial"/>
      <w:vanish/>
      <w:sz w:val="16"/>
      <w:szCs w:val="16"/>
    </w:rPr>
  </w:style>
  <w:style w:type="character" w:customStyle="1" w:styleId="z-Char">
    <w:name w:val="z-窗体顶端 Char"/>
    <w:link w:val="z-1"/>
    <w:uiPriority w:val="99"/>
    <w:qFormat/>
    <w:rPr>
      <w:rFonts w:ascii="Arial" w:eastAsia="宋体" w:hAnsi="Arial" w:cs="Arial"/>
      <w:vanish/>
      <w:kern w:val="0"/>
      <w:sz w:val="16"/>
      <w:szCs w:val="16"/>
    </w:rPr>
  </w:style>
  <w:style w:type="character" w:customStyle="1" w:styleId="font-blue">
    <w:name w:val="font-blue"/>
    <w:qFormat/>
  </w:style>
  <w:style w:type="character" w:customStyle="1" w:styleId="contentredmiddlebold1">
    <w:name w:val="content_red_middle_bold1"/>
    <w:qFormat/>
    <w:rPr>
      <w:rFonts w:ascii="Verdana" w:hAnsi="Verdana" w:hint="default"/>
      <w:b/>
      <w:bCs/>
      <w:color w:val="CC3300"/>
      <w:sz w:val="18"/>
      <w:szCs w:val="18"/>
    </w:rPr>
  </w:style>
  <w:style w:type="paragraph" w:customStyle="1" w:styleId="z-10">
    <w:name w:val="z-窗体底端1"/>
    <w:basedOn w:val="a0"/>
    <w:next w:val="a0"/>
    <w:link w:val="z-Char0"/>
    <w:unhideWhenUsed/>
    <w:qFormat/>
    <w:pPr>
      <w:pBdr>
        <w:top w:val="single" w:sz="6" w:space="1" w:color="auto"/>
      </w:pBdr>
      <w:jc w:val="center"/>
    </w:pPr>
    <w:rPr>
      <w:rFonts w:ascii="Arial" w:hAnsi="Arial" w:cs="Arial"/>
      <w:vanish/>
      <w:sz w:val="16"/>
      <w:szCs w:val="16"/>
    </w:rPr>
  </w:style>
  <w:style w:type="character" w:customStyle="1" w:styleId="z-Char0">
    <w:name w:val="z-窗体底端 Char"/>
    <w:link w:val="z-10"/>
    <w:qFormat/>
    <w:rPr>
      <w:rFonts w:ascii="Arial" w:eastAsia="宋体" w:hAnsi="Arial" w:cs="Arial"/>
      <w:vanish/>
      <w:kern w:val="0"/>
      <w:sz w:val="16"/>
      <w:szCs w:val="16"/>
    </w:rPr>
  </w:style>
  <w:style w:type="character" w:customStyle="1" w:styleId="contentblacksmall5">
    <w:name w:val="content_black_small5"/>
    <w:qFormat/>
    <w:rPr>
      <w:rFonts w:ascii="Verdana" w:hAnsi="Verdana" w:hint="default"/>
      <w:color w:val="333333"/>
      <w:sz w:val="18"/>
      <w:szCs w:val="18"/>
    </w:rPr>
  </w:style>
  <w:style w:type="paragraph" w:customStyle="1" w:styleId="affffffff3">
    <w:name w:val="文"/>
    <w:basedOn w:val="a0"/>
    <w:link w:val="Charff0"/>
    <w:qFormat/>
    <w:pPr>
      <w:widowControl w:val="0"/>
      <w:tabs>
        <w:tab w:val="left" w:pos="1255"/>
      </w:tabs>
      <w:autoSpaceDE w:val="0"/>
      <w:autoSpaceDN w:val="0"/>
      <w:adjustRightInd w:val="0"/>
      <w:snapToGrid w:val="0"/>
      <w:spacing w:line="360" w:lineRule="auto"/>
      <w:ind w:firstLineChars="200" w:firstLine="560"/>
      <w:jc w:val="both"/>
    </w:pPr>
    <w:rPr>
      <w:rFonts w:ascii="Times New Roman" w:eastAsia="仿宋_GB2312" w:hAnsi="Times New Roman" w:cs="Times New Roman"/>
      <w:kern w:val="2"/>
      <w:sz w:val="28"/>
      <w:szCs w:val="28"/>
    </w:rPr>
  </w:style>
  <w:style w:type="character" w:customStyle="1" w:styleId="Charff0">
    <w:name w:val="文 Char"/>
    <w:link w:val="affffffff3"/>
    <w:qFormat/>
    <w:rPr>
      <w:rFonts w:ascii="Times New Roman" w:eastAsia="仿宋_GB2312" w:hAnsi="Times New Roman" w:cs="Times New Roman"/>
      <w:sz w:val="28"/>
      <w:szCs w:val="28"/>
    </w:rPr>
  </w:style>
  <w:style w:type="character" w:styleId="affffffff4">
    <w:name w:val="Placeholder Text"/>
    <w:uiPriority w:val="99"/>
    <w:semiHidden/>
    <w:qFormat/>
    <w:rPr>
      <w:color w:val="808080"/>
    </w:rPr>
  </w:style>
  <w:style w:type="paragraph" w:customStyle="1" w:styleId="118">
    <w:name w:val="列出段落11"/>
    <w:basedOn w:val="a0"/>
    <w:uiPriority w:val="34"/>
    <w:qFormat/>
    <w:pPr>
      <w:widowControl w:val="0"/>
      <w:ind w:firstLineChars="200" w:firstLine="420"/>
      <w:jc w:val="both"/>
    </w:pPr>
    <w:rPr>
      <w:rFonts w:ascii="Times New Roman" w:hAnsi="Times New Roman" w:cs="Times New Roman"/>
      <w:kern w:val="2"/>
      <w:sz w:val="21"/>
    </w:rPr>
  </w:style>
  <w:style w:type="character" w:customStyle="1" w:styleId="font31">
    <w:name w:val="font31"/>
    <w:qFormat/>
    <w:rPr>
      <w:rFonts w:ascii="Times New Roman" w:hAnsi="Times New Roman" w:cs="Times New Roman" w:hint="default"/>
      <w:b/>
      <w:bCs/>
      <w:color w:val="000000"/>
      <w:sz w:val="20"/>
      <w:szCs w:val="20"/>
      <w:u w:val="none"/>
    </w:rPr>
  </w:style>
  <w:style w:type="character" w:customStyle="1" w:styleId="font51">
    <w:name w:val="font51"/>
    <w:qFormat/>
    <w:rPr>
      <w:rFonts w:ascii="Times New Roman" w:hAnsi="Times New Roman" w:cs="Times New Roman" w:hint="default"/>
      <w:b/>
      <w:bCs/>
      <w:color w:val="000000"/>
      <w:sz w:val="20"/>
      <w:szCs w:val="20"/>
      <w:u w:val="none"/>
    </w:rPr>
  </w:style>
  <w:style w:type="character" w:customStyle="1" w:styleId="font01">
    <w:name w:val="font01"/>
    <w:qFormat/>
    <w:rPr>
      <w:rFonts w:ascii="宋体" w:eastAsia="宋体" w:hAnsi="宋体" w:hint="eastAsia"/>
      <w:color w:val="000000"/>
      <w:sz w:val="20"/>
      <w:szCs w:val="20"/>
      <w:u w:val="none"/>
    </w:rPr>
  </w:style>
  <w:style w:type="character" w:customStyle="1" w:styleId="font41">
    <w:name w:val="font41"/>
    <w:qFormat/>
    <w:rPr>
      <w:rFonts w:ascii="Times New Roman" w:hAnsi="Times New Roman" w:cs="Times New Roman" w:hint="default"/>
      <w:color w:val="000000"/>
      <w:sz w:val="20"/>
      <w:szCs w:val="20"/>
      <w:u w:val="none"/>
    </w:rPr>
  </w:style>
  <w:style w:type="character" w:customStyle="1" w:styleId="font71">
    <w:name w:val="font71"/>
    <w:qFormat/>
    <w:rPr>
      <w:rFonts w:ascii="Times New Roman" w:hAnsi="Times New Roman" w:cs="Times New Roman" w:hint="default"/>
      <w:b/>
      <w:bCs/>
      <w:color w:val="000000"/>
      <w:sz w:val="20"/>
      <w:szCs w:val="20"/>
      <w:u w:val="none"/>
    </w:rPr>
  </w:style>
  <w:style w:type="character" w:customStyle="1" w:styleId="font61">
    <w:name w:val="font61"/>
    <w:qFormat/>
    <w:rPr>
      <w:rFonts w:ascii="宋体" w:eastAsia="宋体" w:hAnsi="宋体" w:hint="eastAsia"/>
      <w:color w:val="000000"/>
      <w:sz w:val="20"/>
      <w:szCs w:val="20"/>
      <w:u w:val="none"/>
    </w:rPr>
  </w:style>
  <w:style w:type="character" w:customStyle="1" w:styleId="font81">
    <w:name w:val="font81"/>
    <w:qFormat/>
    <w:rPr>
      <w:rFonts w:ascii="Times New Roman" w:hAnsi="Times New Roman" w:cs="Times New Roman" w:hint="default"/>
      <w:color w:val="000000"/>
      <w:sz w:val="20"/>
      <w:szCs w:val="20"/>
      <w:u w:val="none"/>
    </w:rPr>
  </w:style>
  <w:style w:type="character" w:customStyle="1" w:styleId="font91">
    <w:name w:val="font91"/>
    <w:qFormat/>
    <w:rPr>
      <w:rFonts w:ascii="宋体" w:eastAsia="宋体" w:hAnsi="宋体" w:hint="eastAsia"/>
      <w:color w:val="000000"/>
      <w:sz w:val="20"/>
      <w:szCs w:val="20"/>
      <w:u w:val="none"/>
    </w:rPr>
  </w:style>
  <w:style w:type="character" w:customStyle="1" w:styleId="1Char1">
    <w:name w:val="标题 1 Char1"/>
    <w:uiPriority w:val="99"/>
    <w:qFormat/>
    <w:rPr>
      <w:rFonts w:eastAsia="仿宋_GB2312"/>
      <w:kern w:val="2"/>
      <w:sz w:val="28"/>
    </w:rPr>
  </w:style>
  <w:style w:type="paragraph" w:customStyle="1" w:styleId="msonormal0">
    <w:name w:val="msonormal"/>
    <w:basedOn w:val="a0"/>
    <w:qFormat/>
    <w:pPr>
      <w:spacing w:before="100" w:beforeAutospacing="1" w:after="100" w:afterAutospacing="1"/>
    </w:pPr>
  </w:style>
  <w:style w:type="paragraph" w:customStyle="1" w:styleId="Style9">
    <w:name w:val="_Style 9"/>
    <w:basedOn w:val="a0"/>
    <w:uiPriority w:val="34"/>
    <w:qFormat/>
    <w:pPr>
      <w:widowControl w:val="0"/>
      <w:ind w:firstLineChars="200" w:firstLine="420"/>
      <w:jc w:val="both"/>
    </w:pPr>
    <w:rPr>
      <w:rFonts w:ascii="Calibri" w:hAnsi="Calibri" w:cs="Times New Roman"/>
      <w:kern w:val="2"/>
      <w:sz w:val="21"/>
    </w:rPr>
  </w:style>
  <w:style w:type="paragraph" w:customStyle="1" w:styleId="Style2">
    <w:name w:val="_Style 2"/>
    <w:basedOn w:val="a0"/>
    <w:uiPriority w:val="34"/>
    <w:qFormat/>
    <w:pPr>
      <w:widowControl w:val="0"/>
      <w:ind w:firstLineChars="200" w:firstLine="420"/>
      <w:jc w:val="both"/>
    </w:pPr>
    <w:rPr>
      <w:rFonts w:ascii="等线" w:eastAsia="等线" w:hAnsi="等线" w:cs="Times New Roman"/>
      <w:kern w:val="2"/>
      <w:sz w:val="21"/>
    </w:rPr>
  </w:style>
  <w:style w:type="character" w:customStyle="1" w:styleId="a6">
    <w:name w:val="宏文本 字符"/>
    <w:basedOn w:val="a2"/>
    <w:link w:val="a5"/>
    <w:semiHidden/>
    <w:qFormat/>
    <w:rPr>
      <w:rFonts w:ascii="Courier New" w:eastAsia="宋体" w:hAnsi="Courier New" w:cs="Courier New"/>
      <w:color w:val="333333"/>
      <w:kern w:val="0"/>
      <w:sz w:val="20"/>
      <w:szCs w:val="20"/>
      <w:lang w:eastAsia="en-US"/>
    </w:rPr>
  </w:style>
  <w:style w:type="character" w:customStyle="1" w:styleId="a9">
    <w:name w:val="注释标题 字符"/>
    <w:basedOn w:val="a2"/>
    <w:link w:val="a8"/>
    <w:qFormat/>
    <w:rPr>
      <w:rFonts w:ascii="Times New Roman" w:eastAsia="宋体" w:hAnsi="Times New Roman" w:cs="Times New Roman"/>
      <w:szCs w:val="24"/>
    </w:rPr>
  </w:style>
  <w:style w:type="character" w:customStyle="1" w:styleId="ab">
    <w:name w:val="电子邮件签名 字符"/>
    <w:basedOn w:val="a2"/>
    <w:link w:val="aa"/>
    <w:qFormat/>
    <w:rPr>
      <w:rFonts w:ascii="Times New Roman" w:eastAsia="宋体" w:hAnsi="Times New Roman" w:cs="Times New Roman"/>
      <w:szCs w:val="24"/>
    </w:rPr>
  </w:style>
  <w:style w:type="character" w:customStyle="1" w:styleId="afa">
    <w:name w:val="称呼 字符"/>
    <w:basedOn w:val="a2"/>
    <w:link w:val="af9"/>
    <w:qFormat/>
    <w:rPr>
      <w:rFonts w:ascii="Times New Roman" w:eastAsia="宋体" w:hAnsi="Times New Roman" w:cs="Times New Roman"/>
      <w:szCs w:val="24"/>
    </w:rPr>
  </w:style>
  <w:style w:type="character" w:customStyle="1" w:styleId="afc">
    <w:name w:val="结束语 字符"/>
    <w:basedOn w:val="a2"/>
    <w:link w:val="afb"/>
    <w:qFormat/>
    <w:rPr>
      <w:rFonts w:ascii="Times New Roman" w:eastAsia="宋体" w:hAnsi="Times New Roman" w:cs="Times New Roman"/>
      <w:szCs w:val="24"/>
    </w:rPr>
  </w:style>
  <w:style w:type="character" w:customStyle="1" w:styleId="HTML0">
    <w:name w:val="HTML 地址 字符"/>
    <w:basedOn w:val="a2"/>
    <w:link w:val="HTML"/>
    <w:qFormat/>
    <w:rPr>
      <w:rFonts w:ascii="Times New Roman" w:eastAsia="宋体" w:hAnsi="Times New Roman" w:cs="Times New Roman"/>
      <w:i/>
      <w:iCs/>
      <w:szCs w:val="24"/>
    </w:rPr>
  </w:style>
  <w:style w:type="paragraph" w:customStyle="1" w:styleId="KWNormal">
    <w:name w:val="K&amp;W Normal"/>
    <w:link w:val="KWNormalChar"/>
    <w:qFormat/>
    <w:pPr>
      <w:spacing w:after="360" w:line="320" w:lineRule="atLeast"/>
      <w:jc w:val="both"/>
    </w:pPr>
    <w:rPr>
      <w:rFonts w:ascii="Arial" w:eastAsia="楷体_GB2312" w:hAnsi="Arial"/>
      <w:color w:val="000000"/>
      <w:sz w:val="24"/>
      <w:lang w:eastAsia="en-US"/>
    </w:rPr>
  </w:style>
  <w:style w:type="character" w:customStyle="1" w:styleId="KWNormalChar">
    <w:name w:val="K&amp;W Normal Char"/>
    <w:link w:val="KWNormal"/>
    <w:qFormat/>
    <w:rPr>
      <w:rFonts w:ascii="Arial" w:eastAsia="楷体_GB2312" w:hAnsi="Arial" w:cs="Times New Roman"/>
      <w:color w:val="000000"/>
      <w:kern w:val="0"/>
      <w:sz w:val="24"/>
      <w:szCs w:val="20"/>
      <w:lang w:eastAsia="en-US"/>
    </w:rPr>
  </w:style>
  <w:style w:type="character" w:customStyle="1" w:styleId="2b">
    <w:name w:val="正文文本首行缩进 2 字符"/>
    <w:basedOn w:val="afe"/>
    <w:link w:val="2a"/>
    <w:uiPriority w:val="99"/>
    <w:qFormat/>
    <w:rPr>
      <w:rFonts w:ascii="Times New Roman" w:eastAsia="宋体" w:hAnsi="Times New Roman" w:cs="Times New Roman"/>
      <w:szCs w:val="24"/>
      <w:lang w:val="zh-CN" w:eastAsia="zh-CN"/>
    </w:rPr>
  </w:style>
  <w:style w:type="character" w:customStyle="1" w:styleId="3Char10">
    <w:name w:val="正文文本缩进 3 Char1"/>
    <w:qFormat/>
    <w:rPr>
      <w:rFonts w:ascii="宋体" w:eastAsia="宋体" w:hAnsi="宋体" w:cs="Times New Roman"/>
      <w:sz w:val="24"/>
      <w:szCs w:val="24"/>
    </w:rPr>
  </w:style>
  <w:style w:type="character" w:customStyle="1" w:styleId="afff7">
    <w:name w:val="信息标题 字符"/>
    <w:basedOn w:val="a2"/>
    <w:link w:val="afff6"/>
    <w:qFormat/>
    <w:rPr>
      <w:rFonts w:ascii="Times New Roman" w:eastAsia="宋体" w:hAnsi="Times New Roman" w:cs="Arial"/>
      <w:sz w:val="24"/>
      <w:szCs w:val="24"/>
      <w:shd w:val="pct20" w:color="auto" w:fill="auto"/>
    </w:rPr>
  </w:style>
  <w:style w:type="character" w:customStyle="1" w:styleId="Char21">
    <w:name w:val="标题 Char2"/>
    <w:qFormat/>
    <w:rPr>
      <w:rFonts w:ascii="宋体" w:eastAsia="宋体" w:hAnsi="Times New Roman" w:cs="Arial"/>
      <w:b/>
      <w:bCs/>
      <w:kern w:val="28"/>
      <w:sz w:val="32"/>
      <w:szCs w:val="32"/>
    </w:rPr>
  </w:style>
  <w:style w:type="table" w:customStyle="1" w:styleId="76">
    <w:name w:val="网格型7"/>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彩色型 21"/>
    <w:basedOn w:val="a3"/>
    <w:semiHidden/>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5f">
    <w:name w:val="典雅型5"/>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9">
    <w:name w:val="简明型 11"/>
    <w:basedOn w:val="a3"/>
    <w:qFormat/>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50">
    <w:name w:val="网格型 55"/>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10">
    <w:name w:val="网格型 81"/>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character" w:customStyle="1" w:styleId="bfont">
    <w:name w:val="bfont"/>
    <w:qFormat/>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0"/>
    <w:qFormat/>
    <w:pPr>
      <w:spacing w:after="160" w:line="240" w:lineRule="exact"/>
      <w:jc w:val="both"/>
    </w:pPr>
    <w:rPr>
      <w:rFonts w:ascii="Verdana" w:eastAsia="Times New Roman" w:hAnsi="Verdana" w:cs="Arial"/>
      <w:sz w:val="22"/>
      <w:szCs w:val="20"/>
      <w:lang w:eastAsia="en-US"/>
    </w:rPr>
  </w:style>
  <w:style w:type="character" w:customStyle="1" w:styleId="pagetitle">
    <w:name w:val="pagetitle"/>
    <w:qFormat/>
  </w:style>
  <w:style w:type="paragraph" w:customStyle="1" w:styleId="Char70">
    <w:name w:val="Char7"/>
    <w:basedOn w:val="a0"/>
    <w:qFormat/>
    <w:pPr>
      <w:spacing w:after="160" w:line="240" w:lineRule="exact"/>
      <w:jc w:val="both"/>
    </w:pPr>
    <w:rPr>
      <w:rFonts w:ascii="Verdana" w:eastAsia="Times New Roman" w:hAnsi="Verdana" w:cs="Arial"/>
      <w:sz w:val="22"/>
      <w:szCs w:val="20"/>
      <w:lang w:eastAsia="en-US"/>
    </w:rPr>
  </w:style>
  <w:style w:type="paragraph" w:customStyle="1" w:styleId="CM31">
    <w:name w:val="CM31"/>
    <w:basedOn w:val="a0"/>
    <w:next w:val="a0"/>
    <w:qFormat/>
    <w:pPr>
      <w:widowControl w:val="0"/>
      <w:autoSpaceDE w:val="0"/>
      <w:autoSpaceDN w:val="0"/>
      <w:adjustRightInd w:val="0"/>
      <w:spacing w:after="70"/>
    </w:pPr>
    <w:rPr>
      <w:rFonts w:ascii=".." w:eastAsia=".." w:hAnsi="Times New Roman" w:cs="Times New Roman"/>
    </w:rPr>
  </w:style>
  <w:style w:type="paragraph" w:customStyle="1" w:styleId="affffffff5">
    <w:name w:val="插入表格"/>
    <w:next w:val="a0"/>
    <w:qFormat/>
    <w:pPr>
      <w:widowControl w:val="0"/>
      <w:adjustRightInd w:val="0"/>
      <w:spacing w:before="360" w:after="400" w:line="312" w:lineRule="atLeast"/>
      <w:jc w:val="center"/>
      <w:textAlignment w:val="baseline"/>
    </w:pPr>
    <w:rPr>
      <w:rFonts w:ascii="宋体"/>
      <w:spacing w:val="18"/>
      <w:sz w:val="24"/>
    </w:rPr>
  </w:style>
  <w:style w:type="paragraph" w:customStyle="1" w:styleId="Subhead-1">
    <w:name w:val="Subhead-1"/>
    <w:basedOn w:val="a0"/>
    <w:qFormat/>
    <w:pPr>
      <w:widowControl w:val="0"/>
      <w:tabs>
        <w:tab w:val="left" w:pos="454"/>
        <w:tab w:val="left" w:pos="907"/>
        <w:tab w:val="left" w:pos="1361"/>
        <w:tab w:val="left" w:pos="1814"/>
      </w:tabs>
      <w:spacing w:line="310" w:lineRule="exact"/>
      <w:jc w:val="both"/>
    </w:pPr>
    <w:rPr>
      <w:rFonts w:ascii="Times" w:eastAsia="PMingLiU" w:hAnsi="Times" w:cs="Times New Roman"/>
      <w:b/>
      <w:bCs/>
      <w:i/>
      <w:kern w:val="2"/>
      <w:sz w:val="21"/>
      <w:lang w:eastAsia="zh-TW"/>
    </w:rPr>
  </w:style>
  <w:style w:type="paragraph" w:customStyle="1" w:styleId="KWheading2">
    <w:name w:val="K&amp;W heading 2"/>
    <w:basedOn w:val="a0"/>
    <w:next w:val="a0"/>
    <w:link w:val="KWheading2Char"/>
    <w:qFormat/>
    <w:pPr>
      <w:keepNext/>
      <w:widowControl w:val="0"/>
      <w:tabs>
        <w:tab w:val="left" w:pos="567"/>
        <w:tab w:val="left" w:pos="1050"/>
      </w:tabs>
      <w:adjustRightInd w:val="0"/>
      <w:spacing w:after="280" w:line="280" w:lineRule="exact"/>
      <w:ind w:left="1050" w:hanging="630"/>
      <w:jc w:val="both"/>
      <w:textAlignment w:val="baseline"/>
      <w:outlineLvl w:val="1"/>
    </w:pPr>
    <w:rPr>
      <w:rFonts w:ascii="Arial" w:eastAsia="楷体_GB2312" w:hAnsi="Arial" w:cs="Times New Roman"/>
      <w:sz w:val="20"/>
      <w:szCs w:val="20"/>
      <w:lang w:eastAsia="en-US"/>
    </w:rPr>
  </w:style>
  <w:style w:type="character" w:customStyle="1" w:styleId="KWheading2Char">
    <w:name w:val="K&amp;W heading 2 Char"/>
    <w:link w:val="KWheading2"/>
    <w:qFormat/>
    <w:locked/>
    <w:rPr>
      <w:rFonts w:ascii="Arial" w:eastAsia="楷体_GB2312" w:hAnsi="Arial" w:cs="Times New Roman"/>
      <w:kern w:val="0"/>
      <w:sz w:val="20"/>
      <w:szCs w:val="20"/>
      <w:lang w:eastAsia="en-US"/>
    </w:rPr>
  </w:style>
  <w:style w:type="paragraph" w:customStyle="1" w:styleId="-11">
    <w:name w:val="彩色列表 - 强调文字颜色 11"/>
    <w:basedOn w:val="a0"/>
    <w:qFormat/>
    <w:pPr>
      <w:widowControl w:val="0"/>
      <w:ind w:firstLineChars="200" w:firstLine="420"/>
      <w:jc w:val="both"/>
    </w:pPr>
    <w:rPr>
      <w:rFonts w:ascii="Times New Roman" w:eastAsia="楷体_GB2312" w:hAnsi="Times New Roman" w:cs="Times New Roman"/>
      <w:kern w:val="2"/>
    </w:rPr>
  </w:style>
  <w:style w:type="paragraph" w:customStyle="1" w:styleId="KWheading4">
    <w:name w:val="K&amp;W heading 4"/>
    <w:basedOn w:val="a0"/>
    <w:link w:val="KWheading4Char"/>
    <w:qFormat/>
    <w:pPr>
      <w:tabs>
        <w:tab w:val="left" w:pos="1134"/>
      </w:tabs>
      <w:spacing w:after="280" w:line="280" w:lineRule="exact"/>
      <w:ind w:left="1134" w:hanging="567"/>
      <w:jc w:val="both"/>
      <w:outlineLvl w:val="3"/>
    </w:pPr>
    <w:rPr>
      <w:rFonts w:ascii="Arial" w:eastAsia="楷体_GB2312" w:hAnsi="Arial" w:cs="Times New Roman"/>
      <w:sz w:val="20"/>
      <w:szCs w:val="20"/>
      <w:lang w:eastAsia="en-US"/>
    </w:rPr>
  </w:style>
  <w:style w:type="character" w:customStyle="1" w:styleId="KWheading4Char">
    <w:name w:val="K&amp;W heading 4 Char"/>
    <w:link w:val="KWheading4"/>
    <w:qFormat/>
    <w:rPr>
      <w:rFonts w:ascii="Arial" w:eastAsia="楷体_GB2312" w:hAnsi="Arial" w:cs="Times New Roman"/>
      <w:kern w:val="0"/>
      <w:sz w:val="20"/>
      <w:szCs w:val="20"/>
      <w:lang w:eastAsia="en-US"/>
    </w:rPr>
  </w:style>
  <w:style w:type="paragraph" w:customStyle="1" w:styleId="KWheading5">
    <w:name w:val="K&amp;W heading 5"/>
    <w:basedOn w:val="a0"/>
    <w:qFormat/>
    <w:pPr>
      <w:tabs>
        <w:tab w:val="left" w:pos="1701"/>
      </w:tabs>
      <w:spacing w:after="280" w:line="280" w:lineRule="exact"/>
      <w:ind w:left="1701" w:hanging="567"/>
      <w:jc w:val="both"/>
      <w:outlineLvl w:val="4"/>
    </w:pPr>
    <w:rPr>
      <w:rFonts w:ascii="Arial" w:eastAsia="楷体_GB2312" w:hAnsi="Arial" w:cs="Times New Roman"/>
      <w:sz w:val="20"/>
      <w:szCs w:val="20"/>
      <w:lang w:eastAsia="en-US"/>
    </w:rPr>
  </w:style>
  <w:style w:type="character" w:customStyle="1" w:styleId="CharChar20">
    <w:name w:val="Char Char20"/>
    <w:qFormat/>
    <w:rPr>
      <w:rFonts w:eastAsia="宋体"/>
      <w:kern w:val="2"/>
      <w:sz w:val="21"/>
      <w:szCs w:val="24"/>
      <w:lang w:val="en-US" w:eastAsia="zh-CN" w:bidi="ar-SA"/>
    </w:rPr>
  </w:style>
  <w:style w:type="character" w:customStyle="1" w:styleId="ft211">
    <w:name w:val="ft211"/>
    <w:qFormat/>
    <w:rPr>
      <w:rFonts w:ascii="Times" w:hAnsi="Times" w:cs="Times" w:hint="default"/>
      <w:color w:val="000000"/>
      <w:spacing w:val="15"/>
      <w:sz w:val="24"/>
      <w:szCs w:val="24"/>
    </w:rPr>
  </w:style>
  <w:style w:type="paragraph" w:customStyle="1" w:styleId="c">
    <w:name w:val="c"/>
    <w:qFormat/>
    <w:pPr>
      <w:widowControl w:val="0"/>
      <w:autoSpaceDE w:val="0"/>
      <w:autoSpaceDN w:val="0"/>
      <w:adjustRightInd w:val="0"/>
      <w:jc w:val="both"/>
    </w:pPr>
    <w:rPr>
      <w:rFonts w:ascii="Arial" w:hAnsi="Arial"/>
      <w:sz w:val="24"/>
      <w:szCs w:val="24"/>
    </w:rPr>
  </w:style>
  <w:style w:type="paragraph" w:customStyle="1" w:styleId="kwheading1">
    <w:name w:val="kwheading1"/>
    <w:basedOn w:val="a0"/>
    <w:qFormat/>
    <w:pPr>
      <w:spacing w:before="100" w:beforeAutospacing="1" w:after="100" w:afterAutospacing="1"/>
    </w:pPr>
  </w:style>
  <w:style w:type="paragraph" w:customStyle="1" w:styleId="kwbodytext0">
    <w:name w:val="kwbodytext"/>
    <w:basedOn w:val="a0"/>
    <w:qFormat/>
    <w:pPr>
      <w:spacing w:before="100" w:beforeAutospacing="1" w:after="100" w:afterAutospacing="1"/>
    </w:pPr>
  </w:style>
  <w:style w:type="paragraph" w:customStyle="1" w:styleId="KWheading10">
    <w:name w:val="K&amp;W heading 1"/>
    <w:basedOn w:val="KWNormal"/>
    <w:next w:val="KWBodytext"/>
    <w:qFormat/>
    <w:pPr>
      <w:keepNext/>
      <w:widowControl w:val="0"/>
      <w:tabs>
        <w:tab w:val="left" w:pos="1407"/>
      </w:tabs>
      <w:spacing w:after="280" w:line="280" w:lineRule="exact"/>
      <w:ind w:left="1407" w:hanging="420"/>
      <w:outlineLvl w:val="0"/>
    </w:pPr>
    <w:rPr>
      <w:b/>
      <w:color w:val="auto"/>
    </w:rPr>
  </w:style>
  <w:style w:type="paragraph" w:customStyle="1" w:styleId="KWheading3">
    <w:name w:val="K&amp;W heading 3"/>
    <w:basedOn w:val="KWNormal"/>
    <w:qFormat/>
    <w:pPr>
      <w:tabs>
        <w:tab w:val="left" w:pos="567"/>
      </w:tabs>
      <w:spacing w:after="280" w:line="280" w:lineRule="exact"/>
      <w:ind w:left="567" w:hanging="567"/>
      <w:outlineLvl w:val="2"/>
    </w:pPr>
    <w:rPr>
      <w:color w:val="auto"/>
      <w:sz w:val="20"/>
    </w:rPr>
  </w:style>
  <w:style w:type="paragraph" w:customStyle="1" w:styleId="content">
    <w:name w:val="content"/>
    <w:basedOn w:val="a0"/>
    <w:qFormat/>
    <w:pPr>
      <w:spacing w:line="300" w:lineRule="auto"/>
      <w:jc w:val="both"/>
    </w:pPr>
    <w:rPr>
      <w:rFonts w:ascii="华文仿宋" w:eastAsia="华文仿宋" w:hAnsi="华文仿宋"/>
      <w:sz w:val="32"/>
      <w:szCs w:val="32"/>
    </w:rPr>
  </w:style>
  <w:style w:type="paragraph" w:customStyle="1" w:styleId="Body">
    <w:name w:val="Body"/>
    <w:basedOn w:val="a0"/>
    <w:qFormat/>
    <w:pPr>
      <w:widowControl w:val="0"/>
      <w:spacing w:after="240"/>
      <w:jc w:val="both"/>
    </w:pPr>
    <w:rPr>
      <w:rFonts w:ascii="Times New Roman" w:hAnsi="Times New Roman" w:cs="Times New Roman"/>
      <w:kern w:val="2"/>
      <w:sz w:val="21"/>
    </w:rPr>
  </w:style>
  <w:style w:type="paragraph" w:customStyle="1" w:styleId="BodyTextNoIndent">
    <w:name w:val="Body Text No Indent"/>
    <w:basedOn w:val="ac"/>
    <w:qFormat/>
    <w:pPr>
      <w:spacing w:after="240"/>
    </w:pPr>
    <w:rPr>
      <w:rFonts w:eastAsia="宋体"/>
      <w:lang w:val="en-US"/>
    </w:rPr>
  </w:style>
  <w:style w:type="character" w:customStyle="1" w:styleId="KW">
    <w:name w:val="K&amp;W"/>
    <w:semiHidden/>
    <w:qFormat/>
    <w:rPr>
      <w:rFonts w:ascii="Arial" w:hAnsi="Arial" w:cs="Arial"/>
      <w:color w:val="004473"/>
      <w:sz w:val="18"/>
      <w:szCs w:val="18"/>
    </w:rPr>
  </w:style>
  <w:style w:type="paragraph" w:customStyle="1" w:styleId="KWHeading">
    <w:name w:val="K&amp;W Heading"/>
    <w:basedOn w:val="KWheading10"/>
    <w:next w:val="KWBodytext"/>
    <w:qFormat/>
    <w:pPr>
      <w:tabs>
        <w:tab w:val="clear" w:pos="1407"/>
      </w:tabs>
      <w:ind w:left="0" w:firstLine="0"/>
    </w:pPr>
  </w:style>
  <w:style w:type="paragraph" w:customStyle="1" w:styleId="KWListBullet">
    <w:name w:val="K&amp;W List Bullet"/>
    <w:basedOn w:val="KWNormal"/>
    <w:qFormat/>
    <w:pPr>
      <w:numPr>
        <w:numId w:val="11"/>
      </w:numPr>
      <w:tabs>
        <w:tab w:val="clear" w:pos="1134"/>
      </w:tabs>
      <w:spacing w:after="240" w:line="240" w:lineRule="atLeast"/>
      <w:ind w:left="840" w:hanging="360"/>
    </w:pPr>
    <w:rPr>
      <w:sz w:val="20"/>
    </w:rPr>
  </w:style>
  <w:style w:type="paragraph" w:customStyle="1" w:styleId="KWListNumber">
    <w:name w:val="K&amp;W List Number"/>
    <w:basedOn w:val="KWNormal"/>
    <w:qFormat/>
    <w:pPr>
      <w:numPr>
        <w:numId w:val="12"/>
      </w:numPr>
      <w:tabs>
        <w:tab w:val="clear" w:pos="1134"/>
      </w:tabs>
      <w:spacing w:after="240" w:line="240" w:lineRule="atLeast"/>
      <w:ind w:left="840" w:hanging="360"/>
    </w:pPr>
    <w:rPr>
      <w:sz w:val="20"/>
    </w:rPr>
  </w:style>
  <w:style w:type="paragraph" w:customStyle="1" w:styleId="KWSubheading">
    <w:name w:val="K&amp;W Subheading"/>
    <w:basedOn w:val="KWheading2"/>
    <w:next w:val="KWBodytext"/>
    <w:qFormat/>
    <w:pPr>
      <w:tabs>
        <w:tab w:val="clear" w:pos="567"/>
        <w:tab w:val="clear" w:pos="1050"/>
      </w:tabs>
      <w:adjustRightInd/>
      <w:ind w:left="0" w:firstLine="0"/>
      <w:textAlignment w:val="auto"/>
    </w:pPr>
    <w:rPr>
      <w:kern w:val="28"/>
    </w:rPr>
  </w:style>
  <w:style w:type="table" w:customStyle="1" w:styleId="KWTable">
    <w:name w:val="K&amp;W Table"/>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b/>
        <w:sz w:val="20"/>
      </w:rPr>
      <w:tblPr/>
      <w:tcPr>
        <w:shd w:val="clear" w:color="auto" w:fill="E0E0E0"/>
      </w:tcPr>
    </w:tblStylePr>
  </w:style>
  <w:style w:type="paragraph" w:customStyle="1" w:styleId="Table0">
    <w:name w:val="Table"/>
    <w:basedOn w:val="a0"/>
    <w:qFormat/>
    <w:pPr>
      <w:widowControl w:val="0"/>
      <w:spacing w:before="120" w:after="120" w:line="240" w:lineRule="atLeast"/>
      <w:jc w:val="both"/>
    </w:pPr>
    <w:rPr>
      <w:rFonts w:ascii="Times New Roman" w:hAnsi="Times New Roman" w:cs="Times New Roman"/>
      <w:kern w:val="2"/>
      <w:sz w:val="21"/>
    </w:rPr>
  </w:style>
  <w:style w:type="paragraph" w:customStyle="1" w:styleId="Char1CharCharCharCharChar1Char">
    <w:name w:val="Char1 Char Char Char Char Char1 Char"/>
    <w:basedOn w:val="a0"/>
    <w:qFormat/>
    <w:pPr>
      <w:spacing w:after="160" w:line="240" w:lineRule="exact"/>
    </w:pPr>
    <w:rPr>
      <w:rFonts w:ascii="Verdana" w:hAnsi="Verdana" w:cs="Times New Roman"/>
      <w:sz w:val="20"/>
      <w:szCs w:val="20"/>
      <w:lang w:eastAsia="en-US"/>
    </w:rPr>
  </w:style>
  <w:style w:type="character" w:customStyle="1" w:styleId="CharChar10">
    <w:name w:val="Char Char10"/>
    <w:qFormat/>
    <w:rPr>
      <w:kern w:val="2"/>
      <w:sz w:val="21"/>
      <w:szCs w:val="24"/>
    </w:rPr>
  </w:style>
  <w:style w:type="character" w:customStyle="1" w:styleId="CharChar25">
    <w:name w:val="Char Char25"/>
    <w:qFormat/>
    <w:rPr>
      <w:rFonts w:ascii="Courier New" w:eastAsia="宋体" w:hAnsi="Courier New"/>
      <w:sz w:val="21"/>
      <w:lang w:val="en-US" w:eastAsia="zh-CN" w:bidi="ar-SA"/>
    </w:rPr>
  </w:style>
  <w:style w:type="paragraph" w:customStyle="1" w:styleId="Char1CharCharCharCharChar1Char2">
    <w:name w:val="Char1 Char Char Char Char Char1 Char2"/>
    <w:basedOn w:val="a0"/>
    <w:qFormat/>
    <w:pPr>
      <w:spacing w:after="160" w:line="240" w:lineRule="exact"/>
    </w:pPr>
    <w:rPr>
      <w:rFonts w:ascii="Verdana" w:hAnsi="Verdana" w:cs="Times New Roman"/>
      <w:sz w:val="20"/>
      <w:szCs w:val="20"/>
      <w:lang w:eastAsia="en-US"/>
    </w:rPr>
  </w:style>
  <w:style w:type="character" w:customStyle="1" w:styleId="FooterCharChar">
    <w:name w:val="Footer Char Char"/>
    <w:qFormat/>
    <w:locked/>
    <w:rPr>
      <w:rFonts w:ascii="Arial" w:eastAsia="宋体" w:hAnsi="Arial" w:cs="Times New Roman"/>
      <w:sz w:val="18"/>
    </w:rPr>
  </w:style>
  <w:style w:type="paragraph" w:customStyle="1" w:styleId="1ff2">
    <w:name w:val="标题1"/>
    <w:basedOn w:val="a0"/>
    <w:next w:val="a0"/>
    <w:qFormat/>
    <w:pPr>
      <w:spacing w:after="240"/>
      <w:jc w:val="center"/>
    </w:pPr>
    <w:rPr>
      <w:rFonts w:ascii="Times New Roman Bold" w:eastAsia="PMingLiU" w:hAnsi="Times New Roman Bold" w:cs="Times New Roman"/>
      <w:b/>
      <w:kern w:val="2"/>
      <w:sz w:val="21"/>
      <w:szCs w:val="22"/>
      <w:lang w:eastAsia="zh-TW"/>
    </w:rPr>
  </w:style>
  <w:style w:type="paragraph" w:customStyle="1" w:styleId="-21">
    <w:name w:val="浅色底纹 - 强调文字颜色 21"/>
    <w:basedOn w:val="a0"/>
    <w:next w:val="a0"/>
    <w:link w:val="-2Char"/>
    <w:uiPriority w:val="30"/>
    <w:qFormat/>
    <w:pPr>
      <w:widowControl w:val="0"/>
      <w:pBdr>
        <w:bottom w:val="single" w:sz="4" w:space="4" w:color="4F81BD"/>
      </w:pBdr>
      <w:spacing w:before="200" w:after="280"/>
      <w:ind w:left="936" w:right="936"/>
      <w:jc w:val="both"/>
    </w:pPr>
    <w:rPr>
      <w:rFonts w:ascii="Times New Roman" w:hAnsi="Times New Roman" w:cs="Times New Roman"/>
      <w:b/>
      <w:bCs/>
      <w:i/>
      <w:iCs/>
      <w:color w:val="4F81BD"/>
      <w:kern w:val="2"/>
      <w:sz w:val="21"/>
    </w:rPr>
  </w:style>
  <w:style w:type="character" w:customStyle="1" w:styleId="-2Char">
    <w:name w:val="浅色底纹 - 强调文字颜色 2 Char"/>
    <w:link w:val="-21"/>
    <w:uiPriority w:val="30"/>
    <w:qFormat/>
    <w:rPr>
      <w:rFonts w:ascii="Times New Roman" w:eastAsia="宋体" w:hAnsi="Times New Roman" w:cs="Times New Roman"/>
      <w:b/>
      <w:bCs/>
      <w:i/>
      <w:iCs/>
      <w:color w:val="4F81BD"/>
      <w:szCs w:val="24"/>
    </w:rPr>
  </w:style>
  <w:style w:type="paragraph" w:customStyle="1" w:styleId="1ff3">
    <w:name w:val="书目1"/>
    <w:basedOn w:val="a0"/>
    <w:next w:val="a0"/>
    <w:uiPriority w:val="37"/>
    <w:unhideWhenUsed/>
    <w:qFormat/>
    <w:pPr>
      <w:widowControl w:val="0"/>
      <w:jc w:val="both"/>
    </w:pPr>
    <w:rPr>
      <w:rFonts w:ascii="Times New Roman" w:hAnsi="Times New Roman" w:cs="Times New Roman"/>
      <w:kern w:val="2"/>
      <w:sz w:val="21"/>
    </w:rPr>
  </w:style>
  <w:style w:type="paragraph" w:customStyle="1" w:styleId="219">
    <w:name w:val="中等深浅网格 21"/>
    <w:uiPriority w:val="1"/>
    <w:qFormat/>
    <w:pPr>
      <w:widowControl w:val="0"/>
      <w:jc w:val="both"/>
    </w:pPr>
    <w:rPr>
      <w:kern w:val="2"/>
      <w:sz w:val="21"/>
      <w:szCs w:val="24"/>
    </w:rPr>
  </w:style>
  <w:style w:type="paragraph" w:customStyle="1" w:styleId="-110">
    <w:name w:val="彩色网格 - 强调文字颜色 11"/>
    <w:basedOn w:val="a0"/>
    <w:next w:val="a0"/>
    <w:link w:val="-1Char0"/>
    <w:uiPriority w:val="29"/>
    <w:qFormat/>
    <w:pPr>
      <w:widowControl w:val="0"/>
      <w:jc w:val="both"/>
    </w:pPr>
    <w:rPr>
      <w:rFonts w:ascii="Times New Roman" w:hAnsi="Times New Roman" w:cs="Times New Roman"/>
      <w:i/>
      <w:iCs/>
      <w:color w:val="000000"/>
      <w:kern w:val="2"/>
      <w:sz w:val="21"/>
    </w:rPr>
  </w:style>
  <w:style w:type="character" w:customStyle="1" w:styleId="-1Char0">
    <w:name w:val="彩色网格 - 强调文字颜色 1 Char"/>
    <w:link w:val="-110"/>
    <w:uiPriority w:val="29"/>
    <w:qFormat/>
    <w:rPr>
      <w:rFonts w:ascii="Times New Roman" w:eastAsia="宋体" w:hAnsi="Times New Roman" w:cs="Times New Roman"/>
      <w:i/>
      <w:iCs/>
      <w:color w:val="000000"/>
      <w:szCs w:val="24"/>
    </w:rPr>
  </w:style>
  <w:style w:type="paragraph" w:customStyle="1" w:styleId="-111">
    <w:name w:val="彩色底纹 - 强调文字颜色 11"/>
    <w:hidden/>
    <w:uiPriority w:val="99"/>
    <w:qFormat/>
    <w:rPr>
      <w:kern w:val="2"/>
      <w:sz w:val="21"/>
      <w:szCs w:val="24"/>
    </w:rPr>
  </w:style>
  <w:style w:type="paragraph" w:customStyle="1" w:styleId="77">
    <w:name w:val="7正文"/>
    <w:basedOn w:val="a0"/>
    <w:link w:val="7Char0"/>
    <w:qFormat/>
    <w:pPr>
      <w:spacing w:beforeLines="50" w:line="360" w:lineRule="auto"/>
      <w:ind w:firstLineChars="200" w:firstLine="200"/>
      <w:jc w:val="both"/>
    </w:pPr>
    <w:rPr>
      <w:rFonts w:ascii="Arial" w:hAnsi="Arial" w:cs="Times New Roman"/>
      <w:szCs w:val="22"/>
    </w:rPr>
  </w:style>
  <w:style w:type="character" w:customStyle="1" w:styleId="7Char0">
    <w:name w:val="7正文 Char"/>
    <w:link w:val="77"/>
    <w:qFormat/>
    <w:rPr>
      <w:rFonts w:ascii="Arial" w:eastAsia="宋体" w:hAnsi="Arial" w:cs="Times New Roman"/>
      <w:kern w:val="0"/>
      <w:sz w:val="24"/>
    </w:rPr>
  </w:style>
  <w:style w:type="character" w:customStyle="1" w:styleId="z-">
    <w:name w:val="z-窗体顶端 字符"/>
    <w:uiPriority w:val="99"/>
    <w:qFormat/>
    <w:rPr>
      <w:rFonts w:ascii="Arial" w:eastAsia="宋体" w:hAnsi="Arial" w:cs="Times New Roman"/>
      <w:vanish/>
      <w:kern w:val="0"/>
      <w:sz w:val="16"/>
      <w:szCs w:val="16"/>
    </w:rPr>
  </w:style>
  <w:style w:type="table" w:customStyle="1" w:styleId="140">
    <w:name w:val="网格型14"/>
    <w:basedOn w:val="a3"/>
    <w:qFormat/>
    <w:pPr>
      <w:spacing w:before="120" w:after="120" w:line="240" w:lineRule="atLeast"/>
    </w:pPr>
    <w:rPr>
      <w:rFonts w:ascii="Arial" w:hAnsi="Arial"/>
    </w:rPr>
    <w:tblPr/>
  </w:style>
  <w:style w:type="table" w:customStyle="1" w:styleId="21a">
    <w:name w:val="网格型21"/>
    <w:basedOn w:val="a3"/>
    <w:uiPriority w:val="59"/>
    <w:qFormat/>
    <w:pPr>
      <w:spacing w:before="120" w:after="120" w:line="240" w:lineRule="atLeast"/>
    </w:pPr>
    <w:rPr>
      <w:rFonts w:ascii="Arial" w:hAnsi="Arial"/>
    </w:rPr>
    <w:tblPr/>
  </w:style>
  <w:style w:type="table" w:customStyle="1" w:styleId="315">
    <w:name w:val="彩色型 31"/>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1">
    <w:name w:val="典雅型14"/>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a">
    <w:name w:val="古典型 11"/>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b">
    <w:name w:val="古典型 21"/>
    <w:basedOn w:val="a3"/>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6">
    <w:name w:val="古典型 31"/>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0">
    <w:name w:val="古典型 41"/>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c">
    <w:name w:val="简明型 21"/>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7">
    <w:name w:val="简明型 31"/>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b">
    <w:name w:val="立体型 11"/>
    <w:basedOn w:val="a3"/>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18">
    <w:name w:val="立体型 31"/>
    <w:basedOn w:val="a3"/>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c">
    <w:name w:val="列表型 11"/>
    <w:basedOn w:val="a3"/>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d">
    <w:name w:val="列表型 21"/>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9">
    <w:name w:val="列表型 31"/>
    <w:basedOn w:val="a3"/>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
    <w:name w:val="列表型 41"/>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10">
    <w:name w:val="列表型 71"/>
    <w:basedOn w:val="a3"/>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
    <w:name w:val="列表型 81"/>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ff4">
    <w:name w:val="流行型1"/>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d">
    <w:name w:val="竖列型 11"/>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e">
    <w:name w:val="竖列型 21"/>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a">
    <w:name w:val="竖列型 31"/>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
    <w:name w:val="竖列型 41"/>
    <w:basedOn w:val="a3"/>
    <w:semiHidden/>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竖列型 51"/>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13">
    <w:name w:val="网格型 41"/>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0">
    <w:name w:val="网格型 61"/>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e">
    <w:name w:val="网页型 11"/>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f">
    <w:name w:val="网页型 21"/>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b">
    <w:name w:val="网页型 31"/>
    <w:basedOn w:val="a3"/>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ff5">
    <w:name w:val="专业型1"/>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3111">
    <w:name w:val="网格型311"/>
    <w:basedOn w:val="a3"/>
    <w:uiPriority w:val="59"/>
    <w:qFormat/>
    <w:pPr>
      <w:spacing w:before="120" w:after="120" w:line="240" w:lineRule="atLeast"/>
    </w:pPr>
    <w:rPr>
      <w:rFonts w:ascii="Arial" w:hAnsi="Arial"/>
    </w:rPr>
    <w:tblPr/>
  </w:style>
  <w:style w:type="table" w:customStyle="1" w:styleId="224">
    <w:name w:val="彩色型 22"/>
    <w:basedOn w:val="a3"/>
    <w:semiHidden/>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0">
    <w:name w:val="彩色型 32"/>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31">
    <w:name w:val="典雅型23"/>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27">
    <w:name w:val="古典型 12"/>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5">
    <w:name w:val="古典型 22"/>
    <w:basedOn w:val="a3"/>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
    <w:name w:val="古典型 32"/>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0">
    <w:name w:val="古典型 42"/>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6">
    <w:name w:val="简明型 22"/>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2">
    <w:name w:val="简明型 32"/>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8">
    <w:name w:val="立体型 12"/>
    <w:basedOn w:val="a3"/>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23">
    <w:name w:val="立体型 32"/>
    <w:basedOn w:val="a3"/>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9">
    <w:name w:val="列表型 12"/>
    <w:basedOn w:val="a3"/>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7">
    <w:name w:val="列表型 22"/>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4">
    <w:name w:val="列表型 32"/>
    <w:basedOn w:val="a3"/>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
    <w:name w:val="列表型 42"/>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20">
    <w:name w:val="列表型 72"/>
    <w:basedOn w:val="a3"/>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0">
    <w:name w:val="列表型 82"/>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2ff7">
    <w:name w:val="流行型2"/>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a">
    <w:name w:val="竖列型 12"/>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8">
    <w:name w:val="竖列型 22"/>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5">
    <w:name w:val="竖列型 32"/>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2">
    <w:name w:val="竖列型 42"/>
    <w:basedOn w:val="a3"/>
    <w:semiHidden/>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竖列型 52"/>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23">
    <w:name w:val="网格型 42"/>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0">
    <w:name w:val="网格型 62"/>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21">
    <w:name w:val="网格型 82"/>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b">
    <w:name w:val="网页型 12"/>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9">
    <w:name w:val="网页型 22"/>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6">
    <w:name w:val="网页型 32"/>
    <w:basedOn w:val="a3"/>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ff8">
    <w:name w:val="专业型2"/>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Normal1">
    <w:name w:val="Table Normal1"/>
    <w:uiPriority w:val="2"/>
    <w:unhideWhenUsed/>
    <w:qFormat/>
    <w:pPr>
      <w:widowControl w:val="0"/>
    </w:pPr>
    <w:rPr>
      <w:rFonts w:ascii="Calibri" w:hAnsi="Calibri"/>
      <w:sz w:val="22"/>
      <w:lang w:eastAsia="en-US"/>
    </w:rPr>
    <w:tblPr>
      <w:tblCellMar>
        <w:top w:w="0" w:type="dxa"/>
        <w:left w:w="0" w:type="dxa"/>
        <w:bottom w:w="0" w:type="dxa"/>
        <w:right w:w="0" w:type="dxa"/>
      </w:tblCellMar>
    </w:tblPr>
  </w:style>
  <w:style w:type="paragraph" w:customStyle="1" w:styleId="1ff6">
    <w:name w:val="明显引用1"/>
    <w:basedOn w:val="a0"/>
    <w:next w:val="a0"/>
    <w:link w:val="affffffff6"/>
    <w:uiPriority w:val="30"/>
    <w:qFormat/>
    <w:pPr>
      <w:widowControl w:val="0"/>
      <w:pBdr>
        <w:bottom w:val="single" w:sz="4" w:space="4" w:color="4F81BD"/>
      </w:pBdr>
      <w:spacing w:before="200" w:after="280"/>
      <w:ind w:left="936" w:right="936"/>
      <w:jc w:val="both"/>
    </w:pPr>
    <w:rPr>
      <w:rFonts w:ascii="Times New Roman" w:hAnsi="Times New Roman" w:cs="Times New Roman"/>
      <w:b/>
      <w:bCs/>
      <w:i/>
      <w:iCs/>
      <w:color w:val="4F81BD"/>
      <w:kern w:val="2"/>
      <w:sz w:val="21"/>
    </w:rPr>
  </w:style>
  <w:style w:type="character" w:customStyle="1" w:styleId="affffffff6">
    <w:name w:val="明显引用 字符"/>
    <w:link w:val="1ff6"/>
    <w:uiPriority w:val="30"/>
    <w:qFormat/>
    <w:rPr>
      <w:rFonts w:ascii="Times New Roman" w:eastAsia="宋体" w:hAnsi="Times New Roman" w:cs="Times New Roman"/>
      <w:b/>
      <w:bCs/>
      <w:i/>
      <w:iCs/>
      <w:color w:val="4F81BD"/>
      <w:szCs w:val="24"/>
    </w:rPr>
  </w:style>
  <w:style w:type="paragraph" w:customStyle="1" w:styleId="1ff7">
    <w:name w:val="引用1"/>
    <w:basedOn w:val="a0"/>
    <w:next w:val="a0"/>
    <w:link w:val="affffffff7"/>
    <w:uiPriority w:val="29"/>
    <w:qFormat/>
    <w:pPr>
      <w:widowControl w:val="0"/>
      <w:jc w:val="both"/>
    </w:pPr>
    <w:rPr>
      <w:rFonts w:ascii="Times New Roman" w:hAnsi="Times New Roman" w:cs="Times New Roman"/>
      <w:i/>
      <w:iCs/>
      <w:color w:val="000000"/>
      <w:kern w:val="2"/>
      <w:sz w:val="21"/>
    </w:rPr>
  </w:style>
  <w:style w:type="character" w:customStyle="1" w:styleId="affffffff7">
    <w:name w:val="引用 字符"/>
    <w:link w:val="1ff7"/>
    <w:uiPriority w:val="29"/>
    <w:qFormat/>
    <w:rPr>
      <w:rFonts w:ascii="Times New Roman" w:eastAsia="宋体" w:hAnsi="Times New Roman" w:cs="Times New Roman"/>
      <w:i/>
      <w:iCs/>
      <w:color w:val="000000"/>
      <w:szCs w:val="24"/>
    </w:rPr>
  </w:style>
  <w:style w:type="paragraph" w:customStyle="1" w:styleId="CharChar1CharCharCharCharCharCharCharChar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 Char Char Char Char Char Char Char Char1"/>
    <w:basedOn w:val="a0"/>
    <w:qFormat/>
    <w:pPr>
      <w:spacing w:after="160" w:line="240" w:lineRule="exact"/>
      <w:jc w:val="both"/>
    </w:pPr>
    <w:rPr>
      <w:rFonts w:ascii="Verdana" w:eastAsia="Times New Roman" w:hAnsi="Verdana" w:cs="Arial"/>
      <w:sz w:val="22"/>
      <w:szCs w:val="20"/>
      <w:lang w:eastAsia="en-US"/>
    </w:rPr>
  </w:style>
  <w:style w:type="paragraph" w:customStyle="1" w:styleId="Char60">
    <w:name w:val="Char6"/>
    <w:basedOn w:val="a0"/>
    <w:uiPriority w:val="99"/>
    <w:qFormat/>
    <w:pPr>
      <w:spacing w:after="160" w:line="240" w:lineRule="exact"/>
      <w:jc w:val="both"/>
    </w:pPr>
    <w:rPr>
      <w:rFonts w:ascii="Verdana" w:eastAsia="Times New Roman" w:hAnsi="Verdana" w:cs="Arial"/>
      <w:sz w:val="22"/>
      <w:szCs w:val="20"/>
      <w:lang w:eastAsia="en-US"/>
    </w:rPr>
  </w:style>
  <w:style w:type="character" w:customStyle="1" w:styleId="CharChar19">
    <w:name w:val="Char Char19"/>
    <w:qFormat/>
    <w:rPr>
      <w:rFonts w:eastAsia="宋体"/>
      <w:kern w:val="2"/>
      <w:sz w:val="21"/>
      <w:szCs w:val="24"/>
      <w:lang w:val="en-US" w:eastAsia="zh-CN" w:bidi="ar-SA"/>
    </w:rPr>
  </w:style>
  <w:style w:type="table" w:customStyle="1" w:styleId="KWTable1">
    <w:name w:val="K&amp;W Table1"/>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b/>
        <w:sz w:val="20"/>
      </w:rPr>
      <w:tblPr/>
      <w:tcPr>
        <w:shd w:val="clear" w:color="auto" w:fill="E0E0E0"/>
      </w:tcPr>
    </w:tblStylePr>
  </w:style>
  <w:style w:type="table" w:customStyle="1" w:styleId="232">
    <w:name w:val="彩色型 23"/>
    <w:basedOn w:val="a3"/>
    <w:semiHidden/>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0">
    <w:name w:val="彩色型 33"/>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7">
    <w:name w:val="典雅型32"/>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34">
    <w:name w:val="古典型 13"/>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3">
    <w:name w:val="古典型 23"/>
    <w:basedOn w:val="a3"/>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
    <w:name w:val="古典型 33"/>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0">
    <w:name w:val="古典型 43"/>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34">
    <w:name w:val="简明型 23"/>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2">
    <w:name w:val="简明型 33"/>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5">
    <w:name w:val="立体型 13"/>
    <w:basedOn w:val="a3"/>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33">
    <w:name w:val="立体型 33"/>
    <w:basedOn w:val="a3"/>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6">
    <w:name w:val="列表型 13"/>
    <w:basedOn w:val="a3"/>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5">
    <w:name w:val="列表型 23"/>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34">
    <w:name w:val="列表型 33"/>
    <w:basedOn w:val="a3"/>
    <w:semiHidden/>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
    <w:name w:val="列表型 43"/>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30">
    <w:name w:val="列表型 73"/>
    <w:basedOn w:val="a3"/>
    <w:semiHidden/>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0">
    <w:name w:val="列表型 83"/>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3ff0">
    <w:name w:val="流行型3"/>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7">
    <w:name w:val="竖列型 13"/>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6">
    <w:name w:val="竖列型 23"/>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5">
    <w:name w:val="竖列型 33"/>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
    <w:name w:val="竖列型 43"/>
    <w:basedOn w:val="a3"/>
    <w:semiHidden/>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竖列型 53"/>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33">
    <w:name w:val="网格型 43"/>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0">
    <w:name w:val="网格型 63"/>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31">
    <w:name w:val="网格型 83"/>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8">
    <w:name w:val="网页型 13"/>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7">
    <w:name w:val="网页型 23"/>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6">
    <w:name w:val="网页型 33"/>
    <w:basedOn w:val="a3"/>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ff1">
    <w:name w:val="专业型3"/>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CharChar24">
    <w:name w:val="Char Char24"/>
    <w:qFormat/>
    <w:rPr>
      <w:rFonts w:ascii="Courier New" w:eastAsia="宋体" w:hAnsi="Courier New"/>
      <w:sz w:val="21"/>
      <w:lang w:val="en-US" w:eastAsia="zh-CN" w:bidi="ar-SA"/>
    </w:rPr>
  </w:style>
  <w:style w:type="paragraph" w:customStyle="1" w:styleId="Char1CharCharCharCharChar1Char1">
    <w:name w:val="Char1 Char Char Char Char Char1 Char1"/>
    <w:basedOn w:val="a0"/>
    <w:qFormat/>
    <w:pPr>
      <w:spacing w:after="160" w:line="240" w:lineRule="exact"/>
    </w:pPr>
    <w:rPr>
      <w:rFonts w:ascii="Verdana" w:hAnsi="Verdana" w:cs="Times New Roman"/>
      <w:sz w:val="20"/>
      <w:szCs w:val="20"/>
      <w:lang w:eastAsia="en-US"/>
    </w:rPr>
  </w:style>
  <w:style w:type="character" w:customStyle="1" w:styleId="CharChar101">
    <w:name w:val="Char Char101"/>
    <w:qFormat/>
    <w:rPr>
      <w:kern w:val="2"/>
      <w:sz w:val="21"/>
      <w:szCs w:val="24"/>
    </w:rPr>
  </w:style>
  <w:style w:type="paragraph" w:customStyle="1" w:styleId="TOCHeading1">
    <w:name w:val="TOC Heading1"/>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Bibliography1">
    <w:name w:val="Bibliography1"/>
    <w:basedOn w:val="a0"/>
    <w:next w:val="a0"/>
    <w:uiPriority w:val="37"/>
    <w:unhideWhenUsed/>
    <w:qFormat/>
    <w:pPr>
      <w:widowControl w:val="0"/>
      <w:jc w:val="both"/>
    </w:pPr>
    <w:rPr>
      <w:rFonts w:ascii="Times New Roman" w:hAnsi="Times New Roman" w:cs="Times New Roman"/>
      <w:kern w:val="2"/>
      <w:sz w:val="21"/>
    </w:rPr>
  </w:style>
  <w:style w:type="character" w:customStyle="1" w:styleId="3Char11">
    <w:name w:val="标题 3 Char1"/>
    <w:uiPriority w:val="99"/>
    <w:qFormat/>
    <w:rPr>
      <w:rFonts w:ascii="宋体" w:eastAsia="宋体" w:hAnsi="宋体" w:hint="eastAsia"/>
      <w:b/>
      <w:bCs/>
      <w:kern w:val="2"/>
      <w:sz w:val="32"/>
      <w:szCs w:val="32"/>
    </w:rPr>
  </w:style>
  <w:style w:type="character" w:customStyle="1" w:styleId="4Char2">
    <w:name w:val="标题 4 Char2"/>
    <w:semiHidden/>
    <w:qFormat/>
    <w:rPr>
      <w:rFonts w:ascii="Calibri Light" w:eastAsia="宋体" w:hAnsi="Calibri Light" w:cs="Times New Roman" w:hint="default"/>
      <w:b/>
      <w:bCs/>
      <w:kern w:val="2"/>
      <w:sz w:val="28"/>
      <w:szCs w:val="28"/>
    </w:rPr>
  </w:style>
  <w:style w:type="character" w:customStyle="1" w:styleId="5Char1">
    <w:name w:val="标题 5 Char1"/>
    <w:uiPriority w:val="99"/>
    <w:semiHidden/>
    <w:qFormat/>
    <w:locked/>
    <w:rPr>
      <w:rFonts w:ascii="宋体" w:eastAsia="宋体" w:hAnsi="宋体" w:hint="eastAsia"/>
      <w:b/>
      <w:bCs/>
      <w:spacing w:val="-4"/>
      <w:kern w:val="28"/>
      <w:sz w:val="24"/>
      <w:szCs w:val="24"/>
      <w:lang w:bidi="he-IL"/>
    </w:rPr>
  </w:style>
  <w:style w:type="character" w:customStyle="1" w:styleId="6Char1">
    <w:name w:val="标题 6 Char1"/>
    <w:semiHidden/>
    <w:qFormat/>
    <w:locked/>
    <w:rPr>
      <w:rFonts w:ascii="仿宋_GB2312" w:eastAsia="仿宋_GB2312" w:hint="eastAsia"/>
      <w:i/>
      <w:spacing w:val="-4"/>
      <w:kern w:val="28"/>
      <w:sz w:val="28"/>
      <w:szCs w:val="28"/>
      <w:lang w:bidi="he-IL"/>
    </w:rPr>
  </w:style>
  <w:style w:type="character" w:customStyle="1" w:styleId="7Char1">
    <w:name w:val="标题 7 Char1"/>
    <w:semiHidden/>
    <w:qFormat/>
    <w:rPr>
      <w:rFonts w:ascii="宋体" w:eastAsia="宋体" w:hAnsi="宋体" w:hint="eastAsia"/>
      <w:bCs/>
      <w:sz w:val="24"/>
      <w:szCs w:val="24"/>
      <w:lang w:val="en-US" w:eastAsia="zh-CN" w:bidi="ar-SA"/>
    </w:rPr>
  </w:style>
  <w:style w:type="character" w:customStyle="1" w:styleId="8Char1">
    <w:name w:val="标题 8 Char1"/>
    <w:qFormat/>
    <w:locked/>
    <w:rPr>
      <w:rFonts w:ascii="宋体" w:eastAsia="楷体_GB2312" w:hAnsi="宋体" w:hint="eastAsia"/>
      <w:spacing w:val="-4"/>
      <w:kern w:val="28"/>
      <w:sz w:val="24"/>
      <w:lang w:bidi="he-IL"/>
    </w:rPr>
  </w:style>
  <w:style w:type="character" w:customStyle="1" w:styleId="9Char1">
    <w:name w:val="标题 9 Char1"/>
    <w:qFormat/>
    <w:locked/>
    <w:rPr>
      <w:rFonts w:ascii="宋体" w:eastAsia="楷体_GB2312" w:hAnsi="宋体" w:hint="eastAsia"/>
      <w:spacing w:val="-4"/>
      <w:kern w:val="28"/>
      <w:sz w:val="24"/>
      <w:lang w:bidi="he-IL"/>
    </w:rPr>
  </w:style>
  <w:style w:type="character" w:customStyle="1" w:styleId="Char15">
    <w:name w:val="页脚 Char1"/>
    <w:uiPriority w:val="99"/>
    <w:qFormat/>
    <w:rPr>
      <w:kern w:val="2"/>
      <w:sz w:val="18"/>
      <w:szCs w:val="18"/>
    </w:rPr>
  </w:style>
  <w:style w:type="character" w:customStyle="1" w:styleId="Char16">
    <w:name w:val="正文文本 Char1"/>
    <w:qFormat/>
    <w:rPr>
      <w:kern w:val="2"/>
      <w:sz w:val="21"/>
      <w:szCs w:val="24"/>
    </w:rPr>
  </w:style>
  <w:style w:type="character" w:customStyle="1" w:styleId="Char17">
    <w:name w:val="纯文本 Char1"/>
    <w:uiPriority w:val="35"/>
    <w:qFormat/>
    <w:locked/>
    <w:rPr>
      <w:rFonts w:ascii="Courier New" w:hAnsi="Courier New" w:cs="Courier New" w:hint="default"/>
      <w:sz w:val="21"/>
    </w:rPr>
  </w:style>
  <w:style w:type="paragraph" w:customStyle="1" w:styleId="1ff8">
    <w:name w:val="文章标题1"/>
    <w:basedOn w:val="1"/>
    <w:uiPriority w:val="99"/>
    <w:qFormat/>
    <w:pPr>
      <w:widowControl/>
      <w:tabs>
        <w:tab w:val="left" w:pos="567"/>
      </w:tabs>
      <w:spacing w:before="0" w:after="0" w:line="360" w:lineRule="auto"/>
      <w:ind w:left="567" w:hanging="567"/>
      <w:jc w:val="center"/>
    </w:pPr>
    <w:rPr>
      <w:rFonts w:ascii="黑体" w:eastAsia="黑体" w:hAnsi="Arial" w:cs="Arial"/>
      <w:color w:val="000000"/>
      <w:kern w:val="36"/>
      <w:sz w:val="30"/>
      <w:szCs w:val="20"/>
    </w:rPr>
  </w:style>
  <w:style w:type="paragraph" w:customStyle="1" w:styleId="1ff9">
    <w:name w:val="普通(网站)1"/>
    <w:basedOn w:val="a0"/>
    <w:uiPriority w:val="99"/>
    <w:qFormat/>
    <w:pPr>
      <w:spacing w:before="100" w:after="100"/>
    </w:pPr>
    <w:rPr>
      <w:rFonts w:ascii="Arial Unicode MS" w:eastAsia="Arial Unicode MS" w:hAnsi="Arial Unicode MS" w:cs="Times New Roman"/>
      <w:szCs w:val="20"/>
    </w:rPr>
  </w:style>
  <w:style w:type="paragraph" w:customStyle="1" w:styleId="CharCharCharCharChar">
    <w:name w:val="Char Char Char Char Char"/>
    <w:basedOn w:val="a0"/>
    <w:uiPriority w:val="99"/>
    <w:qFormat/>
    <w:pPr>
      <w:spacing w:after="160" w:line="240" w:lineRule="exact"/>
    </w:pPr>
    <w:rPr>
      <w:rFonts w:ascii="Verdana" w:hAnsi="Verdana" w:cs="Times New Roman"/>
      <w:sz w:val="20"/>
      <w:szCs w:val="20"/>
      <w:lang w:eastAsia="en-US"/>
    </w:rPr>
  </w:style>
  <w:style w:type="character" w:customStyle="1" w:styleId="Charff1">
    <w:name w:val="报告书正文 Char"/>
    <w:link w:val="affffffff8"/>
    <w:qFormat/>
    <w:locked/>
    <w:rPr>
      <w:sz w:val="24"/>
      <w:szCs w:val="24"/>
    </w:rPr>
  </w:style>
  <w:style w:type="paragraph" w:customStyle="1" w:styleId="affffffff8">
    <w:name w:val="报告书正文"/>
    <w:basedOn w:val="a0"/>
    <w:link w:val="Charff1"/>
    <w:qFormat/>
    <w:pPr>
      <w:widowControl w:val="0"/>
      <w:spacing w:beforeLines="50" w:line="360" w:lineRule="auto"/>
      <w:ind w:firstLineChars="200" w:firstLine="200"/>
      <w:jc w:val="both"/>
    </w:pPr>
    <w:rPr>
      <w:rFonts w:asciiTheme="minorHAnsi" w:eastAsiaTheme="minorEastAsia" w:hAnsiTheme="minorHAnsi" w:cstheme="minorBidi"/>
      <w:kern w:val="2"/>
    </w:rPr>
  </w:style>
  <w:style w:type="paragraph" w:customStyle="1" w:styleId="affffffff9">
    <w:name w:val="正文格式"/>
    <w:basedOn w:val="a0"/>
    <w:uiPriority w:val="99"/>
    <w:qFormat/>
    <w:pPr>
      <w:widowControl w:val="0"/>
      <w:spacing w:line="360" w:lineRule="auto"/>
      <w:ind w:firstLineChars="200" w:firstLine="500"/>
      <w:jc w:val="both"/>
    </w:pPr>
    <w:rPr>
      <w:rFonts w:cs="Arial"/>
      <w:color w:val="000000"/>
      <w:spacing w:val="5"/>
      <w:kern w:val="2"/>
    </w:rPr>
  </w:style>
  <w:style w:type="character" w:customStyle="1" w:styleId="1Char3">
    <w:name w:val="标题1 Char"/>
    <w:qFormat/>
    <w:locked/>
    <w:rPr>
      <w:rFonts w:ascii="Arial" w:eastAsia="黑体" w:hAnsi="Arial" w:cs="Arial"/>
      <w:b/>
      <w:bCs/>
      <w:kern w:val="36"/>
      <w:sz w:val="36"/>
      <w:szCs w:val="36"/>
    </w:rPr>
  </w:style>
  <w:style w:type="paragraph" w:customStyle="1" w:styleId="affffffffa">
    <w:name w:val="一级条标题"/>
    <w:next w:val="a0"/>
    <w:uiPriority w:val="99"/>
    <w:qFormat/>
    <w:pPr>
      <w:tabs>
        <w:tab w:val="left" w:pos="1260"/>
      </w:tabs>
      <w:ind w:left="1260" w:hanging="420"/>
      <w:outlineLvl w:val="2"/>
    </w:pPr>
    <w:rPr>
      <w:rFonts w:eastAsia="黑体"/>
      <w:kern w:val="2"/>
      <w:sz w:val="21"/>
      <w:szCs w:val="24"/>
    </w:rPr>
  </w:style>
  <w:style w:type="character" w:customStyle="1" w:styleId="Char18">
    <w:name w:val="文档结构图 Char1"/>
    <w:uiPriority w:val="99"/>
    <w:qFormat/>
    <w:rPr>
      <w:rFonts w:ascii="宋体"/>
      <w:kern w:val="2"/>
      <w:sz w:val="18"/>
      <w:szCs w:val="18"/>
    </w:rPr>
  </w:style>
  <w:style w:type="paragraph" w:customStyle="1" w:styleId="GB2312612">
    <w:name w:val="样式 仿宋_GB2312 四号 段后: 6 磅 行距: 多倍行距 1.2 字行"/>
    <w:basedOn w:val="a0"/>
    <w:uiPriority w:val="99"/>
    <w:qFormat/>
    <w:pPr>
      <w:widowControl w:val="0"/>
      <w:adjustRightInd w:val="0"/>
      <w:snapToGrid w:val="0"/>
      <w:spacing w:line="288" w:lineRule="auto"/>
      <w:ind w:firstLineChars="200" w:firstLine="200"/>
      <w:jc w:val="both"/>
    </w:pPr>
    <w:rPr>
      <w:rFonts w:ascii="Times New Roman" w:eastAsia="仿宋_GB2312" w:hAnsi="Times New Roman"/>
      <w:kern w:val="2"/>
      <w:sz w:val="28"/>
      <w:szCs w:val="20"/>
    </w:rPr>
  </w:style>
  <w:style w:type="paragraph" w:customStyle="1" w:styleId="affffffffb">
    <w:name w:val="正文无缩进"/>
    <w:basedOn w:val="a0"/>
    <w:uiPriority w:val="99"/>
    <w:qFormat/>
    <w:pPr>
      <w:widowControl w:val="0"/>
      <w:adjustRightInd w:val="0"/>
      <w:spacing w:before="120" w:after="120"/>
      <w:jc w:val="both"/>
    </w:pPr>
    <w:rPr>
      <w:rFonts w:hAnsi="Times New Roman" w:cs="Times New Roman"/>
      <w:szCs w:val="20"/>
    </w:rPr>
  </w:style>
  <w:style w:type="paragraph" w:customStyle="1" w:styleId="BodyText21">
    <w:name w:val="Body Text 21"/>
    <w:basedOn w:val="a0"/>
    <w:uiPriority w:val="99"/>
    <w:qFormat/>
    <w:pPr>
      <w:autoSpaceDE w:val="0"/>
      <w:autoSpaceDN w:val="0"/>
      <w:adjustRightInd w:val="0"/>
      <w:spacing w:line="360" w:lineRule="auto"/>
      <w:jc w:val="both"/>
    </w:pPr>
    <w:rPr>
      <w:rFonts w:ascii="Times New Roman" w:hAnsi="Times New Roman" w:cs="Times New Roman"/>
      <w:szCs w:val="20"/>
    </w:rPr>
  </w:style>
  <w:style w:type="character" w:customStyle="1" w:styleId="Charff2">
    <w:name w:val="招股书——正文 Char"/>
    <w:link w:val="affffffffc"/>
    <w:qFormat/>
    <w:locked/>
    <w:rPr>
      <w:rFonts w:ascii="Arial" w:hAnsi="Arial" w:cs="宋体"/>
      <w:color w:val="000000"/>
      <w:sz w:val="24"/>
    </w:rPr>
  </w:style>
  <w:style w:type="paragraph" w:customStyle="1" w:styleId="affffffffc">
    <w:name w:val="招股书——正文"/>
    <w:basedOn w:val="a0"/>
    <w:link w:val="Charff2"/>
    <w:qFormat/>
    <w:pPr>
      <w:widowControl w:val="0"/>
      <w:spacing w:before="156" w:line="360" w:lineRule="auto"/>
      <w:ind w:firstLineChars="200" w:firstLine="480"/>
      <w:jc w:val="both"/>
    </w:pPr>
    <w:rPr>
      <w:rFonts w:ascii="Arial" w:eastAsiaTheme="minorEastAsia" w:hAnsi="Arial"/>
      <w:color w:val="000000"/>
      <w:kern w:val="2"/>
      <w:szCs w:val="22"/>
    </w:rPr>
  </w:style>
  <w:style w:type="paragraph" w:customStyle="1" w:styleId="affffffffd">
    <w:name w:val="保代考试文件——标题"/>
    <w:basedOn w:val="a0"/>
    <w:uiPriority w:val="99"/>
    <w:qFormat/>
    <w:pPr>
      <w:widowControl w:val="0"/>
      <w:jc w:val="both"/>
    </w:pPr>
    <w:rPr>
      <w:rFonts w:ascii="Times New Roman" w:hAnsi="Times New Roman" w:cs="Times New Roman"/>
      <w:kern w:val="2"/>
      <w:sz w:val="28"/>
      <w:szCs w:val="20"/>
    </w:rPr>
  </w:style>
  <w:style w:type="paragraph" w:customStyle="1" w:styleId="CharCharCharCharCharChar2CharCharCharCharCharCharCharCharCharCharCharCharChar">
    <w:name w:val="Char Char Char Char Char Char2 Char Char Char Char Char Char Char Char Char Char Char Char Char"/>
    <w:basedOn w:val="a0"/>
    <w:uiPriority w:val="99"/>
    <w:qFormat/>
    <w:pPr>
      <w:widowControl w:val="0"/>
      <w:adjustRightInd w:val="0"/>
      <w:spacing w:line="360" w:lineRule="auto"/>
      <w:jc w:val="both"/>
    </w:pPr>
    <w:rPr>
      <w:rFonts w:ascii="Tahoma" w:hAnsi="Tahoma" w:cs="Times New Roman"/>
      <w:kern w:val="2"/>
      <w:sz w:val="28"/>
      <w:szCs w:val="20"/>
    </w:rPr>
  </w:style>
  <w:style w:type="character" w:customStyle="1" w:styleId="Charff3">
    <w:name w:val="第【】节的格式 Char"/>
    <w:link w:val="affffffffe"/>
    <w:qFormat/>
    <w:locked/>
    <w:rPr>
      <w:rFonts w:ascii="宋体" w:hAnsi="宋体"/>
      <w:b/>
      <w:bCs/>
      <w:kern w:val="44"/>
      <w:sz w:val="32"/>
      <w:szCs w:val="44"/>
    </w:rPr>
  </w:style>
  <w:style w:type="paragraph" w:customStyle="1" w:styleId="affffffffe">
    <w:name w:val="第【】节的格式"/>
    <w:basedOn w:val="1"/>
    <w:link w:val="Charff3"/>
    <w:qFormat/>
    <w:pPr>
      <w:tabs>
        <w:tab w:val="left" w:pos="567"/>
      </w:tabs>
      <w:spacing w:beforeLines="50" w:before="0" w:afterLines="50" w:after="0" w:line="360" w:lineRule="auto"/>
      <w:ind w:left="567" w:hanging="567"/>
      <w:jc w:val="center"/>
    </w:pPr>
    <w:rPr>
      <w:rFonts w:ascii="宋体" w:eastAsiaTheme="minorEastAsia" w:hAnsi="宋体" w:cstheme="minorBidi"/>
      <w:sz w:val="32"/>
    </w:rPr>
  </w:style>
  <w:style w:type="paragraph" w:customStyle="1" w:styleId="afffffffff">
    <w:name w:val="一的格式"/>
    <w:basedOn w:val="20"/>
    <w:uiPriority w:val="99"/>
    <w:qFormat/>
    <w:pPr>
      <w:tabs>
        <w:tab w:val="left" w:pos="567"/>
      </w:tabs>
      <w:spacing w:beforeLines="50" w:before="0" w:afterLines="50" w:after="0" w:line="360" w:lineRule="auto"/>
      <w:ind w:left="567" w:hanging="567"/>
    </w:pPr>
    <w:rPr>
      <w:rFonts w:ascii="宋体" w:eastAsia="宋体" w:hAnsi="宋体"/>
      <w:bCs w:val="0"/>
      <w:kern w:val="0"/>
      <w:sz w:val="28"/>
      <w:szCs w:val="28"/>
    </w:rPr>
  </w:style>
  <w:style w:type="paragraph" w:customStyle="1" w:styleId="afffffffff0">
    <w:name w:val="（一）的格式"/>
    <w:basedOn w:val="a0"/>
    <w:uiPriority w:val="99"/>
    <w:qFormat/>
    <w:pPr>
      <w:keepNext/>
      <w:keepLines/>
      <w:widowControl w:val="0"/>
      <w:spacing w:beforeLines="50" w:line="360" w:lineRule="auto"/>
      <w:jc w:val="both"/>
      <w:outlineLvl w:val="2"/>
    </w:pPr>
    <w:rPr>
      <w:rFonts w:ascii="Times New Roman" w:hAnsi="Times New Roman" w:cs="Times New Roman"/>
      <w:b/>
      <w:bCs/>
      <w:kern w:val="2"/>
    </w:rPr>
  </w:style>
  <w:style w:type="character" w:customStyle="1" w:styleId="001Char">
    <w:name w:val="00标题1 Char"/>
    <w:link w:val="001"/>
    <w:qFormat/>
    <w:locked/>
    <w:rPr>
      <w:rFonts w:ascii="黑体" w:eastAsia="黑体" w:hAnsi="黑体"/>
      <w:bCs/>
      <w:sz w:val="36"/>
      <w:szCs w:val="44"/>
    </w:rPr>
  </w:style>
  <w:style w:type="paragraph" w:customStyle="1" w:styleId="001">
    <w:name w:val="00标题1"/>
    <w:basedOn w:val="a0"/>
    <w:link w:val="001Char"/>
    <w:qFormat/>
    <w:pPr>
      <w:keepNext/>
      <w:keepLines/>
      <w:pageBreakBefore/>
      <w:widowControl w:val="0"/>
      <w:spacing w:beforeLines="50" w:line="360" w:lineRule="auto"/>
      <w:jc w:val="center"/>
      <w:outlineLvl w:val="0"/>
    </w:pPr>
    <w:rPr>
      <w:rFonts w:ascii="黑体" w:eastAsia="黑体" w:hAnsi="黑体" w:cstheme="minorBidi"/>
      <w:bCs/>
      <w:kern w:val="2"/>
      <w:sz w:val="36"/>
      <w:szCs w:val="44"/>
    </w:rPr>
  </w:style>
  <w:style w:type="character" w:customStyle="1" w:styleId="02Char">
    <w:name w:val="02 二级标题 Char"/>
    <w:link w:val="02"/>
    <w:qFormat/>
    <w:locked/>
    <w:rPr>
      <w:rFonts w:ascii="黑体" w:eastAsia="黑体" w:hAnsi="黑体"/>
      <w:bCs/>
      <w:sz w:val="32"/>
      <w:szCs w:val="32"/>
    </w:rPr>
  </w:style>
  <w:style w:type="paragraph" w:customStyle="1" w:styleId="02">
    <w:name w:val="02 二级标题"/>
    <w:basedOn w:val="a0"/>
    <w:link w:val="02Char"/>
    <w:qFormat/>
    <w:pPr>
      <w:keepNext/>
      <w:keepLines/>
      <w:widowControl w:val="0"/>
      <w:spacing w:beforeLines="50" w:line="360" w:lineRule="auto"/>
      <w:jc w:val="both"/>
      <w:outlineLvl w:val="1"/>
    </w:pPr>
    <w:rPr>
      <w:rFonts w:ascii="黑体" w:eastAsia="黑体" w:hAnsi="黑体" w:cstheme="minorBidi"/>
      <w:bCs/>
      <w:kern w:val="2"/>
      <w:sz w:val="32"/>
      <w:szCs w:val="32"/>
    </w:rPr>
  </w:style>
  <w:style w:type="character" w:customStyle="1" w:styleId="03Char">
    <w:name w:val="03 三级标题 Char"/>
    <w:link w:val="03"/>
    <w:qFormat/>
    <w:locked/>
    <w:rPr>
      <w:rFonts w:ascii="黑体" w:eastAsia="黑体" w:hAnsi="黑体"/>
      <w:sz w:val="28"/>
      <w:szCs w:val="28"/>
    </w:rPr>
  </w:style>
  <w:style w:type="paragraph" w:customStyle="1" w:styleId="03">
    <w:name w:val="03 三级标题"/>
    <w:basedOn w:val="a0"/>
    <w:link w:val="03Char"/>
    <w:qFormat/>
    <w:pPr>
      <w:keepNext/>
      <w:keepLines/>
      <w:widowControl w:val="0"/>
      <w:tabs>
        <w:tab w:val="left" w:pos="180"/>
        <w:tab w:val="left" w:pos="720"/>
      </w:tabs>
      <w:spacing w:beforeLines="50" w:line="360" w:lineRule="auto"/>
      <w:outlineLvl w:val="2"/>
    </w:pPr>
    <w:rPr>
      <w:rFonts w:ascii="黑体" w:eastAsia="黑体" w:hAnsi="黑体" w:cstheme="minorBidi"/>
      <w:kern w:val="2"/>
      <w:sz w:val="28"/>
      <w:szCs w:val="28"/>
    </w:rPr>
  </w:style>
  <w:style w:type="character" w:customStyle="1" w:styleId="05Char">
    <w:name w:val="05 正文 Char"/>
    <w:link w:val="05"/>
    <w:qFormat/>
    <w:locked/>
    <w:rPr>
      <w:sz w:val="24"/>
      <w:szCs w:val="24"/>
    </w:rPr>
  </w:style>
  <w:style w:type="paragraph" w:customStyle="1" w:styleId="05">
    <w:name w:val="05 正文"/>
    <w:basedOn w:val="a0"/>
    <w:link w:val="05Char"/>
    <w:qFormat/>
    <w:pPr>
      <w:spacing w:beforeLines="50" w:line="360" w:lineRule="auto"/>
      <w:ind w:firstLineChars="200" w:firstLine="200"/>
      <w:jc w:val="both"/>
    </w:pPr>
    <w:rPr>
      <w:rFonts w:asciiTheme="minorHAnsi" w:eastAsiaTheme="minorEastAsia" w:hAnsiTheme="minorHAnsi" w:cstheme="minorBidi"/>
      <w:kern w:val="2"/>
    </w:rPr>
  </w:style>
  <w:style w:type="paragraph" w:customStyle="1" w:styleId="04">
    <w:name w:val="04 正文加粗"/>
    <w:basedOn w:val="a0"/>
    <w:uiPriority w:val="99"/>
    <w:qFormat/>
    <w:pPr>
      <w:keepNext/>
      <w:keepLines/>
      <w:widowControl w:val="0"/>
      <w:spacing w:beforeLines="50" w:line="360" w:lineRule="auto"/>
      <w:ind w:firstLineChars="196" w:firstLine="196"/>
    </w:pPr>
    <w:rPr>
      <w:rFonts w:ascii="Times New Roman" w:hAnsi="Calibri" w:cs="Times New Roman"/>
      <w:b/>
      <w:kern w:val="2"/>
    </w:rPr>
  </w:style>
  <w:style w:type="paragraph" w:customStyle="1" w:styleId="1ffa">
    <w:name w:val="报告书1"/>
    <w:basedOn w:val="ac"/>
    <w:uiPriority w:val="99"/>
    <w:qFormat/>
    <w:rPr>
      <w:rFonts w:eastAsia="宋体"/>
      <w:lang w:val="en-US"/>
    </w:rPr>
  </w:style>
  <w:style w:type="character" w:customStyle="1" w:styleId="3Char3">
    <w:name w:val="样式3(文号) Char"/>
    <w:link w:val="3ff2"/>
    <w:qFormat/>
    <w:locked/>
    <w:rPr>
      <w:rFonts w:ascii="黑体" w:eastAsia="黑体" w:hAnsi="黑体"/>
      <w:szCs w:val="28"/>
    </w:rPr>
  </w:style>
  <w:style w:type="paragraph" w:customStyle="1" w:styleId="3ff2">
    <w:name w:val="样式3(文号)"/>
    <w:next w:val="a0"/>
    <w:link w:val="3Char3"/>
    <w:qFormat/>
    <w:pPr>
      <w:jc w:val="center"/>
    </w:pPr>
    <w:rPr>
      <w:rFonts w:ascii="黑体" w:eastAsia="黑体" w:hAnsi="黑体" w:cstheme="minorBidi"/>
      <w:kern w:val="2"/>
      <w:sz w:val="21"/>
      <w:szCs w:val="28"/>
    </w:rPr>
  </w:style>
  <w:style w:type="character" w:customStyle="1" w:styleId="1CharChar">
    <w:name w:val="样式1 Char Char"/>
    <w:link w:val="1fd"/>
    <w:qFormat/>
    <w:locked/>
    <w:rPr>
      <w:rFonts w:ascii="Times New Roman" w:eastAsia="宋体" w:hAnsi="Times New Roman" w:cs="Times New Roman"/>
      <w:szCs w:val="20"/>
    </w:rPr>
  </w:style>
  <w:style w:type="character" w:customStyle="1" w:styleId="Char19">
    <w:name w:val="页眉 Char1"/>
    <w:uiPriority w:val="99"/>
    <w:qFormat/>
    <w:rPr>
      <w:kern w:val="2"/>
      <w:sz w:val="18"/>
      <w:szCs w:val="18"/>
    </w:rPr>
  </w:style>
  <w:style w:type="paragraph" w:customStyle="1" w:styleId="2ff9">
    <w:name w:val="页眉2"/>
    <w:basedOn w:val="affb"/>
    <w:uiPriority w:val="99"/>
    <w:qFormat/>
    <w:rPr>
      <w:rFonts w:ascii="Times New Roman" w:eastAsia="宋体" w:hAnsi="Times New Roman" w:cs="Times New Roman"/>
    </w:rPr>
  </w:style>
  <w:style w:type="character" w:customStyle="1" w:styleId="51Char">
    <w:name w:val="样式 标题 5 + 黑色1 Char"/>
    <w:link w:val="515"/>
    <w:semiHidden/>
    <w:qFormat/>
    <w:locked/>
    <w:rPr>
      <w:rFonts w:ascii="宋体" w:hAnsi="宋体"/>
      <w:bCs/>
      <w:color w:val="000000"/>
      <w:sz w:val="24"/>
      <w:szCs w:val="24"/>
    </w:rPr>
  </w:style>
  <w:style w:type="paragraph" w:customStyle="1" w:styleId="515">
    <w:name w:val="样式 标题 5 + 黑色1"/>
    <w:basedOn w:val="51"/>
    <w:link w:val="51Char"/>
    <w:semiHidden/>
    <w:qFormat/>
    <w:pPr>
      <w:keepNext w:val="0"/>
      <w:keepLines w:val="0"/>
      <w:tabs>
        <w:tab w:val="left" w:pos="1701"/>
      </w:tabs>
      <w:adjustRightInd w:val="0"/>
      <w:spacing w:before="0" w:after="0" w:line="480" w:lineRule="exact"/>
      <w:ind w:left="515"/>
    </w:pPr>
    <w:rPr>
      <w:rFonts w:ascii="宋体" w:eastAsiaTheme="minorEastAsia" w:hAnsi="宋体" w:cstheme="minorBidi"/>
      <w:b w:val="0"/>
      <w:color w:val="000000"/>
      <w:sz w:val="24"/>
      <w:szCs w:val="24"/>
    </w:rPr>
  </w:style>
  <w:style w:type="character" w:customStyle="1" w:styleId="4CharChar">
    <w:name w:val="样式4 Char Char"/>
    <w:link w:val="4f3"/>
    <w:qFormat/>
    <w:locked/>
    <w:rPr>
      <w:rFonts w:ascii="宋体" w:eastAsia="黑体" w:hAnsi="宋体"/>
      <w:b/>
      <w:bCs/>
      <w:sz w:val="36"/>
      <w:szCs w:val="24"/>
    </w:rPr>
  </w:style>
  <w:style w:type="paragraph" w:customStyle="1" w:styleId="4f3">
    <w:name w:val="样式4"/>
    <w:next w:val="a0"/>
    <w:link w:val="4CharChar"/>
    <w:qFormat/>
    <w:pPr>
      <w:spacing w:line="760" w:lineRule="exact"/>
    </w:pPr>
    <w:rPr>
      <w:rFonts w:ascii="宋体" w:eastAsia="黑体" w:hAnsi="宋体" w:cstheme="minorBidi"/>
      <w:b/>
      <w:bCs/>
      <w:kern w:val="2"/>
      <w:sz w:val="36"/>
      <w:szCs w:val="24"/>
    </w:rPr>
  </w:style>
  <w:style w:type="character" w:customStyle="1" w:styleId="3Char2">
    <w:name w:val="样式3 Char"/>
    <w:link w:val="3fb"/>
    <w:qFormat/>
    <w:locked/>
    <w:rPr>
      <w:rFonts w:ascii="Times New Roman" w:eastAsia="宋体" w:hAnsi="Times New Roman" w:cs="Times New Roman"/>
      <w:bCs/>
      <w:kern w:val="0"/>
      <w:szCs w:val="20"/>
    </w:rPr>
  </w:style>
  <w:style w:type="paragraph" w:customStyle="1" w:styleId="2ffa">
    <w:name w:val="样式2(文号)"/>
    <w:next w:val="a0"/>
    <w:uiPriority w:val="99"/>
    <w:qFormat/>
    <w:pPr>
      <w:jc w:val="center"/>
    </w:pPr>
    <w:rPr>
      <w:rFonts w:ascii="黑体" w:eastAsia="黑体" w:cs="宋体"/>
      <w:kern w:val="2"/>
      <w:sz w:val="28"/>
      <w:szCs w:val="28"/>
    </w:rPr>
  </w:style>
  <w:style w:type="paragraph" w:customStyle="1" w:styleId="3ff3">
    <w:name w:val="样式3（小文号）"/>
    <w:next w:val="a0"/>
    <w:uiPriority w:val="99"/>
    <w:qFormat/>
    <w:pPr>
      <w:spacing w:beforeLines="50"/>
      <w:jc w:val="center"/>
    </w:pPr>
    <w:rPr>
      <w:rFonts w:ascii="黑体" w:eastAsia="黑体" w:cs="宋体"/>
      <w:kern w:val="2"/>
      <w:sz w:val="21"/>
      <w:szCs w:val="28"/>
    </w:rPr>
  </w:style>
  <w:style w:type="paragraph" w:customStyle="1" w:styleId="1CharCharCharCharCharCharChar">
    <w:name w:val="1 Char Char Char Char Char Char Char"/>
    <w:basedOn w:val="a0"/>
    <w:uiPriority w:val="99"/>
    <w:qFormat/>
    <w:pPr>
      <w:widowControl w:val="0"/>
      <w:jc w:val="both"/>
    </w:pPr>
    <w:rPr>
      <w:rFonts w:ascii="Tahoma" w:hAnsi="Tahoma" w:cs="Times New Roman"/>
      <w:kern w:val="2"/>
      <w:szCs w:val="20"/>
    </w:rPr>
  </w:style>
  <w:style w:type="paragraph" w:customStyle="1" w:styleId="CharCharCharCharCharCharCharCharCharCharCharCharCharChar">
    <w:name w:val="Char Char Char Char Char Char Char Char Char Char Char Char Char Char"/>
    <w:basedOn w:val="a0"/>
    <w:uiPriority w:val="99"/>
    <w:qFormat/>
    <w:pPr>
      <w:widowControl w:val="0"/>
      <w:jc w:val="both"/>
    </w:pPr>
    <w:rPr>
      <w:rFonts w:ascii="Times New Roman" w:hAnsi="Times New Roman" w:cs="Times New Roman"/>
      <w:kern w:val="2"/>
      <w:sz w:val="21"/>
      <w:szCs w:val="21"/>
    </w:rPr>
  </w:style>
  <w:style w:type="paragraph" w:customStyle="1" w:styleId="CharCharChar1CharCharCharCharCharCharChar">
    <w:name w:val="Char Char Char1 Char Char Char Char Char Char Char"/>
    <w:basedOn w:val="a0"/>
    <w:uiPriority w:val="99"/>
    <w:qFormat/>
    <w:pPr>
      <w:widowControl w:val="0"/>
      <w:jc w:val="both"/>
    </w:pPr>
    <w:rPr>
      <w:rFonts w:ascii="仿宋_GB2312" w:eastAsia="仿宋_GB2312" w:hAnsi="Times New Roman" w:cs="Times New Roman"/>
      <w:b/>
      <w:kern w:val="2"/>
      <w:sz w:val="32"/>
      <w:szCs w:val="32"/>
    </w:rPr>
  </w:style>
  <w:style w:type="paragraph" w:customStyle="1" w:styleId="1Char4">
    <w:name w:val="1 Char"/>
    <w:basedOn w:val="a0"/>
    <w:uiPriority w:val="99"/>
    <w:qFormat/>
    <w:pPr>
      <w:widowControl w:val="0"/>
      <w:jc w:val="both"/>
    </w:pPr>
    <w:rPr>
      <w:rFonts w:ascii="Tahoma" w:hAnsi="Tahoma" w:cs="Times New Roman"/>
      <w:kern w:val="2"/>
      <w:szCs w:val="20"/>
    </w:rPr>
  </w:style>
  <w:style w:type="paragraph" w:customStyle="1" w:styleId="Char1CharCharCharCharCharCharCharCharCharCharChar1CharCharCharCharCharCharChar">
    <w:name w:val="Char1 Char Char Char Char Char Char Char Char Char Char Char1 Char Char Char Char Char Char Char"/>
    <w:basedOn w:val="a0"/>
    <w:uiPriority w:val="99"/>
    <w:qFormat/>
    <w:pPr>
      <w:widowControl w:val="0"/>
      <w:jc w:val="both"/>
    </w:pPr>
    <w:rPr>
      <w:rFonts w:ascii="Tahoma" w:hAnsi="Tahoma" w:cs="Times New Roman"/>
      <w:kern w:val="2"/>
      <w:szCs w:val="20"/>
    </w:rPr>
  </w:style>
  <w:style w:type="paragraph" w:customStyle="1" w:styleId="820505">
    <w:name w:val="样式 样式8 + 首行缩进:  2 字符 段前: 0.5 行 段后: 0.5 行"/>
    <w:basedOn w:val="a0"/>
    <w:uiPriority w:val="99"/>
    <w:qFormat/>
    <w:pPr>
      <w:widowControl w:val="0"/>
      <w:spacing w:beforeLines="50" w:line="360" w:lineRule="auto"/>
      <w:ind w:firstLineChars="200" w:firstLine="449"/>
      <w:jc w:val="both"/>
    </w:pPr>
    <w:rPr>
      <w:rFonts w:ascii="Arial Narrow" w:hAnsi="Arial Narrow" w:cs="Times New Roman"/>
      <w:szCs w:val="20"/>
    </w:rPr>
  </w:style>
  <w:style w:type="paragraph" w:customStyle="1" w:styleId="7205">
    <w:name w:val="样式 样式7 + 首行缩进:  2 字符 段前: 0.5 行"/>
    <w:basedOn w:val="a0"/>
    <w:uiPriority w:val="99"/>
    <w:qFormat/>
    <w:pPr>
      <w:widowControl w:val="0"/>
      <w:spacing w:beforeLines="50" w:line="360" w:lineRule="auto"/>
      <w:ind w:firstLineChars="200" w:firstLine="451"/>
      <w:jc w:val="both"/>
    </w:pPr>
    <w:rPr>
      <w:rFonts w:ascii="Arial Narrow" w:hAnsi="Arial Narrow" w:cs="Times New Roman"/>
      <w:b/>
      <w:bCs/>
      <w:szCs w:val="20"/>
    </w:rPr>
  </w:style>
  <w:style w:type="character" w:customStyle="1" w:styleId="Charff4">
    <w:name w:val="正文+宋体 Char"/>
    <w:link w:val="afffffffff1"/>
    <w:qFormat/>
    <w:locked/>
    <w:rPr>
      <w:rFonts w:ascii="宋体" w:hAnsi="宋体"/>
      <w:szCs w:val="24"/>
    </w:rPr>
  </w:style>
  <w:style w:type="paragraph" w:customStyle="1" w:styleId="afffffffff1">
    <w:name w:val="正文+宋体"/>
    <w:basedOn w:val="a0"/>
    <w:link w:val="Charff4"/>
    <w:qFormat/>
    <w:pPr>
      <w:widowControl w:val="0"/>
      <w:spacing w:line="480" w:lineRule="exact"/>
      <w:ind w:firstLine="480"/>
      <w:jc w:val="both"/>
    </w:pPr>
    <w:rPr>
      <w:rFonts w:eastAsiaTheme="minorEastAsia" w:cstheme="minorBidi"/>
      <w:kern w:val="2"/>
      <w:sz w:val="21"/>
    </w:rPr>
  </w:style>
  <w:style w:type="paragraph" w:customStyle="1" w:styleId="1CharCharCharCharCharCharCharCharCharChar">
    <w:name w:val="1 Char Char Char Char Char Char Char Char Char Char"/>
    <w:basedOn w:val="a0"/>
    <w:uiPriority w:val="99"/>
    <w:qFormat/>
    <w:pPr>
      <w:widowControl w:val="0"/>
      <w:jc w:val="both"/>
    </w:pPr>
    <w:rPr>
      <w:rFonts w:ascii="Times New Roman" w:hAnsi="Times New Roman" w:cs="Times New Roman"/>
      <w:kern w:val="2"/>
      <w:sz w:val="21"/>
    </w:rPr>
  </w:style>
  <w:style w:type="paragraph" w:customStyle="1" w:styleId="CharCharCharCharCharCharCharCharCharCharCharCharChar">
    <w:name w:val="Char Char Char Char Char Char Char Char Char Char Char Char Char"/>
    <w:basedOn w:val="a0"/>
    <w:uiPriority w:val="99"/>
    <w:qFormat/>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CharCharCharCharCharCharCharCharCharCharCharCharCharCharChar">
    <w:name w:val="Char Char Char Char Char Char Char Char Char Char Char Char Char Char Char Char Char Char Char"/>
    <w:basedOn w:val="a0"/>
    <w:uiPriority w:val="99"/>
    <w:qFormat/>
    <w:pPr>
      <w:widowControl w:val="0"/>
      <w:jc w:val="both"/>
    </w:pPr>
    <w:rPr>
      <w:rFonts w:ascii="Tahoma" w:hAnsi="Tahoma" w:cs="Times New Roman"/>
      <w:kern w:val="2"/>
      <w:szCs w:val="20"/>
    </w:rPr>
  </w:style>
  <w:style w:type="character" w:customStyle="1" w:styleId="9Char0">
    <w:name w:val="9银河_资料来源 Char"/>
    <w:link w:val="93"/>
    <w:qFormat/>
    <w:locked/>
    <w:rPr>
      <w:rFonts w:ascii="宋体" w:eastAsia="楷体_GB2312" w:hAnsi="宋体"/>
      <w:i/>
      <w:color w:val="13007C"/>
      <w:sz w:val="16"/>
      <w:szCs w:val="16"/>
    </w:rPr>
  </w:style>
  <w:style w:type="paragraph" w:customStyle="1" w:styleId="93">
    <w:name w:val="9银河_资料来源"/>
    <w:basedOn w:val="a0"/>
    <w:link w:val="9Char0"/>
    <w:qFormat/>
    <w:pPr>
      <w:widowControl w:val="0"/>
      <w:jc w:val="both"/>
    </w:pPr>
    <w:rPr>
      <w:rFonts w:eastAsia="楷体_GB2312" w:cstheme="minorBidi"/>
      <w:i/>
      <w:color w:val="13007C"/>
      <w:kern w:val="2"/>
      <w:sz w:val="16"/>
      <w:szCs w:val="16"/>
    </w:rPr>
  </w:style>
  <w:style w:type="paragraph" w:customStyle="1" w:styleId="1ffb">
    <w:name w:val="1_[(一)]_银河_标题一"/>
    <w:basedOn w:val="a0"/>
    <w:uiPriority w:val="99"/>
    <w:qFormat/>
    <w:pPr>
      <w:widowControl w:val="0"/>
      <w:tabs>
        <w:tab w:val="right" w:leader="dot" w:pos="10204"/>
      </w:tabs>
      <w:spacing w:beforeLines="100" w:line="400" w:lineRule="exact"/>
      <w:ind w:rightChars="1000" w:right="1000"/>
    </w:pPr>
    <w:rPr>
      <w:rFonts w:ascii="Times New Roman" w:eastAsia="楷体_GB2312" w:hAnsi="Times New Roman" w:cs="Times New Roman"/>
      <w:color w:val="E60000"/>
      <w:kern w:val="2"/>
      <w:sz w:val="28"/>
      <w:szCs w:val="28"/>
    </w:rPr>
  </w:style>
  <w:style w:type="character" w:customStyle="1" w:styleId="4Char1">
    <w:name w:val="4银河_正文 Char"/>
    <w:link w:val="4f4"/>
    <w:qFormat/>
    <w:locked/>
    <w:rPr>
      <w:rFonts w:ascii="楷体_GB2312" w:eastAsia="楷体_GB2312"/>
      <w:color w:val="13007C"/>
    </w:rPr>
  </w:style>
  <w:style w:type="paragraph" w:customStyle="1" w:styleId="4f4">
    <w:name w:val="4银河_正文"/>
    <w:basedOn w:val="a0"/>
    <w:link w:val="4Char1"/>
    <w:qFormat/>
    <w:pPr>
      <w:widowControl w:val="0"/>
      <w:tabs>
        <w:tab w:val="right" w:pos="7200"/>
      </w:tabs>
      <w:ind w:rightChars="1000" w:right="1000" w:firstLineChars="200" w:firstLine="200"/>
      <w:jc w:val="both"/>
    </w:pPr>
    <w:rPr>
      <w:rFonts w:ascii="楷体_GB2312" w:eastAsia="楷体_GB2312" w:hAnsiTheme="minorHAnsi" w:cstheme="minorBidi"/>
      <w:color w:val="13007C"/>
      <w:kern w:val="2"/>
      <w:sz w:val="21"/>
      <w:szCs w:val="22"/>
    </w:rPr>
  </w:style>
  <w:style w:type="character" w:customStyle="1" w:styleId="6Char0">
    <w:name w:val="6银河_表格标题 Char"/>
    <w:link w:val="68"/>
    <w:qFormat/>
    <w:locked/>
    <w:rPr>
      <w:rFonts w:ascii="楷体_GB2312" w:eastAsia="楷体_GB2312" w:cs="Arial"/>
      <w:b/>
      <w:color w:val="13007C"/>
      <w:sz w:val="18"/>
      <w:szCs w:val="18"/>
    </w:rPr>
  </w:style>
  <w:style w:type="paragraph" w:customStyle="1" w:styleId="68">
    <w:name w:val="6银河_表格标题"/>
    <w:basedOn w:val="a0"/>
    <w:link w:val="6Char0"/>
    <w:qFormat/>
    <w:pPr>
      <w:widowControl w:val="0"/>
      <w:jc w:val="both"/>
    </w:pPr>
    <w:rPr>
      <w:rFonts w:ascii="楷体_GB2312" w:eastAsia="楷体_GB2312" w:hAnsiTheme="minorHAnsi" w:cs="Arial"/>
      <w:b/>
      <w:color w:val="13007C"/>
      <w:kern w:val="2"/>
      <w:sz w:val="18"/>
      <w:szCs w:val="18"/>
    </w:rPr>
  </w:style>
  <w:style w:type="character" w:customStyle="1" w:styleId="7Char2">
    <w:name w:val="7银河_表格表头 Char"/>
    <w:link w:val="78"/>
    <w:qFormat/>
    <w:locked/>
    <w:rPr>
      <w:rFonts w:ascii="Arial" w:eastAsia="楷体_GB2312" w:hAnsi="Arial" w:cs="Arial"/>
      <w:b/>
      <w:color w:val="13007C"/>
      <w:sz w:val="16"/>
      <w:szCs w:val="16"/>
    </w:rPr>
  </w:style>
  <w:style w:type="paragraph" w:customStyle="1" w:styleId="78">
    <w:name w:val="7银河_表格表头"/>
    <w:basedOn w:val="a0"/>
    <w:link w:val="7Char2"/>
    <w:qFormat/>
    <w:pPr>
      <w:widowControl w:val="0"/>
      <w:jc w:val="both"/>
    </w:pPr>
    <w:rPr>
      <w:rFonts w:ascii="Arial" w:eastAsia="楷体_GB2312" w:hAnsi="Arial" w:cs="Arial"/>
      <w:b/>
      <w:color w:val="13007C"/>
      <w:kern w:val="2"/>
      <w:sz w:val="16"/>
      <w:szCs w:val="16"/>
    </w:rPr>
  </w:style>
  <w:style w:type="paragraph" w:customStyle="1" w:styleId="85">
    <w:name w:val="8银河_表格表字"/>
    <w:basedOn w:val="a0"/>
    <w:uiPriority w:val="99"/>
    <w:qFormat/>
    <w:pPr>
      <w:widowControl w:val="0"/>
      <w:jc w:val="both"/>
    </w:pPr>
    <w:rPr>
      <w:rFonts w:ascii="Times New Roman" w:eastAsia="楷体_GB2312" w:hAnsi="Times New Roman" w:cs="Times New Roman"/>
      <w:color w:val="13007C"/>
      <w:kern w:val="2"/>
      <w:sz w:val="16"/>
      <w:szCs w:val="16"/>
    </w:rPr>
  </w:style>
  <w:style w:type="paragraph" w:customStyle="1" w:styleId="21f0">
    <w:name w:val="2_[1、]_银河_标题二"/>
    <w:basedOn w:val="a0"/>
    <w:uiPriority w:val="99"/>
    <w:qFormat/>
    <w:pPr>
      <w:widowControl w:val="0"/>
      <w:tabs>
        <w:tab w:val="right" w:pos="7200"/>
      </w:tabs>
      <w:ind w:rightChars="1000" w:right="1000"/>
      <w:jc w:val="both"/>
    </w:pPr>
    <w:rPr>
      <w:rFonts w:ascii="Arial" w:eastAsia="楷体_GB2312" w:hAnsi="Arial" w:cs="Times New Roman"/>
      <w:b/>
      <w:color w:val="13007C"/>
      <w:kern w:val="2"/>
    </w:rPr>
  </w:style>
  <w:style w:type="character" w:customStyle="1" w:styleId="5Char0">
    <w:name w:val="5银河_图标题 Char"/>
    <w:link w:val="5f0"/>
    <w:qFormat/>
    <w:locked/>
  </w:style>
  <w:style w:type="paragraph" w:customStyle="1" w:styleId="5f0">
    <w:name w:val="5银河_图标题"/>
    <w:basedOn w:val="68"/>
    <w:link w:val="5Char0"/>
    <w:qFormat/>
    <w:rPr>
      <w:rFonts w:asciiTheme="minorHAnsi" w:eastAsiaTheme="minorEastAsia" w:cstheme="minorBidi"/>
      <w:b w:val="0"/>
      <w:color w:val="auto"/>
      <w:sz w:val="21"/>
      <w:szCs w:val="22"/>
    </w:rPr>
  </w:style>
  <w:style w:type="paragraph" w:customStyle="1" w:styleId="afffffffff2">
    <w:name w:val="图表文字"/>
    <w:basedOn w:val="a0"/>
    <w:uiPriority w:val="99"/>
    <w:qFormat/>
    <w:pPr>
      <w:widowControl w:val="0"/>
      <w:adjustRightInd w:val="0"/>
      <w:snapToGrid w:val="0"/>
      <w:spacing w:line="240" w:lineRule="exact"/>
      <w:jc w:val="center"/>
      <w:outlineLvl w:val="4"/>
    </w:pPr>
    <w:rPr>
      <w:rFonts w:ascii="Times New Roman" w:hAnsi="Times New Roman" w:cs="Times New Roman"/>
      <w:kern w:val="2"/>
      <w:sz w:val="21"/>
    </w:rPr>
  </w:style>
  <w:style w:type="character" w:customStyle="1" w:styleId="4CharCharCharChar">
    <w:name w:val="样式 标题 4 + 宋体 黑色 Char Char Char Char"/>
    <w:link w:val="4CharCharChar"/>
    <w:qFormat/>
    <w:locked/>
    <w:rPr>
      <w:rFonts w:ascii="宋体" w:eastAsia="黑体" w:hAnsi="宋体"/>
      <w:b/>
      <w:bCs/>
      <w:sz w:val="24"/>
      <w:szCs w:val="24"/>
    </w:rPr>
  </w:style>
  <w:style w:type="paragraph" w:customStyle="1" w:styleId="4CharCharChar">
    <w:name w:val="样式 标题 4 + 宋体 黑色 Char Char Char"/>
    <w:basedOn w:val="41"/>
    <w:link w:val="4CharCharCharChar"/>
    <w:qFormat/>
    <w:pPr>
      <w:keepNext w:val="0"/>
      <w:keepLines w:val="0"/>
      <w:suppressLineNumbers/>
      <w:tabs>
        <w:tab w:val="left" w:pos="1134"/>
      </w:tabs>
      <w:suppressAutoHyphens/>
      <w:adjustRightInd w:val="0"/>
      <w:spacing w:before="0" w:after="0" w:line="480" w:lineRule="exact"/>
      <w:ind w:left="57" w:firstLine="456"/>
    </w:pPr>
    <w:rPr>
      <w:rFonts w:ascii="宋体" w:eastAsia="黑体" w:hAnsi="宋体" w:cstheme="minorBidi"/>
      <w:sz w:val="24"/>
      <w:szCs w:val="24"/>
    </w:rPr>
  </w:style>
  <w:style w:type="paragraph" w:customStyle="1" w:styleId="4CharChar0">
    <w:name w:val="样式 标题 4 + 宋体 黑色 Char Char"/>
    <w:basedOn w:val="41"/>
    <w:uiPriority w:val="99"/>
    <w:qFormat/>
    <w:pPr>
      <w:keepNext w:val="0"/>
      <w:keepLines w:val="0"/>
      <w:suppressLineNumbers/>
      <w:tabs>
        <w:tab w:val="left" w:pos="360"/>
        <w:tab w:val="left" w:pos="1134"/>
      </w:tabs>
      <w:suppressAutoHyphens/>
      <w:adjustRightInd w:val="0"/>
      <w:spacing w:before="0" w:after="0" w:line="480" w:lineRule="exact"/>
      <w:ind w:firstLine="454"/>
    </w:pPr>
    <w:rPr>
      <w:rFonts w:ascii="宋体" w:eastAsia="黑体" w:hAnsi="宋体"/>
      <w:bCs w:val="0"/>
      <w:kern w:val="0"/>
      <w:sz w:val="24"/>
      <w:szCs w:val="24"/>
    </w:rPr>
  </w:style>
  <w:style w:type="paragraph" w:customStyle="1" w:styleId="CharCharCharCharChar3">
    <w:name w:val="Char Char Char Char Char3"/>
    <w:basedOn w:val="a0"/>
    <w:uiPriority w:val="99"/>
    <w:qFormat/>
    <w:pPr>
      <w:widowControl w:val="0"/>
      <w:adjustRightInd w:val="0"/>
      <w:spacing w:line="360" w:lineRule="auto"/>
      <w:jc w:val="both"/>
    </w:pPr>
    <w:rPr>
      <w:rFonts w:ascii="Times New Roman" w:hAnsi="Times New Roman" w:cs="Times New Roman"/>
      <w:szCs w:val="20"/>
    </w:rPr>
  </w:style>
  <w:style w:type="paragraph" w:customStyle="1" w:styleId="MTDisplayEquation">
    <w:name w:val="MTDisplayEquation"/>
    <w:basedOn w:val="a0"/>
    <w:next w:val="a0"/>
    <w:uiPriority w:val="99"/>
    <w:qFormat/>
    <w:pPr>
      <w:widowControl w:val="0"/>
      <w:tabs>
        <w:tab w:val="center" w:pos="4320"/>
        <w:tab w:val="right" w:pos="8640"/>
      </w:tabs>
      <w:spacing w:line="480" w:lineRule="exact"/>
      <w:ind w:firstLine="482"/>
      <w:jc w:val="both"/>
    </w:pPr>
    <w:rPr>
      <w:rFonts w:hAnsi="Times New Roman" w:cs="Times New Roman"/>
      <w:kern w:val="2"/>
    </w:rPr>
  </w:style>
  <w:style w:type="paragraph" w:customStyle="1" w:styleId="IPONormal">
    <w:name w:val="IPO Normal"/>
    <w:basedOn w:val="a0"/>
    <w:uiPriority w:val="99"/>
    <w:qFormat/>
    <w:pPr>
      <w:spacing w:beforeLines="50" w:line="360" w:lineRule="auto"/>
      <w:ind w:firstLineChars="200" w:firstLine="200"/>
      <w:jc w:val="both"/>
    </w:pPr>
    <w:rPr>
      <w:rFonts w:ascii="Times New Roman" w:hAnsi="Times New Roman" w:cs="Times New Roman"/>
      <w:kern w:val="24"/>
      <w:szCs w:val="22"/>
    </w:rPr>
  </w:style>
  <w:style w:type="paragraph" w:customStyle="1" w:styleId="5f1">
    <w:name w:val="样式 标题 5 + 黑色"/>
    <w:basedOn w:val="51"/>
    <w:uiPriority w:val="99"/>
    <w:semiHidden/>
    <w:qFormat/>
    <w:pPr>
      <w:keepNext w:val="0"/>
      <w:keepLines w:val="0"/>
      <w:tabs>
        <w:tab w:val="left" w:pos="1701"/>
      </w:tabs>
      <w:adjustRightInd w:val="0"/>
      <w:spacing w:before="0" w:after="0" w:line="480" w:lineRule="exact"/>
      <w:ind w:left="515"/>
    </w:pPr>
    <w:rPr>
      <w:rFonts w:ascii="宋体" w:eastAsia="宋体" w:hAnsi="宋体"/>
      <w:b w:val="0"/>
      <w:bCs w:val="0"/>
      <w:color w:val="000000"/>
      <w:kern w:val="0"/>
      <w:sz w:val="24"/>
      <w:szCs w:val="24"/>
    </w:rPr>
  </w:style>
  <w:style w:type="paragraph" w:customStyle="1" w:styleId="afffffffff3">
    <w:name w:val="表格后"/>
    <w:basedOn w:val="a0"/>
    <w:next w:val="a0"/>
    <w:uiPriority w:val="99"/>
    <w:qFormat/>
    <w:pPr>
      <w:widowControl w:val="0"/>
      <w:spacing w:beforeLines="50" w:line="360" w:lineRule="auto"/>
      <w:jc w:val="both"/>
    </w:pPr>
    <w:rPr>
      <w:rFonts w:ascii="Times New Roman" w:hAnsi="Times New Roman" w:cs="Times New Roman"/>
      <w:kern w:val="2"/>
      <w:sz w:val="21"/>
    </w:rPr>
  </w:style>
  <w:style w:type="paragraph" w:customStyle="1" w:styleId="afffffffff4">
    <w:name w:val="表格前"/>
    <w:basedOn w:val="a0"/>
    <w:next w:val="a0"/>
    <w:uiPriority w:val="99"/>
    <w:qFormat/>
    <w:pPr>
      <w:widowControl w:val="0"/>
      <w:spacing w:beforeLines="50" w:line="360" w:lineRule="auto"/>
      <w:jc w:val="both"/>
    </w:pPr>
    <w:rPr>
      <w:rFonts w:ascii="Times New Roman" w:hAnsi="Times New Roman" w:cs="Times New Roman"/>
      <w:kern w:val="2"/>
      <w:sz w:val="21"/>
      <w:szCs w:val="21"/>
    </w:rPr>
  </w:style>
  <w:style w:type="paragraph" w:customStyle="1" w:styleId="afffffffff5">
    <w:name w:val="单位元右对齐"/>
    <w:basedOn w:val="a0"/>
    <w:next w:val="a0"/>
    <w:uiPriority w:val="99"/>
    <w:qFormat/>
    <w:pPr>
      <w:widowControl w:val="0"/>
      <w:snapToGrid w:val="0"/>
      <w:spacing w:beforeLines="15"/>
      <w:jc w:val="right"/>
    </w:pPr>
    <w:rPr>
      <w:rFonts w:ascii="Times New Roman" w:hAnsi="Times New Roman" w:cs="Times New Roman"/>
      <w:kern w:val="2"/>
      <w:sz w:val="21"/>
      <w:szCs w:val="21"/>
    </w:rPr>
  </w:style>
  <w:style w:type="paragraph" w:customStyle="1" w:styleId="1ffc">
    <w:name w:val="目录前1级别"/>
    <w:basedOn w:val="a0"/>
    <w:next w:val="a0"/>
    <w:uiPriority w:val="99"/>
    <w:qFormat/>
    <w:pPr>
      <w:pageBreakBefore/>
      <w:widowControl w:val="0"/>
      <w:snapToGrid w:val="0"/>
      <w:spacing w:beforeLines="150"/>
      <w:jc w:val="center"/>
      <w:outlineLvl w:val="0"/>
    </w:pPr>
    <w:rPr>
      <w:rFonts w:ascii="Times New Roman" w:hAnsi="Times New Roman" w:cs="Times New Roman"/>
      <w:b/>
      <w:spacing w:val="40"/>
      <w:sz w:val="36"/>
      <w:szCs w:val="44"/>
    </w:rPr>
  </w:style>
  <w:style w:type="paragraph" w:customStyle="1" w:styleId="2ffb">
    <w:name w:val="目录前2级别"/>
    <w:basedOn w:val="a0"/>
    <w:next w:val="a0"/>
    <w:uiPriority w:val="99"/>
    <w:qFormat/>
    <w:pPr>
      <w:widowControl w:val="0"/>
      <w:snapToGrid w:val="0"/>
      <w:spacing w:beforeLines="50" w:line="360" w:lineRule="auto"/>
      <w:ind w:firstLineChars="150" w:firstLine="150"/>
      <w:jc w:val="both"/>
      <w:outlineLvl w:val="1"/>
    </w:pPr>
    <w:rPr>
      <w:rFonts w:ascii="Times New Roman" w:eastAsia="黑体" w:hAnsi="Times New Roman" w:cs="Times New Roman"/>
      <w:kern w:val="2"/>
      <w:sz w:val="30"/>
      <w:szCs w:val="30"/>
    </w:rPr>
  </w:style>
  <w:style w:type="paragraph" w:customStyle="1" w:styleId="3ff4">
    <w:name w:val="目录前3级别"/>
    <w:basedOn w:val="a0"/>
    <w:next w:val="a0"/>
    <w:uiPriority w:val="99"/>
    <w:qFormat/>
    <w:pPr>
      <w:widowControl w:val="0"/>
      <w:snapToGrid w:val="0"/>
      <w:spacing w:beforeLines="50" w:line="360" w:lineRule="auto"/>
      <w:ind w:firstLineChars="200" w:firstLine="200"/>
      <w:jc w:val="both"/>
      <w:outlineLvl w:val="2"/>
    </w:pPr>
    <w:rPr>
      <w:rFonts w:ascii="Times New Roman" w:hAnsi="Times New Roman" w:cs="Times New Roman"/>
      <w:b/>
      <w:kern w:val="2"/>
    </w:rPr>
  </w:style>
  <w:style w:type="paragraph" w:customStyle="1" w:styleId="afffffffff6">
    <w:name w:val="目录前正文"/>
    <w:basedOn w:val="a0"/>
    <w:next w:val="a0"/>
    <w:uiPriority w:val="99"/>
    <w:qFormat/>
    <w:pPr>
      <w:widowControl w:val="0"/>
      <w:snapToGrid w:val="0"/>
      <w:spacing w:beforeLines="50" w:line="360" w:lineRule="auto"/>
      <w:ind w:firstLineChars="200" w:firstLine="200"/>
      <w:jc w:val="both"/>
    </w:pPr>
    <w:rPr>
      <w:rFonts w:ascii="Times New Roman" w:hAnsi="Times New Roman" w:cs="Times New Roman"/>
      <w:kern w:val="2"/>
    </w:rPr>
  </w:style>
  <w:style w:type="paragraph" w:customStyle="1" w:styleId="afffffffff7">
    <w:name w:val="数据来源"/>
    <w:basedOn w:val="a0"/>
    <w:next w:val="a0"/>
    <w:uiPriority w:val="99"/>
    <w:qFormat/>
    <w:pPr>
      <w:widowControl w:val="0"/>
      <w:snapToGrid w:val="0"/>
      <w:spacing w:beforeLines="50"/>
      <w:ind w:firstLineChars="200" w:firstLine="422"/>
      <w:jc w:val="both"/>
    </w:pPr>
    <w:rPr>
      <w:rFonts w:ascii="Times New Roman" w:hAnsi="Times New Roman" w:cs="Times New Roman"/>
      <w:b/>
      <w:kern w:val="2"/>
      <w:sz w:val="21"/>
    </w:rPr>
  </w:style>
  <w:style w:type="paragraph" w:customStyle="1" w:styleId="afffffffff8">
    <w:name w:val="我的注样式"/>
    <w:basedOn w:val="a0"/>
    <w:next w:val="a0"/>
    <w:uiPriority w:val="99"/>
    <w:qFormat/>
    <w:pPr>
      <w:widowControl w:val="0"/>
      <w:adjustRightInd w:val="0"/>
      <w:snapToGrid w:val="0"/>
      <w:spacing w:beforeLines="50" w:line="288" w:lineRule="auto"/>
      <w:ind w:firstLineChars="200" w:firstLine="200"/>
      <w:jc w:val="both"/>
    </w:pPr>
    <w:rPr>
      <w:rFonts w:ascii="Times New Roman" w:hAnsi="Times New Roman" w:cs="Times New Roman"/>
      <w:sz w:val="21"/>
    </w:rPr>
  </w:style>
  <w:style w:type="paragraph" w:customStyle="1" w:styleId="afffffffff9">
    <w:name w:val="本文正文字体"/>
    <w:basedOn w:val="a0"/>
    <w:uiPriority w:val="99"/>
    <w:qFormat/>
    <w:pPr>
      <w:widowControl w:val="0"/>
      <w:spacing w:line="360" w:lineRule="auto"/>
      <w:ind w:firstLineChars="200" w:firstLine="200"/>
    </w:pPr>
    <w:rPr>
      <w:kern w:val="2"/>
      <w:szCs w:val="20"/>
    </w:rPr>
  </w:style>
  <w:style w:type="paragraph" w:customStyle="1" w:styleId="afffffffffa">
    <w:name w:val="文本"/>
    <w:basedOn w:val="a0"/>
    <w:uiPriority w:val="99"/>
    <w:semiHidden/>
    <w:qFormat/>
    <w:pPr>
      <w:widowControl w:val="0"/>
      <w:spacing w:before="100" w:after="100" w:line="360" w:lineRule="auto"/>
      <w:ind w:firstLineChars="200" w:firstLine="480"/>
      <w:jc w:val="both"/>
    </w:pPr>
    <w:rPr>
      <w:rFonts w:ascii="Times New Roman" w:hAnsi="Times New Roman"/>
      <w:kern w:val="2"/>
      <w:szCs w:val="20"/>
    </w:rPr>
  </w:style>
  <w:style w:type="paragraph" w:customStyle="1" w:styleId="CharCharCharCharChar1">
    <w:name w:val="Char Char Char Char Char1"/>
    <w:basedOn w:val="a0"/>
    <w:uiPriority w:val="99"/>
    <w:qFormat/>
    <w:pPr>
      <w:widowControl w:val="0"/>
      <w:adjustRightInd w:val="0"/>
      <w:spacing w:line="360" w:lineRule="auto"/>
      <w:jc w:val="both"/>
    </w:pPr>
    <w:rPr>
      <w:rFonts w:ascii="Times New Roman" w:hAnsi="Times New Roman" w:cs="Times New Roman"/>
      <w:szCs w:val="20"/>
    </w:rPr>
  </w:style>
  <w:style w:type="paragraph" w:customStyle="1" w:styleId="CharCharCharCharChar2">
    <w:name w:val="Char Char Char Char Char2"/>
    <w:basedOn w:val="a0"/>
    <w:uiPriority w:val="99"/>
    <w:qFormat/>
    <w:pPr>
      <w:widowControl w:val="0"/>
      <w:adjustRightInd w:val="0"/>
      <w:spacing w:line="360" w:lineRule="auto"/>
      <w:jc w:val="both"/>
    </w:pPr>
    <w:rPr>
      <w:rFonts w:ascii="Times New Roman" w:hAnsi="Times New Roman" w:cs="Times New Roman"/>
      <w:szCs w:val="20"/>
    </w:rPr>
  </w:style>
  <w:style w:type="character" w:customStyle="1" w:styleId="1Char5">
    <w:name w:val="1、标题 Char"/>
    <w:link w:val="1ffd"/>
    <w:qFormat/>
    <w:locked/>
    <w:rPr>
      <w:b/>
      <w:sz w:val="24"/>
      <w:szCs w:val="24"/>
    </w:rPr>
  </w:style>
  <w:style w:type="paragraph" w:customStyle="1" w:styleId="1ffd">
    <w:name w:val="1、标题"/>
    <w:basedOn w:val="a0"/>
    <w:link w:val="1Char5"/>
    <w:qFormat/>
    <w:pPr>
      <w:widowControl w:val="0"/>
      <w:adjustRightInd w:val="0"/>
      <w:snapToGrid w:val="0"/>
      <w:spacing w:beforeLines="50" w:after="50" w:line="360" w:lineRule="auto"/>
      <w:ind w:firstLineChars="200" w:firstLine="482"/>
      <w:jc w:val="both"/>
      <w:outlineLvl w:val="3"/>
    </w:pPr>
    <w:rPr>
      <w:rFonts w:asciiTheme="minorHAnsi" w:eastAsiaTheme="minorEastAsia" w:hAnsiTheme="minorHAnsi" w:cstheme="minorBidi"/>
      <w:b/>
      <w:kern w:val="2"/>
    </w:rPr>
  </w:style>
  <w:style w:type="character" w:customStyle="1" w:styleId="Charff5">
    <w:name w:val="（一）标题 Char"/>
    <w:link w:val="afffffffffb"/>
    <w:qFormat/>
    <w:locked/>
    <w:rPr>
      <w:rFonts w:ascii="Arial" w:eastAsia="黑体" w:hAnsi="Arial" w:cs="Arial"/>
      <w:b/>
      <w:bCs/>
      <w:sz w:val="28"/>
      <w:szCs w:val="32"/>
    </w:rPr>
  </w:style>
  <w:style w:type="paragraph" w:customStyle="1" w:styleId="afffffffffb">
    <w:name w:val="（一）标题"/>
    <w:basedOn w:val="31"/>
    <w:link w:val="Charff5"/>
    <w:qFormat/>
    <w:pPr>
      <w:spacing w:beforeLines="50" w:before="0" w:afterLines="50" w:after="240" w:line="360" w:lineRule="auto"/>
    </w:pPr>
    <w:rPr>
      <w:rFonts w:ascii="Arial" w:eastAsia="黑体" w:hAnsi="Arial" w:cs="Arial"/>
      <w:sz w:val="28"/>
    </w:rPr>
  </w:style>
  <w:style w:type="character" w:customStyle="1" w:styleId="Char1a">
    <w:name w:val="标题 Char1"/>
    <w:uiPriority w:val="99"/>
    <w:qFormat/>
    <w:rPr>
      <w:rFonts w:ascii="等线 Light" w:hAnsi="等线 Light" w:cs="Times New Roman"/>
      <w:b/>
      <w:bCs/>
      <w:kern w:val="2"/>
      <w:sz w:val="32"/>
      <w:szCs w:val="32"/>
    </w:rPr>
  </w:style>
  <w:style w:type="character" w:customStyle="1" w:styleId="Charff6">
    <w:name w:val="章标题 Char"/>
    <w:link w:val="afffffffffc"/>
    <w:qFormat/>
    <w:locked/>
    <w:rPr>
      <w:rFonts w:ascii="Cambria" w:eastAsia="黑体" w:hAnsi="Cambria"/>
      <w:b/>
      <w:bCs/>
      <w:sz w:val="32"/>
      <w:szCs w:val="32"/>
    </w:rPr>
  </w:style>
  <w:style w:type="paragraph" w:customStyle="1" w:styleId="afffffffffc">
    <w:name w:val="章标题"/>
    <w:basedOn w:val="afffa"/>
    <w:link w:val="Charff6"/>
    <w:qFormat/>
    <w:pPr>
      <w:shd w:val="clear" w:color="auto" w:fill="auto"/>
      <w:spacing w:beforeLines="50" w:afterLines="50" w:line="360" w:lineRule="auto"/>
    </w:pPr>
    <w:rPr>
      <w:rFonts w:ascii="Cambria" w:eastAsia="黑体" w:hAnsi="Cambria" w:cstheme="minorBidi"/>
    </w:rPr>
  </w:style>
  <w:style w:type="character" w:customStyle="1" w:styleId="Charff7">
    <w:name w:val="一、标题 Char"/>
    <w:link w:val="afffffffffd"/>
    <w:qFormat/>
    <w:locked/>
    <w:rPr>
      <w:rFonts w:ascii="Arial" w:eastAsia="黑体" w:hAnsi="Arial" w:cs="Arial"/>
      <w:b/>
      <w:bCs/>
      <w:sz w:val="28"/>
      <w:szCs w:val="28"/>
    </w:rPr>
  </w:style>
  <w:style w:type="paragraph" w:customStyle="1" w:styleId="afffffffffd">
    <w:name w:val="一、标题"/>
    <w:basedOn w:val="20"/>
    <w:link w:val="Charff7"/>
    <w:qFormat/>
    <w:pPr>
      <w:tabs>
        <w:tab w:val="left" w:pos="567"/>
      </w:tabs>
      <w:spacing w:beforeLines="50" w:before="0" w:afterLines="50" w:after="0" w:line="360" w:lineRule="auto"/>
      <w:ind w:left="567" w:hanging="567"/>
    </w:pPr>
    <w:rPr>
      <w:rFonts w:ascii="Arial" w:eastAsia="黑体" w:hAnsi="Arial" w:cs="Arial"/>
      <w:sz w:val="28"/>
      <w:szCs w:val="28"/>
    </w:rPr>
  </w:style>
  <w:style w:type="paragraph" w:customStyle="1" w:styleId="afffffffffe">
    <w:name w:val="附注二级"/>
    <w:basedOn w:val="a0"/>
    <w:uiPriority w:val="99"/>
    <w:qFormat/>
    <w:pPr>
      <w:widowControl w:val="0"/>
      <w:tabs>
        <w:tab w:val="left" w:pos="714"/>
      </w:tabs>
      <w:adjustRightInd w:val="0"/>
      <w:snapToGrid w:val="0"/>
      <w:spacing w:line="400" w:lineRule="atLeast"/>
      <w:ind w:left="756" w:hanging="770"/>
      <w:jc w:val="both"/>
      <w:outlineLvl w:val="0"/>
    </w:pPr>
    <w:rPr>
      <w:rFonts w:cs="Times New Roman"/>
      <w:b/>
      <w:kern w:val="2"/>
      <w:sz w:val="21"/>
      <w:szCs w:val="21"/>
    </w:rPr>
  </w:style>
  <w:style w:type="paragraph" w:customStyle="1" w:styleId="affffffffff">
    <w:name w:val="附注三级"/>
    <w:basedOn w:val="a0"/>
    <w:uiPriority w:val="99"/>
    <w:qFormat/>
    <w:pPr>
      <w:widowControl w:val="0"/>
      <w:tabs>
        <w:tab w:val="left" w:pos="1273"/>
      </w:tabs>
      <w:adjustRightInd w:val="0"/>
      <w:snapToGrid w:val="0"/>
      <w:spacing w:line="400" w:lineRule="atLeast"/>
      <w:ind w:leftChars="342" w:left="1256" w:hangingChars="255" w:hanging="538"/>
      <w:jc w:val="both"/>
    </w:pPr>
    <w:rPr>
      <w:rFonts w:cs="Times New Roman"/>
      <w:b/>
      <w:bCs/>
      <w:kern w:val="2"/>
      <w:sz w:val="21"/>
      <w:szCs w:val="21"/>
    </w:rPr>
  </w:style>
  <w:style w:type="paragraph" w:customStyle="1" w:styleId="affffffffff0">
    <w:name w:val="附注三级正文"/>
    <w:basedOn w:val="a0"/>
    <w:uiPriority w:val="99"/>
    <w:qFormat/>
    <w:pPr>
      <w:widowControl w:val="0"/>
      <w:tabs>
        <w:tab w:val="left" w:pos="630"/>
      </w:tabs>
      <w:adjustRightInd w:val="0"/>
      <w:snapToGrid w:val="0"/>
      <w:spacing w:line="400" w:lineRule="atLeast"/>
      <w:ind w:leftChars="600" w:left="1260"/>
      <w:jc w:val="both"/>
    </w:pPr>
    <w:rPr>
      <w:rFonts w:cs="Times New Roman"/>
      <w:kern w:val="2"/>
      <w:sz w:val="21"/>
      <w:szCs w:val="21"/>
    </w:rPr>
  </w:style>
  <w:style w:type="character" w:customStyle="1" w:styleId="Charff8">
    <w:name w:val="财务表格 Char"/>
    <w:link w:val="affffffffff1"/>
    <w:qFormat/>
    <w:locked/>
    <w:rPr>
      <w:szCs w:val="21"/>
    </w:rPr>
  </w:style>
  <w:style w:type="paragraph" w:customStyle="1" w:styleId="affffffffff1">
    <w:name w:val="财务表格"/>
    <w:basedOn w:val="a0"/>
    <w:link w:val="Charff8"/>
    <w:qFormat/>
    <w:rPr>
      <w:rFonts w:asciiTheme="minorHAnsi" w:eastAsiaTheme="minorEastAsia" w:hAnsiTheme="minorHAnsi" w:cstheme="minorBidi"/>
      <w:kern w:val="2"/>
      <w:sz w:val="21"/>
      <w:szCs w:val="21"/>
    </w:rPr>
  </w:style>
  <w:style w:type="character" w:customStyle="1" w:styleId="2Char6">
    <w:name w:val="财务表格2 Char"/>
    <w:link w:val="2ffc"/>
    <w:qFormat/>
    <w:locked/>
    <w:rPr>
      <w:szCs w:val="21"/>
    </w:rPr>
  </w:style>
  <w:style w:type="paragraph" w:customStyle="1" w:styleId="2ffc">
    <w:name w:val="财务表格2"/>
    <w:basedOn w:val="affffffffff1"/>
    <w:link w:val="2Char6"/>
    <w:qFormat/>
  </w:style>
  <w:style w:type="paragraph" w:customStyle="1" w:styleId="3ff5">
    <w:name w:val="财务表格3"/>
    <w:basedOn w:val="affffffffff1"/>
    <w:uiPriority w:val="99"/>
    <w:qFormat/>
    <w:rPr>
      <w:rFonts w:ascii="等线" w:eastAsia="等线" w:hAnsi="等线"/>
    </w:rPr>
  </w:style>
  <w:style w:type="character" w:customStyle="1" w:styleId="CharChar0">
    <w:name w:val="批注框文本 Char Char"/>
    <w:link w:val="1ffe"/>
    <w:qFormat/>
    <w:locked/>
    <w:rPr>
      <w:rFonts w:ascii="仿宋_GB2312" w:eastAsia="仿宋_GB2312"/>
      <w:sz w:val="18"/>
      <w:szCs w:val="18"/>
    </w:rPr>
  </w:style>
  <w:style w:type="paragraph" w:customStyle="1" w:styleId="1ffe">
    <w:name w:val="批注框文本1"/>
    <w:basedOn w:val="a0"/>
    <w:link w:val="CharChar0"/>
    <w:qFormat/>
    <w:pPr>
      <w:widowControl w:val="0"/>
      <w:snapToGrid w:val="0"/>
      <w:ind w:firstLine="556"/>
      <w:jc w:val="both"/>
    </w:pPr>
    <w:rPr>
      <w:rFonts w:ascii="仿宋_GB2312" w:eastAsia="仿宋_GB2312" w:hAnsiTheme="minorHAnsi" w:cstheme="minorBidi"/>
      <w:kern w:val="2"/>
      <w:sz w:val="18"/>
      <w:szCs w:val="18"/>
    </w:rPr>
  </w:style>
  <w:style w:type="paragraph" w:customStyle="1" w:styleId="ecxmsonormal">
    <w:name w:val="ecxmsonormal"/>
    <w:basedOn w:val="a0"/>
    <w:uiPriority w:val="99"/>
    <w:qFormat/>
    <w:pPr>
      <w:spacing w:before="100" w:beforeAutospacing="1" w:after="100" w:afterAutospacing="1"/>
    </w:pPr>
  </w:style>
  <w:style w:type="character" w:customStyle="1" w:styleId="Charff9">
    <w:name w:val="首行缩进 Char"/>
    <w:link w:val="affffffffff2"/>
    <w:qFormat/>
    <w:locked/>
    <w:rPr>
      <w:sz w:val="24"/>
      <w:szCs w:val="24"/>
    </w:rPr>
  </w:style>
  <w:style w:type="paragraph" w:customStyle="1" w:styleId="affffffffff2">
    <w:name w:val="首行缩进"/>
    <w:basedOn w:val="a0"/>
    <w:link w:val="Charff9"/>
    <w:qFormat/>
    <w:pPr>
      <w:widowControl w:val="0"/>
      <w:spacing w:beforeLines="30" w:line="400" w:lineRule="atLeast"/>
      <w:ind w:firstLineChars="200" w:firstLine="200"/>
      <w:jc w:val="both"/>
    </w:pPr>
    <w:rPr>
      <w:rFonts w:asciiTheme="minorHAnsi" w:eastAsiaTheme="minorEastAsia" w:hAnsiTheme="minorHAnsi" w:cstheme="minorBidi"/>
      <w:kern w:val="2"/>
    </w:rPr>
  </w:style>
  <w:style w:type="character" w:customStyle="1" w:styleId="Charffa">
    <w:name w:val="脚注 Char"/>
    <w:link w:val="affffffffff3"/>
    <w:qFormat/>
    <w:locked/>
    <w:rPr>
      <w:szCs w:val="24"/>
    </w:rPr>
  </w:style>
  <w:style w:type="paragraph" w:customStyle="1" w:styleId="affffffffff3">
    <w:name w:val="脚注"/>
    <w:basedOn w:val="a0"/>
    <w:link w:val="Charffa"/>
    <w:qFormat/>
    <w:pPr>
      <w:widowControl w:val="0"/>
      <w:jc w:val="both"/>
    </w:pPr>
    <w:rPr>
      <w:rFonts w:asciiTheme="minorHAnsi" w:eastAsiaTheme="minorEastAsia" w:hAnsiTheme="minorHAnsi" w:cstheme="minorBidi"/>
      <w:kern w:val="2"/>
      <w:sz w:val="21"/>
    </w:rPr>
  </w:style>
  <w:style w:type="character" w:customStyle="1" w:styleId="Charffb">
    <w:name w:val="表格注释 Char"/>
    <w:link w:val="affffffffff4"/>
    <w:qFormat/>
    <w:locked/>
    <w:rPr>
      <w:szCs w:val="21"/>
    </w:rPr>
  </w:style>
  <w:style w:type="paragraph" w:customStyle="1" w:styleId="affffffffff4">
    <w:name w:val="表格注释"/>
    <w:basedOn w:val="a0"/>
    <w:next w:val="affffffff8"/>
    <w:link w:val="Charffb"/>
    <w:qFormat/>
    <w:pPr>
      <w:widowControl w:val="0"/>
      <w:spacing w:line="288" w:lineRule="auto"/>
      <w:jc w:val="both"/>
    </w:pPr>
    <w:rPr>
      <w:rFonts w:asciiTheme="minorHAnsi" w:eastAsiaTheme="minorEastAsia" w:hAnsiTheme="minorHAnsi" w:cstheme="minorBidi"/>
      <w:kern w:val="2"/>
      <w:sz w:val="21"/>
      <w:szCs w:val="21"/>
    </w:rPr>
  </w:style>
  <w:style w:type="paragraph" w:customStyle="1" w:styleId="2ffd">
    <w:name w:val="批注框文本2"/>
    <w:basedOn w:val="a0"/>
    <w:uiPriority w:val="99"/>
    <w:qFormat/>
    <w:pPr>
      <w:widowControl w:val="0"/>
      <w:snapToGrid w:val="0"/>
      <w:ind w:firstLine="556"/>
      <w:jc w:val="both"/>
    </w:pPr>
    <w:rPr>
      <w:rFonts w:ascii="仿宋_GB2312" w:eastAsia="仿宋_GB2312" w:hAnsi="Times New Roman" w:cs="Times New Roman"/>
      <w:sz w:val="18"/>
      <w:szCs w:val="18"/>
    </w:rPr>
  </w:style>
  <w:style w:type="paragraph" w:customStyle="1" w:styleId="affffffffff5">
    <w:name w:val="a"/>
    <w:basedOn w:val="a0"/>
    <w:uiPriority w:val="99"/>
    <w:qFormat/>
    <w:pPr>
      <w:spacing w:before="100" w:beforeAutospacing="1" w:after="100" w:afterAutospacing="1"/>
    </w:pPr>
  </w:style>
  <w:style w:type="paragraph" w:customStyle="1" w:styleId="ecxdefault">
    <w:name w:val="ecxdefault"/>
    <w:basedOn w:val="a0"/>
    <w:uiPriority w:val="99"/>
    <w:qFormat/>
    <w:pPr>
      <w:spacing w:before="100" w:beforeAutospacing="1" w:after="100" w:afterAutospacing="1"/>
    </w:pPr>
  </w:style>
  <w:style w:type="character" w:customStyle="1" w:styleId="Charffc">
    <w:name w:val="回复正文 Char"/>
    <w:link w:val="affffffffff6"/>
    <w:qFormat/>
    <w:locked/>
    <w:rPr>
      <w:sz w:val="24"/>
      <w:szCs w:val="24"/>
    </w:rPr>
  </w:style>
  <w:style w:type="paragraph" w:customStyle="1" w:styleId="affffffffff6">
    <w:name w:val="回复正文"/>
    <w:basedOn w:val="a0"/>
    <w:link w:val="Charffc"/>
    <w:qFormat/>
    <w:pPr>
      <w:widowControl w:val="0"/>
      <w:spacing w:line="360" w:lineRule="auto"/>
      <w:ind w:firstLineChars="200" w:firstLine="480"/>
      <w:jc w:val="both"/>
    </w:pPr>
    <w:rPr>
      <w:rFonts w:asciiTheme="minorHAnsi" w:eastAsiaTheme="minorEastAsia" w:hAnsiTheme="minorHAnsi" w:cstheme="minorBidi"/>
      <w:kern w:val="2"/>
    </w:rPr>
  </w:style>
  <w:style w:type="paragraph" w:customStyle="1" w:styleId="-31">
    <w:name w:val="彩色底纹 - 强调文字颜色 31"/>
    <w:basedOn w:val="a0"/>
    <w:uiPriority w:val="34"/>
    <w:qFormat/>
    <w:pPr>
      <w:widowControl w:val="0"/>
      <w:spacing w:beforeLines="50" w:line="360" w:lineRule="auto"/>
      <w:ind w:firstLineChars="200" w:firstLine="420"/>
      <w:jc w:val="both"/>
    </w:pPr>
    <w:rPr>
      <w:rFonts w:ascii="Calibri" w:hAnsi="Calibri" w:cs="Times New Roman"/>
      <w:kern w:val="2"/>
      <w:szCs w:val="22"/>
    </w:rPr>
  </w:style>
  <w:style w:type="character" w:customStyle="1" w:styleId="02Char0">
    <w:name w:val="02标题二 Char"/>
    <w:link w:val="020"/>
    <w:qFormat/>
    <w:locked/>
    <w:rPr>
      <w:rFonts w:ascii="宋体" w:hAnsi="宋体"/>
      <w:b/>
      <w:sz w:val="24"/>
      <w:szCs w:val="24"/>
    </w:rPr>
  </w:style>
  <w:style w:type="paragraph" w:customStyle="1" w:styleId="020">
    <w:name w:val="02标题二"/>
    <w:basedOn w:val="a0"/>
    <w:link w:val="02Char0"/>
    <w:qFormat/>
    <w:pPr>
      <w:widowControl w:val="0"/>
      <w:spacing w:beforeLines="150" w:line="360" w:lineRule="auto"/>
      <w:ind w:firstLineChars="200" w:firstLine="482"/>
      <w:jc w:val="both"/>
      <w:outlineLvl w:val="2"/>
    </w:pPr>
    <w:rPr>
      <w:rFonts w:eastAsiaTheme="minorEastAsia" w:cstheme="minorBidi"/>
      <w:b/>
      <w:kern w:val="2"/>
    </w:rPr>
  </w:style>
  <w:style w:type="character" w:customStyle="1" w:styleId="01Char">
    <w:name w:val="01标题一 Char"/>
    <w:link w:val="01"/>
    <w:qFormat/>
    <w:locked/>
    <w:rPr>
      <w:rFonts w:ascii="黑体" w:eastAsia="黑体" w:hAnsi="宋体"/>
      <w:b/>
      <w:sz w:val="28"/>
      <w:szCs w:val="28"/>
    </w:rPr>
  </w:style>
  <w:style w:type="paragraph" w:customStyle="1" w:styleId="01">
    <w:name w:val="01标题一"/>
    <w:basedOn w:val="a0"/>
    <w:link w:val="01Char"/>
    <w:qFormat/>
    <w:pPr>
      <w:widowControl w:val="0"/>
      <w:spacing w:beforeLines="150" w:line="360" w:lineRule="auto"/>
      <w:jc w:val="both"/>
      <w:outlineLvl w:val="1"/>
    </w:pPr>
    <w:rPr>
      <w:rFonts w:ascii="黑体" w:eastAsia="黑体" w:cstheme="minorBidi"/>
      <w:b/>
      <w:kern w:val="2"/>
      <w:sz w:val="28"/>
      <w:szCs w:val="28"/>
    </w:rPr>
  </w:style>
  <w:style w:type="character" w:customStyle="1" w:styleId="03Char0">
    <w:name w:val="03标题三 Char"/>
    <w:link w:val="030"/>
    <w:qFormat/>
    <w:locked/>
    <w:rPr>
      <w:rFonts w:ascii="宋体" w:hAnsi="宋体"/>
      <w:b/>
      <w:sz w:val="24"/>
      <w:szCs w:val="24"/>
    </w:rPr>
  </w:style>
  <w:style w:type="paragraph" w:customStyle="1" w:styleId="030">
    <w:name w:val="03标题三"/>
    <w:basedOn w:val="a0"/>
    <w:link w:val="03Char0"/>
    <w:qFormat/>
    <w:pPr>
      <w:widowControl w:val="0"/>
      <w:spacing w:beforeLines="100" w:line="360" w:lineRule="auto"/>
      <w:ind w:firstLineChars="200" w:firstLine="482"/>
      <w:jc w:val="both"/>
      <w:outlineLvl w:val="3"/>
    </w:pPr>
    <w:rPr>
      <w:rFonts w:eastAsiaTheme="minorEastAsia" w:cstheme="minorBidi"/>
      <w:b/>
      <w:kern w:val="2"/>
    </w:rPr>
  </w:style>
  <w:style w:type="paragraph" w:customStyle="1" w:styleId="-310">
    <w:name w:val="深色列表 - 强调文字颜色 31"/>
    <w:uiPriority w:val="71"/>
    <w:qFormat/>
    <w:rPr>
      <w:rFonts w:ascii="Calibri" w:hAnsi="Calibri"/>
      <w:kern w:val="2"/>
      <w:sz w:val="24"/>
      <w:szCs w:val="22"/>
    </w:rPr>
  </w:style>
  <w:style w:type="character" w:customStyle="1" w:styleId="2Char7">
    <w:name w:val="标题2 Char"/>
    <w:link w:val="2ffe"/>
    <w:qFormat/>
    <w:locked/>
    <w:rPr>
      <w:rFonts w:ascii="Arial" w:hAnsi="Arial" w:cs="Arial"/>
      <w:b/>
      <w:bCs/>
      <w:sz w:val="28"/>
      <w:szCs w:val="28"/>
    </w:rPr>
  </w:style>
  <w:style w:type="paragraph" w:customStyle="1" w:styleId="2ffe">
    <w:name w:val="标题2"/>
    <w:basedOn w:val="20"/>
    <w:link w:val="2Char7"/>
    <w:qFormat/>
    <w:pPr>
      <w:tabs>
        <w:tab w:val="left" w:pos="567"/>
      </w:tabs>
      <w:spacing w:beforeLines="150" w:before="0" w:afterLines="50" w:after="0" w:line="360" w:lineRule="auto"/>
      <w:ind w:left="567" w:firstLineChars="196" w:firstLine="551"/>
    </w:pPr>
    <w:rPr>
      <w:rFonts w:ascii="Arial" w:eastAsiaTheme="minorEastAsia" w:hAnsi="Arial" w:cs="Arial"/>
      <w:sz w:val="28"/>
      <w:szCs w:val="28"/>
    </w:rPr>
  </w:style>
  <w:style w:type="paragraph" w:customStyle="1" w:styleId="reader-word-layer">
    <w:name w:val="reader-word-layer"/>
    <w:basedOn w:val="a0"/>
    <w:uiPriority w:val="99"/>
    <w:qFormat/>
    <w:pPr>
      <w:spacing w:before="100" w:beforeAutospacing="1" w:after="100" w:afterAutospacing="1" w:line="360" w:lineRule="auto"/>
      <w:ind w:firstLineChars="200" w:firstLine="200"/>
    </w:pPr>
  </w:style>
  <w:style w:type="paragraph" w:customStyle="1" w:styleId="1fff">
    <w:name w:val="修订版本号1"/>
    <w:uiPriority w:val="99"/>
    <w:semiHidden/>
    <w:qFormat/>
    <w:rPr>
      <w:rFonts w:ascii="Calibri" w:hAnsi="Calibri"/>
      <w:kern w:val="2"/>
      <w:sz w:val="24"/>
      <w:szCs w:val="22"/>
    </w:rPr>
  </w:style>
  <w:style w:type="character" w:customStyle="1" w:styleId="05Char0">
    <w:name w:val="05内页正文 Char"/>
    <w:link w:val="050"/>
    <w:qFormat/>
    <w:locked/>
    <w:rPr>
      <w:rFonts w:ascii="Arial" w:hAnsi="Arial" w:cs="Arial"/>
      <w:sz w:val="24"/>
      <w:szCs w:val="24"/>
    </w:rPr>
  </w:style>
  <w:style w:type="paragraph" w:customStyle="1" w:styleId="050">
    <w:name w:val="05内页正文"/>
    <w:basedOn w:val="a0"/>
    <w:link w:val="05Char0"/>
    <w:qFormat/>
    <w:pPr>
      <w:widowControl w:val="0"/>
      <w:spacing w:line="360" w:lineRule="auto"/>
      <w:ind w:firstLine="480"/>
      <w:jc w:val="both"/>
    </w:pPr>
    <w:rPr>
      <w:rFonts w:ascii="Arial" w:eastAsiaTheme="minorEastAsia" w:hAnsi="Arial" w:cs="Arial"/>
      <w:kern w:val="2"/>
    </w:rPr>
  </w:style>
  <w:style w:type="paragraph" w:customStyle="1" w:styleId="TOC11">
    <w:name w:val="TOC 标题11"/>
    <w:basedOn w:val="1"/>
    <w:next w:val="a0"/>
    <w:uiPriority w:val="39"/>
    <w:qFormat/>
    <w:pPr>
      <w:widowControl/>
      <w:tabs>
        <w:tab w:val="left" w:pos="567"/>
      </w:tabs>
      <w:spacing w:line="276" w:lineRule="auto"/>
      <w:ind w:left="567" w:hanging="567"/>
      <w:jc w:val="left"/>
      <w:outlineLvl w:val="9"/>
    </w:pPr>
    <w:rPr>
      <w:rFonts w:ascii="Cambria" w:eastAsia="MS Gothic" w:hAnsi="Cambria"/>
      <w:color w:val="365F91"/>
      <w:kern w:val="0"/>
      <w:sz w:val="28"/>
      <w:szCs w:val="28"/>
      <w:lang w:eastAsia="ja-JP"/>
    </w:rPr>
  </w:style>
  <w:style w:type="character" w:customStyle="1" w:styleId="Charfe">
    <w:name w:val="表格内容 Char"/>
    <w:link w:val="afffffffb"/>
    <w:qFormat/>
    <w:locked/>
    <w:rPr>
      <w:rFonts w:ascii="Arial" w:eastAsia="楷体_GB2312" w:hAnsi="Arial" w:cs="Times New Roman"/>
      <w:spacing w:val="-25"/>
      <w:kern w:val="0"/>
      <w:sz w:val="24"/>
      <w:szCs w:val="20"/>
    </w:rPr>
  </w:style>
  <w:style w:type="character" w:customStyle="1" w:styleId="Charffd">
    <w:name w:val="表蕊表头 Char"/>
    <w:link w:val="affffffffff7"/>
    <w:qFormat/>
    <w:locked/>
    <w:rPr>
      <w:rFonts w:ascii="Arial" w:hAnsi="Arial" w:cs="Arial"/>
      <w:b/>
      <w:szCs w:val="21"/>
    </w:rPr>
  </w:style>
  <w:style w:type="paragraph" w:customStyle="1" w:styleId="affffffffff7">
    <w:name w:val="表蕊表头"/>
    <w:basedOn w:val="a0"/>
    <w:link w:val="Charffd"/>
    <w:qFormat/>
    <w:pPr>
      <w:adjustRightInd w:val="0"/>
      <w:jc w:val="center"/>
    </w:pPr>
    <w:rPr>
      <w:rFonts w:ascii="Arial" w:eastAsiaTheme="minorEastAsia" w:hAnsi="Arial" w:cs="Arial"/>
      <w:b/>
      <w:kern w:val="2"/>
      <w:sz w:val="21"/>
      <w:szCs w:val="21"/>
    </w:rPr>
  </w:style>
  <w:style w:type="character" w:customStyle="1" w:styleId="1CharChar0">
    <w:name w:val="正文段落1 Char Char"/>
    <w:link w:val="1fff0"/>
    <w:qFormat/>
    <w:locked/>
    <w:rPr>
      <w:rFonts w:ascii="楷体_GB2312" w:eastAsia="楷体_GB2312"/>
      <w:bCs/>
    </w:rPr>
  </w:style>
  <w:style w:type="paragraph" w:customStyle="1" w:styleId="1fff0">
    <w:name w:val="正文段落1"/>
    <w:basedOn w:val="a0"/>
    <w:link w:val="1CharChar0"/>
    <w:qFormat/>
    <w:pPr>
      <w:widowControl w:val="0"/>
      <w:tabs>
        <w:tab w:val="left" w:pos="1200"/>
        <w:tab w:val="left" w:pos="7920"/>
        <w:tab w:val="left" w:pos="8280"/>
      </w:tabs>
      <w:spacing w:beforeLines="50" w:line="400" w:lineRule="exact"/>
      <w:ind w:rightChars="12" w:right="25" w:firstLineChars="200" w:firstLine="480"/>
      <w:jc w:val="both"/>
    </w:pPr>
    <w:rPr>
      <w:rFonts w:ascii="楷体_GB2312" w:eastAsia="楷体_GB2312" w:hAnsiTheme="minorHAnsi" w:cstheme="minorBidi"/>
      <w:bCs/>
      <w:kern w:val="2"/>
      <w:sz w:val="21"/>
      <w:szCs w:val="22"/>
    </w:rPr>
  </w:style>
  <w:style w:type="paragraph" w:customStyle="1" w:styleId="affffffffff8">
    <w:name w:val="表格小五"/>
    <w:basedOn w:val="a0"/>
    <w:uiPriority w:val="99"/>
    <w:qFormat/>
    <w:pPr>
      <w:widowControl w:val="0"/>
      <w:adjustRightInd w:val="0"/>
      <w:snapToGrid w:val="0"/>
      <w:spacing w:line="240" w:lineRule="exact"/>
      <w:ind w:rightChars="-20" w:right="-48"/>
      <w:jc w:val="center"/>
    </w:pPr>
    <w:rPr>
      <w:rFonts w:ascii="Times New Roman" w:hAnsi="Times New Roman" w:cs="Times New Roman"/>
      <w:kern w:val="40"/>
      <w:sz w:val="18"/>
      <w:szCs w:val="21"/>
    </w:rPr>
  </w:style>
  <w:style w:type="character" w:customStyle="1" w:styleId="Charffe">
    <w:name w:val="表头 Char"/>
    <w:link w:val="affffffffff9"/>
    <w:qFormat/>
    <w:locked/>
    <w:rPr>
      <w:rFonts w:ascii="Arial" w:hAnsi="Arial" w:cs="Arial"/>
      <w:b/>
      <w:szCs w:val="21"/>
    </w:rPr>
  </w:style>
  <w:style w:type="paragraph" w:customStyle="1" w:styleId="affffffffff9">
    <w:name w:val="表头"/>
    <w:basedOn w:val="a0"/>
    <w:link w:val="Charffe"/>
    <w:qFormat/>
    <w:pPr>
      <w:widowControl w:val="0"/>
      <w:spacing w:beforeLines="50"/>
      <w:ind w:firstLineChars="200" w:firstLine="200"/>
    </w:pPr>
    <w:rPr>
      <w:rFonts w:ascii="Arial" w:eastAsiaTheme="minorEastAsia" w:hAnsi="Arial" w:cs="Arial"/>
      <w:b/>
      <w:kern w:val="2"/>
      <w:sz w:val="21"/>
      <w:szCs w:val="21"/>
    </w:rPr>
  </w:style>
  <w:style w:type="paragraph" w:customStyle="1" w:styleId="5f2">
    <w:name w:val="我的样式5"/>
    <w:basedOn w:val="a0"/>
    <w:next w:val="a0"/>
    <w:uiPriority w:val="99"/>
    <w:qFormat/>
    <w:pPr>
      <w:widowControl w:val="0"/>
      <w:tabs>
        <w:tab w:val="left" w:pos="900"/>
      </w:tabs>
      <w:spacing w:line="520" w:lineRule="exact"/>
      <w:jc w:val="both"/>
    </w:pPr>
    <w:rPr>
      <w:rFonts w:ascii="Times New Roman" w:hAnsi="Times New Roman" w:cs="Times New Roman"/>
      <w:kern w:val="2"/>
    </w:rPr>
  </w:style>
  <w:style w:type="paragraph" w:customStyle="1" w:styleId="Char1CharCharCharCharCharCharCharCharCharCharChar1CharCharCharCharCharCharChar2">
    <w:name w:val="Char1 Char Char Char Char Char Char Char Char Char Char Char1 Char Char Char Char Char Char Char2"/>
    <w:basedOn w:val="a0"/>
    <w:uiPriority w:val="99"/>
    <w:qFormat/>
    <w:pPr>
      <w:widowControl w:val="0"/>
      <w:jc w:val="both"/>
    </w:pPr>
    <w:rPr>
      <w:rFonts w:ascii="Tahoma" w:hAnsi="Tahoma" w:cs="Times New Roman"/>
      <w:kern w:val="2"/>
      <w:szCs w:val="20"/>
    </w:rPr>
  </w:style>
  <w:style w:type="paragraph" w:customStyle="1" w:styleId="Schedule1">
    <w:name w:val="Schedule 1"/>
    <w:basedOn w:val="a0"/>
    <w:uiPriority w:val="99"/>
    <w:qFormat/>
    <w:pPr>
      <w:widowControl w:val="0"/>
      <w:numPr>
        <w:numId w:val="13"/>
      </w:numPr>
      <w:jc w:val="both"/>
    </w:pPr>
    <w:rPr>
      <w:rFonts w:ascii="Times New Roman" w:hAnsi="Times New Roman" w:cs="Times New Roman"/>
      <w:kern w:val="2"/>
      <w:sz w:val="21"/>
    </w:rPr>
  </w:style>
  <w:style w:type="paragraph" w:customStyle="1" w:styleId="Schedule2">
    <w:name w:val="Schedule 2"/>
    <w:basedOn w:val="a0"/>
    <w:uiPriority w:val="99"/>
    <w:qFormat/>
    <w:pPr>
      <w:widowControl w:val="0"/>
      <w:numPr>
        <w:ilvl w:val="1"/>
        <w:numId w:val="13"/>
      </w:numPr>
      <w:ind w:firstLine="0"/>
      <w:jc w:val="both"/>
    </w:pPr>
    <w:rPr>
      <w:rFonts w:ascii="Times New Roman" w:hAnsi="Times New Roman" w:cs="Times New Roman"/>
      <w:kern w:val="2"/>
      <w:sz w:val="21"/>
    </w:rPr>
  </w:style>
  <w:style w:type="paragraph" w:customStyle="1" w:styleId="Schedule3">
    <w:name w:val="Schedule 3"/>
    <w:basedOn w:val="a0"/>
    <w:uiPriority w:val="99"/>
    <w:qFormat/>
    <w:pPr>
      <w:widowControl w:val="0"/>
      <w:numPr>
        <w:ilvl w:val="2"/>
        <w:numId w:val="13"/>
      </w:numPr>
      <w:ind w:firstLine="0"/>
      <w:jc w:val="both"/>
    </w:pPr>
    <w:rPr>
      <w:rFonts w:ascii="Times New Roman" w:hAnsi="Times New Roman" w:cs="Times New Roman"/>
      <w:kern w:val="2"/>
      <w:sz w:val="21"/>
    </w:rPr>
  </w:style>
  <w:style w:type="paragraph" w:customStyle="1" w:styleId="Schedule4">
    <w:name w:val="Schedule 4"/>
    <w:basedOn w:val="a0"/>
    <w:uiPriority w:val="99"/>
    <w:qFormat/>
    <w:pPr>
      <w:widowControl w:val="0"/>
      <w:numPr>
        <w:ilvl w:val="3"/>
        <w:numId w:val="13"/>
      </w:numPr>
      <w:ind w:firstLine="0"/>
      <w:jc w:val="both"/>
    </w:pPr>
    <w:rPr>
      <w:rFonts w:ascii="Times New Roman" w:hAnsi="Times New Roman" w:cs="Times New Roman"/>
      <w:kern w:val="2"/>
      <w:sz w:val="21"/>
    </w:rPr>
  </w:style>
  <w:style w:type="paragraph" w:customStyle="1" w:styleId="Schedule5">
    <w:name w:val="Schedule 5"/>
    <w:basedOn w:val="a0"/>
    <w:uiPriority w:val="99"/>
    <w:qFormat/>
    <w:pPr>
      <w:widowControl w:val="0"/>
      <w:numPr>
        <w:ilvl w:val="4"/>
        <w:numId w:val="13"/>
      </w:numPr>
      <w:ind w:firstLine="0"/>
      <w:jc w:val="both"/>
    </w:pPr>
    <w:rPr>
      <w:rFonts w:ascii="Times New Roman" w:hAnsi="Times New Roman" w:cs="Times New Roman"/>
      <w:kern w:val="2"/>
      <w:sz w:val="21"/>
    </w:rPr>
  </w:style>
  <w:style w:type="paragraph" w:customStyle="1" w:styleId="Schedule6">
    <w:name w:val="Schedule 6"/>
    <w:basedOn w:val="a0"/>
    <w:uiPriority w:val="99"/>
    <w:qFormat/>
    <w:pPr>
      <w:widowControl w:val="0"/>
      <w:numPr>
        <w:ilvl w:val="5"/>
        <w:numId w:val="13"/>
      </w:numPr>
      <w:ind w:firstLine="0"/>
      <w:jc w:val="both"/>
    </w:pPr>
    <w:rPr>
      <w:rFonts w:ascii="Times New Roman" w:hAnsi="Times New Roman" w:cs="Times New Roman"/>
      <w:kern w:val="2"/>
      <w:sz w:val="21"/>
    </w:rPr>
  </w:style>
  <w:style w:type="paragraph" w:customStyle="1" w:styleId="-32">
    <w:name w:val="附注-标题3"/>
    <w:uiPriority w:val="99"/>
    <w:qFormat/>
    <w:pPr>
      <w:tabs>
        <w:tab w:val="left" w:pos="1125"/>
      </w:tabs>
      <w:spacing w:beforeLines="25" w:line="360" w:lineRule="auto"/>
      <w:ind w:left="1125" w:hanging="720"/>
      <w:outlineLvl w:val="1"/>
    </w:pPr>
    <w:rPr>
      <w:rFonts w:ascii="Arial Narrow" w:hAnsi="Arial Narrow"/>
      <w:b/>
      <w:kern w:val="2"/>
      <w:sz w:val="21"/>
      <w:szCs w:val="21"/>
    </w:rPr>
  </w:style>
  <w:style w:type="paragraph" w:customStyle="1" w:styleId="Char1CharCharCharCharCharCharCharCharCharCharChar1CharCharCharCharCharCharChar1">
    <w:name w:val="Char1 Char Char Char Char Char Char Char Char Char Char Char1 Char Char Char Char Char Char Char1"/>
    <w:basedOn w:val="a0"/>
    <w:uiPriority w:val="99"/>
    <w:qFormat/>
    <w:pPr>
      <w:widowControl w:val="0"/>
      <w:jc w:val="both"/>
    </w:pPr>
    <w:rPr>
      <w:rFonts w:ascii="Tahoma" w:hAnsi="Tahoma" w:cs="Times New Roman"/>
      <w:kern w:val="2"/>
      <w:szCs w:val="20"/>
    </w:rPr>
  </w:style>
  <w:style w:type="paragraph" w:customStyle="1" w:styleId="DD">
    <w:name w:val="铁龙_DD正文"/>
    <w:basedOn w:val="a0"/>
    <w:uiPriority w:val="99"/>
    <w:qFormat/>
    <w:pPr>
      <w:widowControl w:val="0"/>
      <w:spacing w:before="120" w:line="360" w:lineRule="auto"/>
      <w:ind w:firstLineChars="200" w:firstLine="480"/>
      <w:jc w:val="both"/>
    </w:pPr>
    <w:rPr>
      <w:rFonts w:ascii="Times New Roman" w:hAnsi="Times New Roman" w:cs="Times New Roman"/>
      <w:kern w:val="2"/>
    </w:rPr>
  </w:style>
  <w:style w:type="character" w:customStyle="1" w:styleId="Charfff">
    <w:name w:val="津滨发展正文 Char"/>
    <w:link w:val="affffffffffa"/>
    <w:qFormat/>
    <w:locked/>
    <w:rPr>
      <w:rFonts w:ascii="Arial" w:eastAsia="Arial" w:hAnsi="宋体" w:cs="Arial"/>
      <w:sz w:val="24"/>
      <w:szCs w:val="24"/>
    </w:rPr>
  </w:style>
  <w:style w:type="paragraph" w:customStyle="1" w:styleId="affffffffffa">
    <w:name w:val="津滨发展正文"/>
    <w:basedOn w:val="a0"/>
    <w:link w:val="Charfff"/>
    <w:qFormat/>
    <w:pPr>
      <w:spacing w:line="360" w:lineRule="auto"/>
      <w:ind w:firstLineChars="200" w:firstLine="480"/>
    </w:pPr>
    <w:rPr>
      <w:rFonts w:ascii="Arial" w:eastAsia="Arial" w:cs="Arial"/>
      <w:kern w:val="2"/>
    </w:rPr>
  </w:style>
  <w:style w:type="character" w:customStyle="1" w:styleId="CharChar13">
    <w:name w:val="段 Char Char1"/>
    <w:link w:val="Charfff0"/>
    <w:qFormat/>
    <w:locked/>
    <w:rPr>
      <w:rFonts w:ascii="Arial" w:hAnsi="Arial" w:cs="Arial"/>
      <w:color w:val="000000"/>
      <w:sz w:val="24"/>
    </w:rPr>
  </w:style>
  <w:style w:type="paragraph" w:customStyle="1" w:styleId="Charfff0">
    <w:name w:val="段 Char"/>
    <w:basedOn w:val="a0"/>
    <w:link w:val="CharChar13"/>
    <w:qFormat/>
    <w:pPr>
      <w:widowControl w:val="0"/>
      <w:tabs>
        <w:tab w:val="left" w:pos="180"/>
        <w:tab w:val="left" w:pos="6960"/>
        <w:tab w:val="left" w:pos="8100"/>
      </w:tabs>
      <w:adjustRightInd w:val="0"/>
      <w:snapToGrid w:val="0"/>
      <w:spacing w:line="520" w:lineRule="atLeast"/>
      <w:ind w:right="26" w:firstLineChars="200" w:firstLine="480"/>
      <w:jc w:val="both"/>
    </w:pPr>
    <w:rPr>
      <w:rFonts w:ascii="Arial" w:eastAsiaTheme="minorEastAsia" w:hAnsi="Arial" w:cs="Arial"/>
      <w:color w:val="000000"/>
      <w:kern w:val="2"/>
      <w:szCs w:val="22"/>
    </w:rPr>
  </w:style>
  <w:style w:type="paragraph" w:customStyle="1" w:styleId="1fff1">
    <w:name w:val="文本块1"/>
    <w:basedOn w:val="a0"/>
    <w:uiPriority w:val="99"/>
    <w:qFormat/>
    <w:pPr>
      <w:widowControl w:val="0"/>
      <w:autoSpaceDE w:val="0"/>
      <w:autoSpaceDN w:val="0"/>
      <w:adjustRightInd w:val="0"/>
      <w:spacing w:line="360" w:lineRule="auto"/>
      <w:ind w:left="600" w:right="-328"/>
    </w:pPr>
    <w:rPr>
      <w:rFonts w:hAnsi="Times New Roman" w:cs="Times New Roman"/>
      <w:sz w:val="30"/>
      <w:szCs w:val="20"/>
    </w:rPr>
  </w:style>
  <w:style w:type="paragraph" w:customStyle="1" w:styleId="xl87">
    <w:name w:val="xl8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9">
    <w:name w:val="xl89"/>
    <w:basedOn w:val="a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90">
    <w:name w:val="xl90"/>
    <w:basedOn w:val="a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1">
    <w:name w:val="xl9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2">
    <w:name w:val="xl92"/>
    <w:basedOn w:val="a0"/>
    <w:qFormat/>
    <w:pPr>
      <w:shd w:val="clear" w:color="auto" w:fill="FFFFFF"/>
      <w:spacing w:before="100" w:beforeAutospacing="1" w:after="100" w:afterAutospacing="1"/>
    </w:pPr>
  </w:style>
  <w:style w:type="character" w:customStyle="1" w:styleId="Bodytext">
    <w:name w:val="Body text_"/>
    <w:link w:val="79"/>
    <w:qFormat/>
    <w:locked/>
    <w:rPr>
      <w:rFonts w:ascii="MingLiU" w:eastAsia="MingLiU" w:hAnsi="MingLiU" w:cs="MingLiU"/>
      <w:spacing w:val="10"/>
      <w:sz w:val="22"/>
      <w:shd w:val="clear" w:color="auto" w:fill="FFFFFF"/>
    </w:rPr>
  </w:style>
  <w:style w:type="paragraph" w:customStyle="1" w:styleId="79">
    <w:name w:val="正文文本7"/>
    <w:basedOn w:val="a0"/>
    <w:link w:val="Bodytext"/>
    <w:qFormat/>
    <w:pPr>
      <w:widowControl w:val="0"/>
      <w:shd w:val="clear" w:color="auto" w:fill="FFFFFF"/>
      <w:spacing w:before="4260" w:line="418" w:lineRule="exact"/>
      <w:jc w:val="distribute"/>
    </w:pPr>
    <w:rPr>
      <w:rFonts w:ascii="MingLiU" w:eastAsia="MingLiU" w:hAnsi="MingLiU" w:cs="MingLiU"/>
      <w:spacing w:val="10"/>
      <w:kern w:val="2"/>
      <w:sz w:val="22"/>
      <w:szCs w:val="22"/>
    </w:rPr>
  </w:style>
  <w:style w:type="paragraph" w:customStyle="1" w:styleId="affffffffffb">
    <w:name w:val="目录样式"/>
    <w:basedOn w:val="TOC2"/>
    <w:next w:val="a0"/>
    <w:uiPriority w:val="99"/>
    <w:qFormat/>
    <w:pPr>
      <w:tabs>
        <w:tab w:val="clear" w:pos="8296"/>
      </w:tabs>
      <w:spacing w:line="240" w:lineRule="auto"/>
      <w:ind w:leftChars="0" w:left="210"/>
      <w:jc w:val="left"/>
    </w:pPr>
    <w:rPr>
      <w:rFonts w:ascii="Calibri" w:hAnsi="Calibri"/>
      <w:smallCaps/>
      <w:sz w:val="20"/>
      <w:szCs w:val="20"/>
    </w:rPr>
  </w:style>
  <w:style w:type="paragraph" w:customStyle="1" w:styleId="2fff">
    <w:name w:val="纯文本2"/>
    <w:basedOn w:val="a0"/>
    <w:uiPriority w:val="99"/>
    <w:qFormat/>
    <w:pPr>
      <w:widowControl w:val="0"/>
      <w:adjustRightInd w:val="0"/>
      <w:jc w:val="both"/>
    </w:pPr>
    <w:rPr>
      <w:rFonts w:hAnsi="Courier New" w:cs="Times New Roman"/>
      <w:kern w:val="2"/>
      <w:sz w:val="21"/>
      <w:szCs w:val="20"/>
    </w:rPr>
  </w:style>
  <w:style w:type="paragraph" w:customStyle="1" w:styleId="2fff0">
    <w:name w:val="日期2"/>
    <w:basedOn w:val="a0"/>
    <w:next w:val="a0"/>
    <w:uiPriority w:val="99"/>
    <w:qFormat/>
    <w:pPr>
      <w:widowControl w:val="0"/>
      <w:autoSpaceDE w:val="0"/>
      <w:autoSpaceDN w:val="0"/>
      <w:adjustRightInd w:val="0"/>
      <w:spacing w:line="312" w:lineRule="atLeast"/>
      <w:jc w:val="right"/>
    </w:pPr>
    <w:rPr>
      <w:rFonts w:ascii="仿宋_GB2312" w:eastAsia="仿宋_GB2312" w:hAnsi="Times New Roman" w:cs="Times New Roman"/>
      <w:sz w:val="28"/>
      <w:szCs w:val="20"/>
    </w:rPr>
  </w:style>
  <w:style w:type="paragraph" w:customStyle="1" w:styleId="22a">
    <w:name w:val="正文文本缩进 22"/>
    <w:basedOn w:val="a0"/>
    <w:uiPriority w:val="99"/>
    <w:qFormat/>
    <w:pPr>
      <w:widowControl w:val="0"/>
      <w:adjustRightInd w:val="0"/>
      <w:spacing w:line="288" w:lineRule="auto"/>
      <w:ind w:firstLine="540"/>
      <w:jc w:val="both"/>
    </w:pPr>
    <w:rPr>
      <w:rFonts w:ascii="Times New Roman" w:hAnsi="Times New Roman" w:cs="Times New Roman"/>
      <w:kern w:val="2"/>
      <w:sz w:val="28"/>
      <w:szCs w:val="20"/>
    </w:rPr>
  </w:style>
  <w:style w:type="paragraph" w:customStyle="1" w:styleId="2fff1">
    <w:name w:val="文本块2"/>
    <w:basedOn w:val="a0"/>
    <w:uiPriority w:val="99"/>
    <w:qFormat/>
    <w:pPr>
      <w:widowControl w:val="0"/>
      <w:autoSpaceDE w:val="0"/>
      <w:autoSpaceDN w:val="0"/>
      <w:adjustRightInd w:val="0"/>
      <w:spacing w:line="360" w:lineRule="auto"/>
      <w:ind w:left="600" w:right="-328"/>
    </w:pPr>
    <w:rPr>
      <w:rFonts w:hAnsi="Times New Roman" w:cs="Times New Roman"/>
      <w:sz w:val="30"/>
      <w:szCs w:val="20"/>
    </w:rPr>
  </w:style>
  <w:style w:type="paragraph" w:customStyle="1" w:styleId="328">
    <w:name w:val="正文文本缩进 32"/>
    <w:basedOn w:val="a0"/>
    <w:uiPriority w:val="99"/>
    <w:qFormat/>
    <w:pPr>
      <w:adjustRightInd w:val="0"/>
      <w:spacing w:line="360" w:lineRule="auto"/>
      <w:ind w:right="-335" w:firstLine="540"/>
      <w:jc w:val="both"/>
    </w:pPr>
    <w:rPr>
      <w:rFonts w:ascii="仿宋_GB2312" w:eastAsia="仿宋_GB2312" w:hAnsi="Times New Roman" w:cs="Times New Roman"/>
      <w:sz w:val="28"/>
      <w:szCs w:val="20"/>
    </w:rPr>
  </w:style>
  <w:style w:type="paragraph" w:customStyle="1" w:styleId="affffffffffc">
    <w:name w:val="表格左对齐"/>
    <w:uiPriority w:val="99"/>
    <w:qFormat/>
    <w:rPr>
      <w:rFonts w:ascii="Arial" w:hAnsi="Arial" w:cs="Arial"/>
      <w:kern w:val="2"/>
      <w:sz w:val="21"/>
      <w:szCs w:val="24"/>
    </w:rPr>
  </w:style>
  <w:style w:type="paragraph" w:customStyle="1" w:styleId="affffffffffd">
    <w:name w:val="表格居中"/>
    <w:uiPriority w:val="99"/>
    <w:qFormat/>
    <w:pPr>
      <w:jc w:val="center"/>
    </w:pPr>
    <w:rPr>
      <w:rFonts w:ascii="Arial" w:hAnsi="Arial" w:cs="Arial"/>
      <w:kern w:val="2"/>
      <w:sz w:val="21"/>
      <w:szCs w:val="24"/>
    </w:rPr>
  </w:style>
  <w:style w:type="paragraph" w:customStyle="1" w:styleId="affffffffffe">
    <w:name w:val="表格标题行"/>
    <w:basedOn w:val="a0"/>
    <w:uiPriority w:val="99"/>
    <w:qFormat/>
    <w:pPr>
      <w:widowControl w:val="0"/>
      <w:jc w:val="center"/>
    </w:pPr>
    <w:rPr>
      <w:rFonts w:ascii="Arial" w:hAnsi="Arial" w:cs="Arial"/>
      <w:b/>
      <w:kern w:val="2"/>
      <w:sz w:val="21"/>
    </w:rPr>
  </w:style>
  <w:style w:type="paragraph" w:customStyle="1" w:styleId="afffffffffff">
    <w:name w:val="表格加粗居中"/>
    <w:uiPriority w:val="99"/>
    <w:qFormat/>
    <w:pPr>
      <w:jc w:val="center"/>
    </w:pPr>
    <w:rPr>
      <w:rFonts w:ascii="Arial" w:hAnsi="Arial" w:cs="宋体"/>
      <w:b/>
      <w:sz w:val="21"/>
      <w:szCs w:val="24"/>
    </w:rPr>
  </w:style>
  <w:style w:type="paragraph" w:customStyle="1" w:styleId="afffffffffff0">
    <w:name w:val="表格加粗左对齐"/>
    <w:uiPriority w:val="99"/>
    <w:qFormat/>
    <w:rPr>
      <w:rFonts w:ascii="Arial" w:hAnsi="Arial" w:cs="Arial"/>
      <w:b/>
      <w:kern w:val="2"/>
      <w:sz w:val="21"/>
      <w:szCs w:val="21"/>
    </w:rPr>
  </w:style>
  <w:style w:type="paragraph" w:customStyle="1" w:styleId="afffffffffff1">
    <w:name w:val="表格右对齐"/>
    <w:uiPriority w:val="99"/>
    <w:qFormat/>
    <w:pPr>
      <w:jc w:val="right"/>
    </w:pPr>
    <w:rPr>
      <w:rFonts w:ascii="Arial" w:hAnsi="Arial" w:cs="Arial"/>
      <w:kern w:val="2"/>
      <w:sz w:val="21"/>
      <w:szCs w:val="24"/>
    </w:rPr>
  </w:style>
  <w:style w:type="paragraph" w:customStyle="1" w:styleId="afffffffffff2">
    <w:name w:val="表格单位"/>
    <w:uiPriority w:val="99"/>
    <w:qFormat/>
    <w:pPr>
      <w:keepNext/>
      <w:jc w:val="right"/>
    </w:pPr>
    <w:rPr>
      <w:rFonts w:ascii="Arial" w:hAnsi="Arial" w:cs="Arial"/>
      <w:kern w:val="2"/>
      <w:sz w:val="21"/>
      <w:szCs w:val="21"/>
    </w:rPr>
  </w:style>
  <w:style w:type="paragraph" w:customStyle="1" w:styleId="afffffffffff3">
    <w:name w:val="表格附注"/>
    <w:next w:val="a0"/>
    <w:uiPriority w:val="99"/>
    <w:qFormat/>
    <w:pPr>
      <w:snapToGrid w:val="0"/>
      <w:ind w:firstLine="402"/>
    </w:pPr>
    <w:rPr>
      <w:rFonts w:ascii="Arial" w:hAnsi="宋体" w:cs="Arial"/>
      <w:color w:val="000000"/>
      <w:sz w:val="21"/>
      <w:szCs w:val="24"/>
      <w:u w:color="323E4F"/>
    </w:rPr>
  </w:style>
  <w:style w:type="paragraph" w:customStyle="1" w:styleId="TEXT">
    <w:name w:val="TEXT"/>
    <w:basedOn w:val="a0"/>
    <w:uiPriority w:val="99"/>
    <w:qFormat/>
    <w:pPr>
      <w:tabs>
        <w:tab w:val="left" w:pos="835"/>
        <w:tab w:val="left" w:pos="1728"/>
      </w:tabs>
      <w:autoSpaceDE w:val="0"/>
      <w:autoSpaceDN w:val="0"/>
      <w:adjustRightInd w:val="0"/>
      <w:spacing w:line="360" w:lineRule="atLeast"/>
      <w:jc w:val="both"/>
    </w:pPr>
    <w:rPr>
      <w:rFonts w:ascii="Times New Roman" w:hAnsi="Times New Roman" w:cs="Times New Roman"/>
      <w:spacing w:val="20"/>
      <w:sz w:val="26"/>
      <w:szCs w:val="26"/>
    </w:rPr>
  </w:style>
  <w:style w:type="paragraph" w:customStyle="1" w:styleId="-112">
    <w:name w:val="彩色底纹 - 着色 11"/>
    <w:uiPriority w:val="99"/>
    <w:semiHidden/>
    <w:qFormat/>
    <w:rPr>
      <w:kern w:val="2"/>
      <w:sz w:val="21"/>
      <w:szCs w:val="24"/>
    </w:rPr>
  </w:style>
  <w:style w:type="paragraph" w:customStyle="1" w:styleId="2-21">
    <w:name w:val="中等深浅列表 2 - 强调文字颜色 21"/>
    <w:uiPriority w:val="71"/>
    <w:qFormat/>
    <w:rPr>
      <w:kern w:val="2"/>
      <w:sz w:val="21"/>
      <w:szCs w:val="24"/>
    </w:rPr>
  </w:style>
  <w:style w:type="paragraph" w:customStyle="1" w:styleId="-311">
    <w:name w:val="浅色列表 - 强调文字颜色 31"/>
    <w:uiPriority w:val="71"/>
    <w:qFormat/>
    <w:rPr>
      <w:kern w:val="2"/>
      <w:sz w:val="21"/>
      <w:szCs w:val="24"/>
    </w:rPr>
  </w:style>
  <w:style w:type="paragraph" w:customStyle="1" w:styleId="afffffffffff4">
    <w:name w:val="附注二级正文"/>
    <w:basedOn w:val="a0"/>
    <w:uiPriority w:val="99"/>
    <w:qFormat/>
    <w:pPr>
      <w:widowControl w:val="0"/>
      <w:adjustRightInd w:val="0"/>
      <w:snapToGrid w:val="0"/>
      <w:spacing w:line="400" w:lineRule="atLeast"/>
      <w:ind w:leftChars="342" w:left="718"/>
      <w:jc w:val="both"/>
    </w:pPr>
    <w:rPr>
      <w:rFonts w:cs="Times New Roman"/>
      <w:kern w:val="2"/>
      <w:sz w:val="21"/>
      <w:szCs w:val="21"/>
    </w:rPr>
  </w:style>
  <w:style w:type="character" w:customStyle="1" w:styleId="CharChar2">
    <w:name w:val="中伦正文 Char Char"/>
    <w:link w:val="afffffffffff5"/>
    <w:uiPriority w:val="99"/>
    <w:qFormat/>
    <w:locked/>
    <w:rPr>
      <w:sz w:val="24"/>
    </w:rPr>
  </w:style>
  <w:style w:type="paragraph" w:customStyle="1" w:styleId="afffffffffff5">
    <w:name w:val="中伦正文"/>
    <w:basedOn w:val="a0"/>
    <w:link w:val="CharChar2"/>
    <w:uiPriority w:val="99"/>
    <w:qFormat/>
    <w:pPr>
      <w:widowControl w:val="0"/>
      <w:spacing w:before="156" w:after="156" w:line="360" w:lineRule="auto"/>
      <w:ind w:firstLineChars="200" w:firstLine="480"/>
      <w:jc w:val="both"/>
    </w:pPr>
    <w:rPr>
      <w:rFonts w:asciiTheme="minorHAnsi" w:eastAsiaTheme="minorEastAsia" w:hAnsiTheme="minorHAnsi" w:cstheme="minorBidi"/>
      <w:kern w:val="2"/>
      <w:szCs w:val="22"/>
    </w:rPr>
  </w:style>
  <w:style w:type="paragraph" w:customStyle="1" w:styleId="2-11">
    <w:name w:val="中等深浅网格 2 - 强调文字颜色 11"/>
    <w:basedOn w:val="a0"/>
    <w:uiPriority w:val="63"/>
    <w:qFormat/>
    <w:pPr>
      <w:widowControl w:val="0"/>
      <w:spacing w:beforeLines="50" w:line="360" w:lineRule="auto"/>
      <w:ind w:firstLineChars="200" w:firstLine="200"/>
      <w:jc w:val="both"/>
    </w:pPr>
    <w:rPr>
      <w:rFonts w:ascii="Calibri Light" w:hAnsi="Calibri Light" w:cs="Times New Roman"/>
      <w:color w:val="000000"/>
      <w:kern w:val="2"/>
      <w:szCs w:val="22"/>
    </w:rPr>
  </w:style>
  <w:style w:type="character" w:customStyle="1" w:styleId="Charfff1">
    <w:name w:val="津滨正文 Char"/>
    <w:link w:val="afffffffffff6"/>
    <w:qFormat/>
    <w:locked/>
    <w:rPr>
      <w:rFonts w:ascii="Arial" w:hAnsi="Arial" w:cs="Arial"/>
      <w:b/>
      <w:bCs/>
      <w:sz w:val="24"/>
      <w:szCs w:val="24"/>
    </w:rPr>
  </w:style>
  <w:style w:type="paragraph" w:customStyle="1" w:styleId="afffffffffff6">
    <w:name w:val="津滨正文"/>
    <w:basedOn w:val="affffffffffa"/>
    <w:link w:val="Charfff1"/>
    <w:qFormat/>
    <w:rPr>
      <w:rFonts w:eastAsiaTheme="minorEastAsia" w:hAnsi="Arial"/>
      <w:b/>
      <w:bCs/>
    </w:rPr>
  </w:style>
  <w:style w:type="paragraph" w:customStyle="1" w:styleId="JaiKai">
    <w:name w:val="JaiKai"/>
    <w:basedOn w:val="a0"/>
    <w:uiPriority w:val="99"/>
    <w:qFormat/>
    <w:pPr>
      <w:widowControl w:val="0"/>
      <w:adjustRightInd w:val="0"/>
      <w:spacing w:before="120" w:line="360" w:lineRule="atLeast"/>
      <w:ind w:firstLine="576"/>
      <w:jc w:val="both"/>
    </w:pPr>
    <w:rPr>
      <w:rFonts w:ascii="楷体" w:eastAsia="楷体" w:hAnsi="Times New Roman" w:cs="Times New Roman"/>
      <w:spacing w:val="-35"/>
      <w:szCs w:val="20"/>
    </w:rPr>
  </w:style>
  <w:style w:type="paragraph" w:customStyle="1" w:styleId="151">
    <w:name w:val="样式15"/>
    <w:uiPriority w:val="99"/>
    <w:qFormat/>
    <w:pPr>
      <w:widowControl w:val="0"/>
      <w:spacing w:beforeLines="50"/>
      <w:jc w:val="both"/>
    </w:pPr>
    <w:rPr>
      <w:rFonts w:eastAsia="黑体"/>
      <w:b/>
      <w:sz w:val="28"/>
      <w:szCs w:val="28"/>
    </w:rPr>
  </w:style>
  <w:style w:type="paragraph" w:customStyle="1" w:styleId="94">
    <w:name w:val="样式9"/>
    <w:basedOn w:val="2ff4"/>
    <w:uiPriority w:val="99"/>
    <w:qFormat/>
    <w:pPr>
      <w:widowControl/>
      <w:adjustRightInd/>
      <w:snapToGrid/>
      <w:spacing w:before="120" w:after="120" w:line="480" w:lineRule="exact"/>
      <w:ind w:firstLine="454"/>
      <w:jc w:val="left"/>
      <w:textAlignment w:val="auto"/>
    </w:pPr>
    <w:rPr>
      <w:rFonts w:ascii="黑体" w:eastAsia="黑体" w:hAnsi="宋体" w:cs="宋体"/>
      <w:b/>
      <w:bCs/>
      <w:spacing w:val="0"/>
      <w:szCs w:val="24"/>
    </w:rPr>
  </w:style>
  <w:style w:type="paragraph" w:customStyle="1" w:styleId="11f">
    <w:name w:val="样式11"/>
    <w:basedOn w:val="a0"/>
    <w:uiPriority w:val="99"/>
    <w:qFormat/>
    <w:pPr>
      <w:widowControl w:val="0"/>
      <w:jc w:val="both"/>
    </w:pPr>
    <w:rPr>
      <w:rFonts w:ascii="Times New Roman" w:hAnsi="Times New Roman" w:cs="Times New Roman"/>
      <w:kern w:val="2"/>
      <w:sz w:val="21"/>
      <w:szCs w:val="21"/>
    </w:rPr>
  </w:style>
  <w:style w:type="paragraph" w:customStyle="1" w:styleId="101">
    <w:name w:val="样式10"/>
    <w:basedOn w:val="3fb"/>
    <w:uiPriority w:val="99"/>
    <w:qFormat/>
    <w:pPr>
      <w:tabs>
        <w:tab w:val="left" w:pos="360"/>
      </w:tabs>
      <w:suppressAutoHyphens/>
      <w:spacing w:line="760" w:lineRule="exact"/>
      <w:ind w:firstLineChars="0" w:firstLine="0"/>
      <w:jc w:val="center"/>
    </w:pPr>
    <w:rPr>
      <w:rFonts w:ascii="宋体" w:eastAsia="黑体" w:hAnsi="宋体"/>
      <w:b/>
      <w:kern w:val="2"/>
      <w:sz w:val="32"/>
      <w:szCs w:val="24"/>
    </w:rPr>
  </w:style>
  <w:style w:type="paragraph" w:customStyle="1" w:styleId="139">
    <w:name w:val="样式13"/>
    <w:basedOn w:val="2ff4"/>
    <w:uiPriority w:val="99"/>
    <w:qFormat/>
    <w:pPr>
      <w:widowControl/>
      <w:adjustRightInd/>
      <w:snapToGrid/>
      <w:spacing w:before="120" w:after="120" w:line="480" w:lineRule="exact"/>
      <w:ind w:firstLine="454"/>
      <w:jc w:val="left"/>
      <w:textAlignment w:val="auto"/>
    </w:pPr>
    <w:rPr>
      <w:rFonts w:ascii="黑体" w:eastAsia="黑体" w:hAnsi="宋体" w:cs="宋体"/>
      <w:b/>
      <w:bCs/>
      <w:spacing w:val="0"/>
      <w:szCs w:val="24"/>
    </w:rPr>
  </w:style>
  <w:style w:type="paragraph" w:customStyle="1" w:styleId="font0">
    <w:name w:val="font0"/>
    <w:basedOn w:val="a0"/>
    <w:uiPriority w:val="99"/>
    <w:qFormat/>
    <w:pPr>
      <w:spacing w:before="100" w:beforeAutospacing="1" w:after="100" w:afterAutospacing="1"/>
    </w:pPr>
    <w:rPr>
      <w:rFonts w:cs="Times New Roman"/>
    </w:rPr>
  </w:style>
  <w:style w:type="paragraph" w:customStyle="1" w:styleId="HeaderBase">
    <w:name w:val="Header Base"/>
    <w:basedOn w:val="ac"/>
    <w:uiPriority w:val="99"/>
    <w:qFormat/>
    <w:rPr>
      <w:rFonts w:eastAsia="宋体"/>
      <w:lang w:val="en-US"/>
    </w:rPr>
  </w:style>
  <w:style w:type="paragraph" w:customStyle="1" w:styleId="xl69">
    <w:name w:val="xl69"/>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70">
    <w:name w:val="xl70"/>
    <w:basedOn w:val="a0"/>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rPr>
  </w:style>
  <w:style w:type="paragraph" w:customStyle="1" w:styleId="xl71">
    <w:name w:val="xl71"/>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73">
    <w:name w:val="xl73"/>
    <w:basedOn w:val="a0"/>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3">
    <w:name w:val="xl93"/>
    <w:basedOn w:val="a0"/>
    <w:qFormat/>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4">
    <w:name w:val="xl94"/>
    <w:basedOn w:val="a0"/>
    <w:qFormat/>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5">
    <w:name w:val="xl95"/>
    <w:basedOn w:val="a0"/>
    <w:qFormat/>
    <w:pPr>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6">
    <w:name w:val="xl96"/>
    <w:basedOn w:val="a0"/>
    <w:qFormat/>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7">
    <w:name w:val="xl97"/>
    <w:basedOn w:val="a0"/>
    <w:qFormat/>
    <w:pPr>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8">
    <w:name w:val="xl98"/>
    <w:basedOn w:val="a0"/>
    <w:qFormat/>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99">
    <w:name w:val="xl99"/>
    <w:basedOn w:val="a0"/>
    <w:qFormat/>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0">
    <w:name w:val="xl100"/>
    <w:basedOn w:val="a0"/>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1">
    <w:name w:val="xl101"/>
    <w:basedOn w:val="a0"/>
    <w:qFormat/>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2">
    <w:name w:val="xl102"/>
    <w:basedOn w:val="a0"/>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3">
    <w:name w:val="xl103"/>
    <w:basedOn w:val="a0"/>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4">
    <w:name w:val="xl104"/>
    <w:basedOn w:val="a0"/>
    <w:qFormat/>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5">
    <w:name w:val="xl105"/>
    <w:basedOn w:val="a0"/>
    <w:qFormat/>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106">
    <w:name w:val="xl10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7">
    <w:name w:val="xl107"/>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8">
    <w:name w:val="xl108"/>
    <w:basedOn w:val="a0"/>
    <w:qFormat/>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109">
    <w:name w:val="xl109"/>
    <w:basedOn w:val="a0"/>
    <w:qFormat/>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10">
    <w:name w:val="xl110"/>
    <w:basedOn w:val="a0"/>
    <w:qFormat/>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11">
    <w:name w:val="xl111"/>
    <w:basedOn w:val="a0"/>
    <w:qFormat/>
    <w:pPr>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18">
    <w:name w:val="xl118"/>
    <w:basedOn w:val="a0"/>
    <w:qFormat/>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19">
    <w:name w:val="xl119"/>
    <w:basedOn w:val="a0"/>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0">
    <w:name w:val="xl120"/>
    <w:basedOn w:val="a0"/>
    <w:qFormat/>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1">
    <w:name w:val="xl121"/>
    <w:basedOn w:val="a0"/>
    <w:qFormat/>
    <w:pPr>
      <w:pBdr>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2">
    <w:name w:val="xl122"/>
    <w:basedOn w:val="a0"/>
    <w:qFormat/>
    <w:pPr>
      <w:pBdr>
        <w:left w:val="single" w:sz="8" w:space="0" w:color="auto"/>
        <w:bottom w:val="single" w:sz="4" w:space="0" w:color="auto"/>
        <w:right w:val="single" w:sz="4" w:space="0" w:color="auto"/>
      </w:pBd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123">
    <w:name w:val="xl123"/>
    <w:basedOn w:val="a0"/>
    <w:qFormat/>
    <w:pPr>
      <w:pBdr>
        <w:left w:val="single" w:sz="4" w:space="0" w:color="auto"/>
        <w:bottom w:val="single" w:sz="4" w:space="0" w:color="auto"/>
        <w:righ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124">
    <w:name w:val="xl124"/>
    <w:basedOn w:val="a0"/>
    <w:qFormat/>
    <w:pPr>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5">
    <w:name w:val="xl125"/>
    <w:basedOn w:val="a0"/>
    <w:qFormat/>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6">
    <w:name w:val="xl126"/>
    <w:basedOn w:val="a0"/>
    <w:qFormat/>
    <w:pPr>
      <w:pBdr>
        <w:top w:val="single" w:sz="4" w:space="0" w:color="auto"/>
        <w:left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127">
    <w:name w:val="xl127"/>
    <w:basedOn w:val="a0"/>
    <w:qFormat/>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8">
    <w:name w:val="xl128"/>
    <w:basedOn w:val="a0"/>
    <w:qFormat/>
    <w:pPr>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9">
    <w:name w:val="xl129"/>
    <w:basedOn w:val="a0"/>
    <w:qFormat/>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0">
    <w:name w:val="xl130"/>
    <w:basedOn w:val="a0"/>
    <w:qFormat/>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1">
    <w:name w:val="xl131"/>
    <w:basedOn w:val="a0"/>
    <w:qFormat/>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2">
    <w:name w:val="xl132"/>
    <w:basedOn w:val="a0"/>
    <w:qFormat/>
    <w:pPr>
      <w:pBdr>
        <w:top w:val="single" w:sz="8" w:space="0" w:color="auto"/>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3">
    <w:name w:val="xl133"/>
    <w:basedOn w:val="a0"/>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4">
    <w:name w:val="xl134"/>
    <w:basedOn w:val="a0"/>
    <w:qFormat/>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5">
    <w:name w:val="xl135"/>
    <w:basedOn w:val="a0"/>
    <w:qFormat/>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6">
    <w:name w:val="xl136"/>
    <w:basedOn w:val="a0"/>
    <w:qFormat/>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7">
    <w:name w:val="xl137"/>
    <w:basedOn w:val="a0"/>
    <w:qFormat/>
    <w:pPr>
      <w:pBdr>
        <w:top w:val="single" w:sz="4" w:space="0" w:color="auto"/>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8">
    <w:name w:val="xl138"/>
    <w:basedOn w:val="a0"/>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9">
    <w:name w:val="xl139"/>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0">
    <w:name w:val="xl140"/>
    <w:basedOn w:val="a0"/>
    <w:qFormat/>
    <w:pPr>
      <w:pBdr>
        <w:top w:val="single" w:sz="4" w:space="0" w:color="auto"/>
        <w:left w:val="single" w:sz="4" w:space="0" w:color="auto"/>
        <w:bottom w:val="single" w:sz="8" w:space="0" w:color="auto"/>
        <w:right w:val="single" w:sz="8" w:space="0" w:color="auto"/>
      </w:pBdr>
      <w:shd w:val="clear" w:color="auto" w:fill="69FFFF"/>
      <w:spacing w:before="100" w:beforeAutospacing="1" w:after="100" w:afterAutospacing="1"/>
      <w:jc w:val="center"/>
    </w:pPr>
    <w:rPr>
      <w:rFonts w:ascii="Arial Unicode MS" w:eastAsia="Arial Unicode MS" w:hAnsi="Arial Unicode MS" w:cs="Arial Unicode MS"/>
    </w:rPr>
  </w:style>
  <w:style w:type="paragraph" w:customStyle="1" w:styleId="xl141">
    <w:name w:val="xl141"/>
    <w:basedOn w:val="a0"/>
    <w:qFormat/>
    <w:pPr>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2">
    <w:name w:val="xl142"/>
    <w:basedOn w:val="a0"/>
    <w:qFormat/>
    <w:pPr>
      <w:pBdr>
        <w:top w:val="single" w:sz="4" w:space="0" w:color="auto"/>
        <w:left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3">
    <w:name w:val="xl143"/>
    <w:basedOn w:val="a0"/>
    <w:qFormat/>
    <w:pPr>
      <w:pBdr>
        <w:top w:val="single" w:sz="4" w:space="0" w:color="auto"/>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4">
    <w:name w:val="xl144"/>
    <w:basedOn w:val="a0"/>
    <w:qFormat/>
    <w:pPr>
      <w:pBdr>
        <w:top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5">
    <w:name w:val="xl145"/>
    <w:basedOn w:val="a0"/>
    <w:qFormat/>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6">
    <w:name w:val="xl146"/>
    <w:basedOn w:val="a0"/>
    <w:qFormat/>
    <w:pPr>
      <w:pBdr>
        <w:top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7">
    <w:name w:val="xl147"/>
    <w:basedOn w:val="a0"/>
    <w:qFormat/>
    <w:pPr>
      <w:pBdr>
        <w:top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CompanyName">
    <w:name w:val="Company Name"/>
    <w:basedOn w:val="a0"/>
    <w:uiPriority w:val="99"/>
    <w:qFormat/>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hAnsi="Arial Black" w:cs="Times New Roman"/>
      <w:spacing w:val="-15"/>
      <w:position w:val="-2"/>
      <w:sz w:val="32"/>
      <w:szCs w:val="20"/>
    </w:rPr>
  </w:style>
  <w:style w:type="paragraph" w:customStyle="1" w:styleId="DocumentLabel">
    <w:name w:val="Document Label"/>
    <w:basedOn w:val="a0"/>
    <w:uiPriority w:val="99"/>
    <w:qFormat/>
    <w:pPr>
      <w:keepNext/>
      <w:keepLines/>
      <w:spacing w:before="400" w:after="120" w:line="240" w:lineRule="atLeast"/>
      <w:ind w:left="-840"/>
    </w:pPr>
    <w:rPr>
      <w:rFonts w:ascii="Arial Black" w:hAnsi="Arial Black" w:cs="Times New Roman"/>
      <w:spacing w:val="-100"/>
      <w:kern w:val="28"/>
      <w:sz w:val="108"/>
      <w:szCs w:val="20"/>
    </w:rPr>
  </w:style>
  <w:style w:type="paragraph" w:customStyle="1" w:styleId="HeadingBase">
    <w:name w:val="Heading Base"/>
    <w:basedOn w:val="ac"/>
    <w:next w:val="ac"/>
    <w:uiPriority w:val="99"/>
    <w:qFormat/>
    <w:rPr>
      <w:rFonts w:eastAsia="宋体"/>
      <w:lang w:val="en-US"/>
    </w:rPr>
  </w:style>
  <w:style w:type="character" w:customStyle="1" w:styleId="Char1b">
    <w:name w:val="信息标题 Char1"/>
    <w:semiHidden/>
    <w:qFormat/>
    <w:rPr>
      <w:rFonts w:ascii="等线 Light" w:eastAsia="等线 Light" w:hAnsi="等线 Light" w:cs="Times New Roman"/>
      <w:kern w:val="2"/>
      <w:sz w:val="24"/>
      <w:szCs w:val="24"/>
      <w:shd w:val="pct20" w:color="auto" w:fill="auto"/>
    </w:rPr>
  </w:style>
  <w:style w:type="paragraph" w:customStyle="1" w:styleId="MessageHeaderFirst">
    <w:name w:val="Message Header First"/>
    <w:basedOn w:val="afff6"/>
    <w:next w:val="afff6"/>
    <w:uiPriority w:val="99"/>
    <w:qFormat/>
    <w:pPr>
      <w:keepLines/>
      <w:widowControl/>
      <w:pBdr>
        <w:top w:val="none" w:sz="0" w:space="0" w:color="auto"/>
        <w:left w:val="none" w:sz="0" w:space="0" w:color="auto"/>
        <w:bottom w:val="none" w:sz="0" w:space="0" w:color="auto"/>
        <w:right w:val="none" w:sz="0" w:space="0" w:color="auto"/>
      </w:pBdr>
      <w:shd w:val="clear" w:color="auto" w:fill="auto"/>
      <w:tabs>
        <w:tab w:val="left" w:pos="720"/>
        <w:tab w:val="left" w:pos="4320"/>
        <w:tab w:val="left" w:pos="5040"/>
        <w:tab w:val="right" w:pos="8640"/>
      </w:tabs>
      <w:spacing w:after="40" w:line="440" w:lineRule="atLeast"/>
      <w:ind w:left="720" w:hanging="720"/>
      <w:jc w:val="left"/>
    </w:pPr>
    <w:rPr>
      <w:rFonts w:ascii="Arial" w:hAnsi="Arial" w:cs="Times New Roman"/>
      <w:spacing w:val="-5"/>
      <w:kern w:val="0"/>
      <w:sz w:val="20"/>
      <w:szCs w:val="20"/>
    </w:rPr>
  </w:style>
  <w:style w:type="paragraph" w:customStyle="1" w:styleId="MessageHeaderLast">
    <w:name w:val="Message Header Last"/>
    <w:basedOn w:val="afff6"/>
    <w:next w:val="ac"/>
    <w:uiPriority w:val="99"/>
    <w:qFormat/>
    <w:pPr>
      <w:keepLines/>
      <w:widowControl/>
      <w:pBdr>
        <w:top w:val="none" w:sz="0" w:space="0" w:color="auto"/>
        <w:left w:val="none" w:sz="0" w:space="0" w:color="auto"/>
        <w:bottom w:val="single" w:sz="6" w:space="19" w:color="auto"/>
        <w:right w:val="none" w:sz="0" w:space="0" w:color="auto"/>
      </w:pBdr>
      <w:shd w:val="clear" w:color="auto" w:fill="auto"/>
      <w:tabs>
        <w:tab w:val="left" w:pos="720"/>
        <w:tab w:val="left" w:pos="1267"/>
        <w:tab w:val="left" w:pos="2938"/>
        <w:tab w:val="left" w:pos="4320"/>
        <w:tab w:val="left" w:pos="5040"/>
        <w:tab w:val="right" w:pos="8640"/>
      </w:tabs>
      <w:spacing w:before="120" w:after="120" w:line="440" w:lineRule="atLeast"/>
      <w:ind w:left="0" w:firstLine="0"/>
      <w:jc w:val="left"/>
    </w:pPr>
    <w:rPr>
      <w:rFonts w:ascii="Arial" w:hAnsi="Arial" w:cs="Times New Roman"/>
      <w:spacing w:val="-5"/>
      <w:kern w:val="0"/>
      <w:sz w:val="20"/>
      <w:szCs w:val="20"/>
    </w:rPr>
  </w:style>
  <w:style w:type="paragraph" w:customStyle="1" w:styleId="ReturnAddress">
    <w:name w:val="Return Address"/>
    <w:basedOn w:val="a0"/>
    <w:uiPriority w:val="99"/>
    <w:qFormat/>
    <w:pPr>
      <w:keepLines/>
      <w:framePr w:w="5040" w:hSpace="187" w:vSpace="187" w:wrap="notBeside" w:vAnchor="page" w:hAnchor="margin" w:y="966" w:anchorLock="1"/>
      <w:spacing w:line="200" w:lineRule="atLeast"/>
    </w:pPr>
    <w:rPr>
      <w:rFonts w:ascii="Arial" w:hAnsi="Arial" w:cs="Times New Roman"/>
      <w:spacing w:val="-2"/>
      <w:sz w:val="16"/>
      <w:szCs w:val="20"/>
    </w:rPr>
  </w:style>
  <w:style w:type="paragraph" w:customStyle="1" w:styleId="SignatureName">
    <w:name w:val="Signature Name"/>
    <w:basedOn w:val="a0"/>
    <w:next w:val="a0"/>
    <w:uiPriority w:val="99"/>
    <w:qFormat/>
    <w:pPr>
      <w:keepNext/>
      <w:keepLines/>
      <w:spacing w:before="660" w:line="180" w:lineRule="atLeast"/>
      <w:jc w:val="both"/>
    </w:pPr>
    <w:rPr>
      <w:rFonts w:ascii="Arial" w:hAnsi="Arial" w:cs="Times New Roman"/>
      <w:spacing w:val="-5"/>
      <w:sz w:val="20"/>
      <w:szCs w:val="20"/>
    </w:rPr>
  </w:style>
  <w:style w:type="paragraph" w:customStyle="1" w:styleId="DefinitionList">
    <w:name w:val="Definition List"/>
    <w:basedOn w:val="a0"/>
    <w:next w:val="DefinitionTerm"/>
    <w:uiPriority w:val="99"/>
    <w:qFormat/>
    <w:pPr>
      <w:widowControl w:val="0"/>
      <w:autoSpaceDE w:val="0"/>
      <w:autoSpaceDN w:val="0"/>
      <w:adjustRightInd w:val="0"/>
      <w:ind w:left="360"/>
    </w:pPr>
    <w:rPr>
      <w:rFonts w:hAnsi="Tms Rmn" w:cs="Times New Roman"/>
      <w:szCs w:val="20"/>
    </w:rPr>
  </w:style>
  <w:style w:type="paragraph" w:customStyle="1" w:styleId="DefinitionTerm">
    <w:name w:val="Definition Term"/>
    <w:basedOn w:val="a0"/>
    <w:next w:val="DefinitionList"/>
    <w:uiPriority w:val="99"/>
    <w:qFormat/>
    <w:pPr>
      <w:widowControl w:val="0"/>
      <w:autoSpaceDE w:val="0"/>
      <w:autoSpaceDN w:val="0"/>
      <w:adjustRightInd w:val="0"/>
    </w:pPr>
    <w:rPr>
      <w:rFonts w:hAnsi="Tms Rmn" w:cs="Times New Roman"/>
      <w:szCs w:val="20"/>
    </w:rPr>
  </w:style>
  <w:style w:type="paragraph" w:customStyle="1" w:styleId="Address">
    <w:name w:val="Address"/>
    <w:basedOn w:val="a0"/>
    <w:next w:val="a0"/>
    <w:uiPriority w:val="99"/>
    <w:qFormat/>
    <w:pPr>
      <w:widowControl w:val="0"/>
      <w:autoSpaceDE w:val="0"/>
      <w:autoSpaceDN w:val="0"/>
      <w:adjustRightInd w:val="0"/>
    </w:pPr>
    <w:rPr>
      <w:rFonts w:hAnsi="Tms Rmn" w:cs="Times New Roman"/>
      <w:i/>
      <w:szCs w:val="20"/>
    </w:rPr>
  </w:style>
  <w:style w:type="paragraph" w:customStyle="1" w:styleId="Blockquote">
    <w:name w:val="Blockquote"/>
    <w:basedOn w:val="a0"/>
    <w:uiPriority w:val="99"/>
    <w:qFormat/>
    <w:pPr>
      <w:widowControl w:val="0"/>
      <w:autoSpaceDE w:val="0"/>
      <w:autoSpaceDN w:val="0"/>
      <w:adjustRightInd w:val="0"/>
      <w:spacing w:before="100" w:after="100"/>
      <w:ind w:left="360" w:right="360"/>
    </w:pPr>
    <w:rPr>
      <w:rFonts w:hAnsi="Tms Rmn" w:cs="Times New Roman"/>
      <w:szCs w:val="20"/>
    </w:rPr>
  </w:style>
  <w:style w:type="paragraph" w:customStyle="1" w:styleId="Preformatted">
    <w:name w:val="Preformatted"/>
    <w:basedOn w:val="a0"/>
    <w:uiPriority w:val="99"/>
    <w:qFormat/>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hAnsi="Tms Rmn" w:cs="Times New Roman"/>
      <w:sz w:val="20"/>
      <w:szCs w:val="20"/>
    </w:rPr>
  </w:style>
  <w:style w:type="paragraph" w:customStyle="1" w:styleId="z-BottomofForm">
    <w:name w:val="z-Bottom of Form"/>
    <w:next w:val="a0"/>
    <w:uiPriority w:val="99"/>
    <w:qFormat/>
    <w:pPr>
      <w:widowControl w:val="0"/>
      <w:pBdr>
        <w:top w:val="double" w:sz="6" w:space="0" w:color="000000"/>
      </w:pBdr>
      <w:autoSpaceDE w:val="0"/>
      <w:autoSpaceDN w:val="0"/>
      <w:adjustRightInd w:val="0"/>
      <w:jc w:val="center"/>
    </w:pPr>
    <w:rPr>
      <w:rFonts w:ascii="宋体" w:hAnsi="Tms Rmn"/>
      <w:vanish/>
      <w:sz w:val="16"/>
    </w:rPr>
  </w:style>
  <w:style w:type="paragraph" w:customStyle="1" w:styleId="z-TopofForm">
    <w:name w:val="z-Top of Form"/>
    <w:next w:val="a0"/>
    <w:uiPriority w:val="99"/>
    <w:qFormat/>
    <w:pPr>
      <w:widowControl w:val="0"/>
      <w:pBdr>
        <w:bottom w:val="double" w:sz="6" w:space="0" w:color="000000"/>
      </w:pBdr>
      <w:autoSpaceDE w:val="0"/>
      <w:autoSpaceDN w:val="0"/>
      <w:adjustRightInd w:val="0"/>
      <w:jc w:val="center"/>
    </w:pPr>
    <w:rPr>
      <w:rFonts w:ascii="宋体" w:hAnsi="Tms Rmn"/>
      <w:sz w:val="16"/>
      <w:szCs w:val="16"/>
    </w:rPr>
  </w:style>
  <w:style w:type="paragraph" w:customStyle="1" w:styleId="12c">
    <w:name w:val="样式12"/>
    <w:basedOn w:val="20"/>
    <w:uiPriority w:val="99"/>
    <w:qFormat/>
    <w:pPr>
      <w:tabs>
        <w:tab w:val="left" w:pos="567"/>
      </w:tabs>
      <w:spacing w:beforeLines="50" w:before="0" w:afterLines="50" w:after="0" w:line="360" w:lineRule="auto"/>
      <w:ind w:left="567" w:firstLine="420"/>
    </w:pPr>
    <w:rPr>
      <w:rFonts w:ascii="宋体" w:eastAsia="宋体" w:hAnsi="宋体"/>
      <w:bCs w:val="0"/>
      <w:kern w:val="0"/>
      <w:sz w:val="28"/>
      <w:szCs w:val="28"/>
    </w:rPr>
  </w:style>
  <w:style w:type="paragraph" w:customStyle="1" w:styleId="1fff2">
    <w:name w:val="陆威表头1"/>
    <w:basedOn w:val="a0"/>
    <w:uiPriority w:val="99"/>
    <w:qFormat/>
    <w:pPr>
      <w:widowControl w:val="0"/>
      <w:adjustRightInd w:val="0"/>
      <w:spacing w:line="312" w:lineRule="atLeast"/>
      <w:jc w:val="center"/>
    </w:pPr>
    <w:rPr>
      <w:rFonts w:hAnsi="Times New Roman" w:cs="Times New Roman"/>
      <w:sz w:val="21"/>
      <w:szCs w:val="20"/>
    </w:rPr>
  </w:style>
  <w:style w:type="paragraph" w:customStyle="1" w:styleId="CharChar1CharCharCharChar1CharCharChar">
    <w:name w:val="Char Char1 Char Char Char Char1 Char Char Char"/>
    <w:basedOn w:val="a0"/>
    <w:uiPriority w:val="99"/>
    <w:qFormat/>
    <w:pPr>
      <w:widowControl w:val="0"/>
      <w:spacing w:beforeLines="50"/>
      <w:jc w:val="both"/>
    </w:pPr>
    <w:rPr>
      <w:rFonts w:ascii="Times New Roman" w:hAnsi="Times New Roman" w:cs="Times New Roman"/>
      <w:kern w:val="2"/>
    </w:rPr>
  </w:style>
  <w:style w:type="paragraph" w:customStyle="1" w:styleId="Char50">
    <w:name w:val="Char5"/>
    <w:basedOn w:val="a0"/>
    <w:uiPriority w:val="99"/>
    <w:qFormat/>
    <w:pPr>
      <w:widowControl w:val="0"/>
      <w:tabs>
        <w:tab w:val="left" w:pos="0"/>
      </w:tabs>
      <w:spacing w:line="360" w:lineRule="auto"/>
      <w:ind w:firstLineChars="245" w:firstLine="566"/>
      <w:jc w:val="center"/>
    </w:pPr>
    <w:rPr>
      <w:rFonts w:ascii="Arial" w:hAnsi="Arial" w:cs="Arial"/>
      <w:color w:val="000000"/>
      <w:kern w:val="2"/>
    </w:rPr>
  </w:style>
  <w:style w:type="paragraph" w:customStyle="1" w:styleId="CharCharCharCharCharCharCharCharCharCharCharCharChar3">
    <w:name w:val="Char Char Char Char Char Char Char Char Char Char Char Char Char3"/>
    <w:basedOn w:val="a0"/>
    <w:uiPriority w:val="99"/>
    <w:qFormat/>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3">
    <w:name w:val="Char Char Char Char3"/>
    <w:basedOn w:val="a0"/>
    <w:uiPriority w:val="99"/>
    <w:qFormat/>
    <w:pPr>
      <w:widowControl w:val="0"/>
      <w:jc w:val="both"/>
    </w:pPr>
    <w:rPr>
      <w:rFonts w:ascii="Shruti" w:hAnsi="Shruti" w:cs="Times New Roman"/>
      <w:kern w:val="2"/>
      <w:sz w:val="21"/>
    </w:rPr>
  </w:style>
  <w:style w:type="paragraph" w:customStyle="1" w:styleId="CharCharCharCharCharCharChar3">
    <w:name w:val="Char Char Char Char Char Char Char3"/>
    <w:basedOn w:val="a0"/>
    <w:uiPriority w:val="99"/>
    <w:qFormat/>
    <w:pPr>
      <w:spacing w:after="160" w:line="240" w:lineRule="exact"/>
    </w:pPr>
    <w:rPr>
      <w:rFonts w:ascii="Verdana" w:hAnsi="Verdana" w:cs="Times New Roman"/>
      <w:sz w:val="20"/>
      <w:szCs w:val="20"/>
      <w:lang w:eastAsia="en-US"/>
    </w:rPr>
  </w:style>
  <w:style w:type="paragraph" w:customStyle="1" w:styleId="Char42">
    <w:name w:val="Char42"/>
    <w:basedOn w:val="a0"/>
    <w:uiPriority w:val="99"/>
    <w:qFormat/>
    <w:pPr>
      <w:widowControl w:val="0"/>
      <w:adjustRightInd w:val="0"/>
      <w:spacing w:line="360" w:lineRule="auto"/>
      <w:jc w:val="both"/>
    </w:pPr>
    <w:rPr>
      <w:rFonts w:ascii="Times New Roman" w:hAnsi="Times New Roman" w:cs="Times New Roman"/>
      <w:kern w:val="2"/>
      <w:sz w:val="21"/>
      <w:szCs w:val="20"/>
    </w:rPr>
  </w:style>
  <w:style w:type="paragraph" w:customStyle="1" w:styleId="CharCharCharCharCharChar1CharCharChar2">
    <w:name w:val="Char Char Char Char Char Char1 Char Char Char2"/>
    <w:basedOn w:val="a0"/>
    <w:uiPriority w:val="99"/>
    <w:qFormat/>
    <w:pPr>
      <w:widowControl w:val="0"/>
      <w:autoSpaceDE w:val="0"/>
      <w:autoSpaceDN w:val="0"/>
      <w:adjustRightInd w:val="0"/>
    </w:pPr>
    <w:rPr>
      <w:rFonts w:hAnsi="Times New Roman" w:cs="Times New Roman"/>
      <w:sz w:val="34"/>
      <w:szCs w:val="20"/>
    </w:rPr>
  </w:style>
  <w:style w:type="paragraph" w:customStyle="1" w:styleId="CharCharCharCharCharCharCharCharCharCharCharCharChar2">
    <w:name w:val="Char Char Char Char Char Char Char Char Char Char Char Char Char2"/>
    <w:basedOn w:val="a0"/>
    <w:uiPriority w:val="99"/>
    <w:qFormat/>
    <w:pPr>
      <w:widowControl w:val="0"/>
      <w:snapToGrid w:val="0"/>
      <w:spacing w:line="360" w:lineRule="auto"/>
      <w:ind w:firstLineChars="200" w:firstLine="200"/>
      <w:jc w:val="both"/>
    </w:pPr>
    <w:rPr>
      <w:rFonts w:ascii="Times New Roman" w:eastAsia="仿宋_GB2312" w:hAnsi="Times New Roman" w:cs="Times New Roman"/>
      <w:kern w:val="2"/>
    </w:rPr>
  </w:style>
  <w:style w:type="character" w:customStyle="1" w:styleId="Charfff2">
    <w:name w:val="正文样式 Char"/>
    <w:link w:val="afffffffffff7"/>
    <w:qFormat/>
    <w:locked/>
    <w:rPr>
      <w:rFonts w:ascii="宋体" w:hAnsi="宋体"/>
      <w:bCs/>
      <w:spacing w:val="16"/>
      <w:kern w:val="28"/>
      <w:sz w:val="24"/>
      <w:szCs w:val="24"/>
    </w:rPr>
  </w:style>
  <w:style w:type="paragraph" w:customStyle="1" w:styleId="afffffffffff7">
    <w:name w:val="正文样式"/>
    <w:basedOn w:val="a0"/>
    <w:link w:val="Charfff2"/>
    <w:qFormat/>
    <w:pPr>
      <w:widowControl w:val="0"/>
      <w:snapToGrid w:val="0"/>
      <w:spacing w:after="120" w:line="400" w:lineRule="exact"/>
      <w:ind w:firstLineChars="200" w:firstLine="200"/>
      <w:jc w:val="both"/>
    </w:pPr>
    <w:rPr>
      <w:rFonts w:eastAsiaTheme="minorEastAsia" w:cstheme="minorBidi"/>
      <w:bCs/>
      <w:spacing w:val="16"/>
      <w:kern w:val="28"/>
    </w:rPr>
  </w:style>
  <w:style w:type="paragraph" w:customStyle="1" w:styleId="CharCharCharCharCharCharCharCharCharCharCharCharChar1">
    <w:name w:val="Char Char Char Char Char Char Char Char Char Char Char Char Char1"/>
    <w:basedOn w:val="a0"/>
    <w:uiPriority w:val="99"/>
    <w:qFormat/>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3ff6">
    <w:name w:val="纯文本3"/>
    <w:basedOn w:val="a0"/>
    <w:uiPriority w:val="99"/>
    <w:qFormat/>
    <w:pPr>
      <w:widowControl w:val="0"/>
      <w:adjustRightInd w:val="0"/>
      <w:jc w:val="both"/>
    </w:pPr>
    <w:rPr>
      <w:rFonts w:hAnsi="Courier New" w:cs="Times New Roman"/>
      <w:kern w:val="2"/>
      <w:sz w:val="28"/>
      <w:szCs w:val="20"/>
    </w:rPr>
  </w:style>
  <w:style w:type="character" w:customStyle="1" w:styleId="1Char6">
    <w:name w:val="正文（1） Char"/>
    <w:link w:val="1fff3"/>
    <w:qFormat/>
    <w:locked/>
    <w:rPr>
      <w:rFonts w:ascii="黑体" w:eastAsia="黑体" w:hAnsi="宋体"/>
      <w:sz w:val="24"/>
      <w:szCs w:val="24"/>
    </w:rPr>
  </w:style>
  <w:style w:type="paragraph" w:customStyle="1" w:styleId="1fff3">
    <w:name w:val="正文（1）"/>
    <w:basedOn w:val="a0"/>
    <w:link w:val="1Char6"/>
    <w:qFormat/>
    <w:pPr>
      <w:widowControl w:val="0"/>
      <w:tabs>
        <w:tab w:val="left" w:pos="480"/>
      </w:tabs>
      <w:spacing w:beforeLines="50" w:line="360" w:lineRule="auto"/>
      <w:ind w:firstLineChars="200" w:firstLine="200"/>
      <w:jc w:val="both"/>
    </w:pPr>
    <w:rPr>
      <w:rFonts w:ascii="黑体" w:eastAsia="黑体" w:cstheme="minorBidi"/>
      <w:kern w:val="2"/>
    </w:rPr>
  </w:style>
  <w:style w:type="paragraph" w:customStyle="1" w:styleId="86">
    <w:name w:val="8"/>
    <w:uiPriority w:val="99"/>
    <w:qFormat/>
    <w:pPr>
      <w:widowControl w:val="0"/>
      <w:jc w:val="both"/>
    </w:pPr>
    <w:rPr>
      <w:kern w:val="2"/>
      <w:sz w:val="24"/>
      <w:szCs w:val="24"/>
    </w:rPr>
  </w:style>
  <w:style w:type="paragraph" w:customStyle="1" w:styleId="7a">
    <w:name w:val="7"/>
    <w:uiPriority w:val="99"/>
    <w:qFormat/>
    <w:pPr>
      <w:widowControl w:val="0"/>
      <w:jc w:val="both"/>
    </w:pPr>
    <w:rPr>
      <w:kern w:val="2"/>
      <w:sz w:val="24"/>
      <w:szCs w:val="24"/>
    </w:rPr>
  </w:style>
  <w:style w:type="paragraph" w:customStyle="1" w:styleId="2fff2">
    <w:name w:val="表格2"/>
    <w:basedOn w:val="a0"/>
    <w:uiPriority w:val="99"/>
    <w:qFormat/>
    <w:pPr>
      <w:widowControl w:val="0"/>
      <w:suppressAutoHyphens/>
      <w:spacing w:line="300" w:lineRule="auto"/>
      <w:jc w:val="both"/>
    </w:pPr>
    <w:rPr>
      <w:rFonts w:cs="Times New Roman"/>
      <w:kern w:val="2"/>
      <w:sz w:val="18"/>
      <w:szCs w:val="20"/>
      <w:lang w:eastAsia="ar-SA"/>
    </w:rPr>
  </w:style>
  <w:style w:type="character" w:customStyle="1" w:styleId="Charfff3">
    <w:name w:val="单位 Char"/>
    <w:link w:val="afffffffffff8"/>
    <w:qFormat/>
    <w:locked/>
    <w:rPr>
      <w:rFonts w:ascii="黑体" w:eastAsia="黑体" w:hAnsi="Arial"/>
      <w:b/>
      <w:sz w:val="18"/>
      <w:lang w:eastAsia="ar-SA"/>
    </w:rPr>
  </w:style>
  <w:style w:type="paragraph" w:customStyle="1" w:styleId="afffffffffff8">
    <w:name w:val="单位"/>
    <w:basedOn w:val="a0"/>
    <w:link w:val="Charfff3"/>
    <w:qFormat/>
    <w:pPr>
      <w:suppressAutoHyphens/>
      <w:jc w:val="right"/>
    </w:pPr>
    <w:rPr>
      <w:rFonts w:ascii="黑体" w:eastAsia="黑体" w:hAnsi="Arial" w:cstheme="minorBidi"/>
      <w:b/>
      <w:kern w:val="2"/>
      <w:sz w:val="18"/>
      <w:szCs w:val="22"/>
      <w:lang w:eastAsia="ar-SA"/>
    </w:rPr>
  </w:style>
  <w:style w:type="paragraph" w:customStyle="1" w:styleId="4f5">
    <w:name w:val="纯文本4"/>
    <w:basedOn w:val="a0"/>
    <w:uiPriority w:val="99"/>
    <w:qFormat/>
    <w:pPr>
      <w:widowControl w:val="0"/>
      <w:adjustRightInd w:val="0"/>
      <w:jc w:val="both"/>
    </w:pPr>
    <w:rPr>
      <w:rFonts w:hAnsi="Courier New" w:cs="Times New Roman"/>
      <w:kern w:val="2"/>
      <w:sz w:val="28"/>
      <w:szCs w:val="20"/>
    </w:rPr>
  </w:style>
  <w:style w:type="paragraph" w:customStyle="1" w:styleId="5f3">
    <w:name w:val="纯文本5"/>
    <w:basedOn w:val="a0"/>
    <w:uiPriority w:val="99"/>
    <w:qFormat/>
    <w:pPr>
      <w:widowControl w:val="0"/>
      <w:adjustRightInd w:val="0"/>
      <w:jc w:val="both"/>
    </w:pPr>
    <w:rPr>
      <w:rFonts w:hAnsi="Courier New" w:cs="Times New Roman"/>
      <w:kern w:val="2"/>
      <w:sz w:val="28"/>
      <w:szCs w:val="20"/>
    </w:rPr>
  </w:style>
  <w:style w:type="paragraph" w:customStyle="1" w:styleId="69">
    <w:name w:val="纯文本6"/>
    <w:basedOn w:val="a0"/>
    <w:uiPriority w:val="99"/>
    <w:qFormat/>
    <w:pPr>
      <w:widowControl w:val="0"/>
      <w:adjustRightInd w:val="0"/>
      <w:jc w:val="both"/>
    </w:pPr>
    <w:rPr>
      <w:rFonts w:hAnsi="Courier New" w:cs="Times New Roman"/>
      <w:kern w:val="2"/>
      <w:sz w:val="28"/>
      <w:szCs w:val="20"/>
    </w:rPr>
  </w:style>
  <w:style w:type="paragraph" w:customStyle="1" w:styleId="1fff4">
    <w:name w:val="访问过的超链接1"/>
    <w:uiPriority w:val="68"/>
    <w:qFormat/>
    <w:rPr>
      <w:rFonts w:ascii="Calibri Light" w:hAnsi="Calibri Light"/>
      <w:color w:val="000000"/>
    </w:rPr>
  </w:style>
  <w:style w:type="paragraph" w:customStyle="1" w:styleId="1-21">
    <w:name w:val="中等深浅网格 1 - 强调文字颜色 21"/>
    <w:basedOn w:val="a0"/>
    <w:uiPriority w:val="34"/>
    <w:qFormat/>
    <w:pPr>
      <w:widowControl w:val="0"/>
      <w:spacing w:beforeLines="50" w:line="360" w:lineRule="auto"/>
      <w:ind w:firstLineChars="200" w:firstLine="420"/>
      <w:jc w:val="both"/>
    </w:pPr>
    <w:rPr>
      <w:rFonts w:ascii="Times New Roman" w:hAnsi="Times New Roman" w:cs="Times New Roman"/>
      <w:kern w:val="2"/>
      <w:sz w:val="21"/>
    </w:rPr>
  </w:style>
  <w:style w:type="paragraph" w:customStyle="1" w:styleId="TOC21">
    <w:name w:val="TOC 标题21"/>
    <w:basedOn w:val="1"/>
    <w:next w:val="a0"/>
    <w:uiPriority w:val="39"/>
    <w:qFormat/>
    <w:pPr>
      <w:widowControl/>
      <w:tabs>
        <w:tab w:val="left" w:pos="567"/>
      </w:tabs>
      <w:spacing w:line="276" w:lineRule="auto"/>
      <w:ind w:left="567" w:hanging="567"/>
      <w:jc w:val="left"/>
      <w:outlineLvl w:val="9"/>
    </w:pPr>
    <w:rPr>
      <w:rFonts w:ascii="Cambria" w:eastAsia="宋体" w:hAnsi="Cambria"/>
      <w:color w:val="365F91"/>
      <w:kern w:val="0"/>
      <w:sz w:val="28"/>
      <w:szCs w:val="28"/>
      <w:lang w:eastAsia="en-US"/>
    </w:rPr>
  </w:style>
  <w:style w:type="character" w:customStyle="1" w:styleId="4AdjustedChar">
    <w:name w:val="标题4Adjusted Char"/>
    <w:link w:val="4Adjusted"/>
    <w:semiHidden/>
    <w:qFormat/>
    <w:locked/>
    <w:rPr>
      <w:bCs/>
      <w:sz w:val="24"/>
      <w:szCs w:val="28"/>
    </w:rPr>
  </w:style>
  <w:style w:type="paragraph" w:customStyle="1" w:styleId="4Adjusted">
    <w:name w:val="标题4Adjusted"/>
    <w:basedOn w:val="41"/>
    <w:link w:val="4AdjustedChar"/>
    <w:semiHidden/>
    <w:qFormat/>
    <w:pPr>
      <w:tabs>
        <w:tab w:val="left" w:pos="1134"/>
      </w:tabs>
      <w:spacing w:beforeLines="50" w:before="0" w:afterLines="50" w:after="240" w:line="360" w:lineRule="auto"/>
      <w:ind w:firstLineChars="200" w:firstLine="482"/>
    </w:pPr>
    <w:rPr>
      <w:rFonts w:asciiTheme="minorHAnsi" w:eastAsiaTheme="minorEastAsia" w:hAnsiTheme="minorHAnsi" w:cstheme="minorBidi"/>
      <w:b w:val="0"/>
      <w:sz w:val="24"/>
    </w:rPr>
  </w:style>
  <w:style w:type="character" w:customStyle="1" w:styleId="1fff5">
    <w:name w:val="占位符文本1"/>
    <w:uiPriority w:val="99"/>
    <w:qFormat/>
    <w:rPr>
      <w:color w:val="808080"/>
    </w:rPr>
  </w:style>
  <w:style w:type="character" w:customStyle="1" w:styleId="1fff6">
    <w:name w:val="明显强调1"/>
    <w:uiPriority w:val="21"/>
    <w:qFormat/>
    <w:rPr>
      <w:b/>
      <w:bCs/>
      <w:i/>
      <w:iCs/>
      <w:color w:val="4F81BD"/>
    </w:rPr>
  </w:style>
  <w:style w:type="character" w:customStyle="1" w:styleId="1fff7">
    <w:name w:val="不明显参考1"/>
    <w:uiPriority w:val="31"/>
    <w:qFormat/>
    <w:rPr>
      <w:smallCaps/>
      <w:color w:val="C0504D"/>
      <w:u w:val="single"/>
    </w:rPr>
  </w:style>
  <w:style w:type="character" w:customStyle="1" w:styleId="1fff8">
    <w:name w:val="明显参考1"/>
    <w:uiPriority w:val="32"/>
    <w:qFormat/>
    <w:rPr>
      <w:b/>
      <w:bCs/>
      <w:smallCaps/>
      <w:color w:val="C0504D"/>
      <w:spacing w:val="5"/>
      <w:u w:val="single"/>
    </w:rPr>
  </w:style>
  <w:style w:type="character" w:customStyle="1" w:styleId="1fff9">
    <w:name w:val="书籍标题1"/>
    <w:uiPriority w:val="33"/>
    <w:qFormat/>
    <w:rPr>
      <w:b/>
      <w:bCs/>
      <w:smallCaps/>
      <w:spacing w:val="5"/>
    </w:rPr>
  </w:style>
  <w:style w:type="character" w:customStyle="1" w:styleId="bfont1">
    <w:name w:val="bfont1"/>
    <w:qFormat/>
    <w:rPr>
      <w:rFonts w:ascii="Arial Narrow" w:hAnsi="Arial Narrow" w:hint="default"/>
      <w:spacing w:val="320"/>
      <w:sz w:val="20"/>
      <w:szCs w:val="20"/>
    </w:rPr>
  </w:style>
  <w:style w:type="character" w:customStyle="1" w:styleId="Char1c">
    <w:name w:val="日期 Char1"/>
    <w:qFormat/>
    <w:rPr>
      <w:kern w:val="2"/>
      <w:sz w:val="21"/>
      <w:szCs w:val="24"/>
    </w:rPr>
  </w:style>
  <w:style w:type="character" w:customStyle="1" w:styleId="Char1d">
    <w:name w:val="批注框文本 Char1"/>
    <w:uiPriority w:val="99"/>
    <w:qFormat/>
    <w:rPr>
      <w:kern w:val="2"/>
      <w:sz w:val="18"/>
      <w:szCs w:val="18"/>
    </w:rPr>
  </w:style>
  <w:style w:type="character" w:customStyle="1" w:styleId="ca-21">
    <w:name w:val="ca-21"/>
    <w:qFormat/>
    <w:rPr>
      <w:rFonts w:ascii="宋体" w:eastAsia="宋体" w:hAnsi="宋体" w:hint="eastAsia"/>
      <w:sz w:val="24"/>
      <w:szCs w:val="24"/>
    </w:rPr>
  </w:style>
  <w:style w:type="character" w:customStyle="1" w:styleId="unnamed21">
    <w:name w:val="unnamed21"/>
    <w:qFormat/>
    <w:rPr>
      <w:rFonts w:ascii="ˎ̥" w:hAnsi="ˎ̥" w:hint="default"/>
      <w:sz w:val="20"/>
      <w:szCs w:val="20"/>
    </w:rPr>
  </w:style>
  <w:style w:type="character" w:customStyle="1" w:styleId="Char1e">
    <w:name w:val="批注主题 Char1"/>
    <w:uiPriority w:val="99"/>
    <w:qFormat/>
    <w:rPr>
      <w:rFonts w:ascii="Times New Roman" w:eastAsia="等线" w:hAnsi="Times New Roman" w:cs="Times New Roman"/>
      <w:b/>
      <w:bCs/>
      <w:kern w:val="2"/>
      <w:sz w:val="21"/>
      <w:szCs w:val="24"/>
      <w:lang w:val="zh-CN" w:eastAsia="zh-CN"/>
    </w:rPr>
  </w:style>
  <w:style w:type="character" w:customStyle="1" w:styleId="big1">
    <w:name w:val="big1"/>
    <w:qFormat/>
    <w:rPr>
      <w:sz w:val="22"/>
      <w:szCs w:val="22"/>
    </w:rPr>
  </w:style>
  <w:style w:type="character" w:customStyle="1" w:styleId="CharChar16">
    <w:name w:val="Char Char16"/>
    <w:qFormat/>
    <w:rPr>
      <w:rFonts w:ascii="Arial" w:eastAsia="黑体" w:hAnsi="Arial" w:cs="Arial" w:hint="default"/>
      <w:b/>
      <w:bCs/>
      <w:kern w:val="2"/>
      <w:sz w:val="32"/>
      <w:szCs w:val="32"/>
      <w:lang w:val="en-US" w:eastAsia="zh-CN" w:bidi="ar-SA"/>
    </w:rPr>
  </w:style>
  <w:style w:type="character" w:customStyle="1" w:styleId="Char1f">
    <w:name w:val="脚注文本 Char1"/>
    <w:uiPriority w:val="99"/>
    <w:qFormat/>
    <w:rPr>
      <w:kern w:val="2"/>
      <w:sz w:val="18"/>
      <w:szCs w:val="18"/>
    </w:rPr>
  </w:style>
  <w:style w:type="character" w:customStyle="1" w:styleId="Char1f0">
    <w:name w:val="正文首行缩进 Char1"/>
    <w:qFormat/>
  </w:style>
  <w:style w:type="character" w:customStyle="1" w:styleId="1fffa">
    <w:name w:val="已访问的超链接1"/>
    <w:qFormat/>
    <w:rPr>
      <w:color w:val="800080"/>
      <w:u w:val="single"/>
    </w:rPr>
  </w:style>
  <w:style w:type="character" w:customStyle="1" w:styleId="2Char11">
    <w:name w:val="正文文本缩进 2 Char1"/>
    <w:uiPriority w:val="99"/>
    <w:qFormat/>
    <w:rPr>
      <w:kern w:val="2"/>
      <w:sz w:val="21"/>
      <w:szCs w:val="24"/>
    </w:rPr>
  </w:style>
  <w:style w:type="character" w:customStyle="1" w:styleId="footeroddCharChar">
    <w:name w:val="footer odd Char Char"/>
    <w:qFormat/>
    <w:rPr>
      <w:rFonts w:ascii="宋体" w:eastAsia="宋体" w:hAnsi="宋体" w:hint="eastAsia"/>
      <w:sz w:val="18"/>
      <w:szCs w:val="18"/>
      <w:lang w:val="en-US" w:eastAsia="zh-CN" w:bidi="ar-SA"/>
    </w:rPr>
  </w:style>
  <w:style w:type="character" w:customStyle="1" w:styleId="footeroddCharChar1">
    <w:name w:val="footer odd Char Char1"/>
    <w:qFormat/>
    <w:rPr>
      <w:kern w:val="2"/>
      <w:sz w:val="18"/>
      <w:szCs w:val="18"/>
    </w:rPr>
  </w:style>
  <w:style w:type="character" w:customStyle="1" w:styleId="apple-style-span">
    <w:name w:val="apple-style-span"/>
    <w:qFormat/>
  </w:style>
  <w:style w:type="character" w:customStyle="1" w:styleId="footeroddCharChar2">
    <w:name w:val="footer odd Char Char2"/>
    <w:qFormat/>
    <w:rPr>
      <w:rFonts w:ascii="宋体" w:eastAsia="宋体" w:hAnsi="宋体" w:hint="eastAsia"/>
      <w:kern w:val="2"/>
      <w:sz w:val="18"/>
      <w:szCs w:val="18"/>
      <w:lang w:val="en-US" w:eastAsia="zh-CN" w:bidi="ar-SA"/>
    </w:rPr>
  </w:style>
  <w:style w:type="character" w:customStyle="1" w:styleId="Char1f1">
    <w:name w:val="副标题 Char1"/>
    <w:qFormat/>
    <w:rPr>
      <w:rFonts w:ascii="等线 Light" w:hAnsi="等线 Light" w:cs="Times New Roman"/>
      <w:b/>
      <w:bCs/>
      <w:kern w:val="28"/>
      <w:sz w:val="32"/>
      <w:szCs w:val="32"/>
    </w:rPr>
  </w:style>
  <w:style w:type="character" w:customStyle="1" w:styleId="CharChar4">
    <w:name w:val="Char Char4"/>
    <w:qFormat/>
    <w:rPr>
      <w:rFonts w:ascii="宋体" w:eastAsia="宋体" w:hAnsi="宋体" w:hint="eastAsia"/>
      <w:kern w:val="2"/>
      <w:sz w:val="21"/>
      <w:szCs w:val="24"/>
      <w:lang w:val="en-US" w:eastAsia="zh-CN" w:bidi="ar-SA"/>
    </w:rPr>
  </w:style>
  <w:style w:type="character" w:customStyle="1" w:styleId="CharChar5">
    <w:name w:val="招股书正文 Char Char"/>
    <w:qFormat/>
    <w:rPr>
      <w:rFonts w:ascii="宋体" w:eastAsia="宋体" w:hAnsi="宋体" w:hint="eastAsia"/>
      <w:kern w:val="2"/>
      <w:sz w:val="24"/>
      <w:szCs w:val="24"/>
    </w:rPr>
  </w:style>
  <w:style w:type="character" w:customStyle="1" w:styleId="big">
    <w:name w:val="big"/>
    <w:qFormat/>
  </w:style>
  <w:style w:type="character" w:customStyle="1" w:styleId="CharChar23">
    <w:name w:val="Char Char23"/>
    <w:qFormat/>
    <w:rPr>
      <w:rFonts w:ascii="Courier New" w:eastAsia="宋体" w:hAnsi="Courier New" w:cs="Courier New" w:hint="default"/>
      <w:sz w:val="21"/>
      <w:lang w:val="en-US" w:eastAsia="zh-CN" w:bidi="ar-SA"/>
    </w:rPr>
  </w:style>
  <w:style w:type="character" w:customStyle="1" w:styleId="5CharChar">
    <w:name w:val="标题 5 Char Char"/>
    <w:qFormat/>
    <w:rPr>
      <w:rFonts w:ascii="宋体" w:eastAsia="宋体" w:hAnsi="宋体" w:hint="eastAsia"/>
      <w:bCs/>
      <w:sz w:val="24"/>
      <w:szCs w:val="24"/>
      <w:lang w:val="en-US" w:eastAsia="zh-CN" w:bidi="ar-SA"/>
    </w:rPr>
  </w:style>
  <w:style w:type="character" w:customStyle="1" w:styleId="5CharChar1">
    <w:name w:val="标题 5 Char Char1"/>
    <w:qFormat/>
    <w:rPr>
      <w:rFonts w:ascii="宋体" w:eastAsia="宋体" w:hAnsi="宋体" w:hint="eastAsia"/>
      <w:bCs/>
      <w:sz w:val="24"/>
      <w:szCs w:val="24"/>
      <w:lang w:val="en-US" w:eastAsia="zh-CN" w:bidi="ar-SA"/>
    </w:rPr>
  </w:style>
  <w:style w:type="character" w:customStyle="1" w:styleId="4Char1Char1">
    <w:name w:val="标题 4 Char1 Char1"/>
    <w:qFormat/>
    <w:rPr>
      <w:rFonts w:ascii="宋体" w:eastAsia="黑体" w:hAnsi="Times New Roman" w:cs="Times New Roman" w:hint="eastAsia"/>
      <w:b/>
      <w:bCs/>
      <w:kern w:val="0"/>
      <w:sz w:val="24"/>
      <w:szCs w:val="24"/>
    </w:rPr>
  </w:style>
  <w:style w:type="character" w:customStyle="1" w:styleId="CharChar21">
    <w:name w:val="Char Char21"/>
    <w:qFormat/>
    <w:rPr>
      <w:rFonts w:ascii="Courier New" w:eastAsia="宋体" w:hAnsi="Courier New" w:cs="Courier New" w:hint="default"/>
      <w:sz w:val="21"/>
      <w:lang w:val="en-US" w:eastAsia="zh-CN" w:bidi="ar-SA"/>
    </w:rPr>
  </w:style>
  <w:style w:type="character" w:customStyle="1" w:styleId="CharChar22">
    <w:name w:val="Char Char22"/>
    <w:qFormat/>
    <w:rPr>
      <w:rFonts w:ascii="Courier New" w:eastAsia="宋体" w:hAnsi="Courier New" w:cs="Courier New" w:hint="default"/>
      <w:sz w:val="21"/>
      <w:lang w:val="en-US" w:eastAsia="zh-CN" w:bidi="ar-SA"/>
    </w:rPr>
  </w:style>
  <w:style w:type="character" w:customStyle="1" w:styleId="Char1f2">
    <w:name w:val="引用 Char1"/>
    <w:uiPriority w:val="29"/>
    <w:qFormat/>
    <w:rPr>
      <w:i/>
      <w:iCs/>
      <w:color w:val="000000"/>
      <w:kern w:val="2"/>
      <w:sz w:val="21"/>
      <w:szCs w:val="24"/>
    </w:rPr>
  </w:style>
  <w:style w:type="character" w:customStyle="1" w:styleId="Char1f3">
    <w:name w:val="明显引用 Char1"/>
    <w:uiPriority w:val="30"/>
    <w:qFormat/>
    <w:rPr>
      <w:b/>
      <w:bCs/>
      <w:i/>
      <w:iCs/>
      <w:color w:val="5B9BD5"/>
      <w:kern w:val="2"/>
      <w:sz w:val="21"/>
      <w:szCs w:val="24"/>
    </w:rPr>
  </w:style>
  <w:style w:type="character" w:customStyle="1" w:styleId="Char1f4">
    <w:name w:val="尾注文本 Char1"/>
    <w:uiPriority w:val="99"/>
    <w:qFormat/>
    <w:rPr>
      <w:kern w:val="2"/>
      <w:sz w:val="21"/>
      <w:szCs w:val="24"/>
    </w:rPr>
  </w:style>
  <w:style w:type="character" w:customStyle="1" w:styleId="2Char12">
    <w:name w:val="正文文本 2 Char1"/>
    <w:qFormat/>
    <w:rPr>
      <w:kern w:val="2"/>
      <w:sz w:val="21"/>
      <w:szCs w:val="24"/>
    </w:rPr>
  </w:style>
  <w:style w:type="character" w:customStyle="1" w:styleId="CharChar18">
    <w:name w:val="Char Char18"/>
    <w:qFormat/>
    <w:rPr>
      <w:rFonts w:ascii="宋体" w:eastAsia="黑体" w:hAnsi="宋体" w:hint="eastAsia"/>
      <w:w w:val="80"/>
      <w:kern w:val="44"/>
      <w:sz w:val="52"/>
    </w:rPr>
  </w:style>
  <w:style w:type="character" w:customStyle="1" w:styleId="CharChar17">
    <w:name w:val="Char Char17"/>
    <w:qFormat/>
    <w:rPr>
      <w:rFonts w:ascii="宋体" w:eastAsia="黑体" w:hAnsi="宋体" w:hint="eastAsia"/>
      <w:sz w:val="28"/>
    </w:rPr>
  </w:style>
  <w:style w:type="character" w:customStyle="1" w:styleId="CharChar15">
    <w:name w:val="Char Char15"/>
    <w:qFormat/>
    <w:rPr>
      <w:rFonts w:ascii="宋体" w:eastAsia="宋体" w:hAnsi="宋体" w:hint="eastAsia"/>
      <w:b/>
      <w:bCs/>
      <w:spacing w:val="-4"/>
      <w:kern w:val="28"/>
      <w:sz w:val="24"/>
      <w:lang w:val="en-US" w:eastAsia="zh-CN" w:bidi="he-IL"/>
    </w:rPr>
  </w:style>
  <w:style w:type="character" w:customStyle="1" w:styleId="CharChar14">
    <w:name w:val="Char Char14"/>
    <w:qFormat/>
    <w:rPr>
      <w:rFonts w:ascii="宋体" w:eastAsia="宋体" w:hAnsi="宋体" w:hint="eastAsia"/>
      <w:i/>
      <w:spacing w:val="-4"/>
      <w:kern w:val="28"/>
      <w:sz w:val="24"/>
      <w:lang w:bidi="he-IL"/>
    </w:rPr>
  </w:style>
  <w:style w:type="character" w:customStyle="1" w:styleId="CharChar130">
    <w:name w:val="Char Char13"/>
    <w:qFormat/>
    <w:rPr>
      <w:rFonts w:ascii="宋体" w:eastAsia="宋体" w:hAnsi="宋体" w:hint="eastAsia"/>
      <w:spacing w:val="-4"/>
      <w:kern w:val="28"/>
      <w:sz w:val="24"/>
      <w:lang w:bidi="he-IL"/>
    </w:rPr>
  </w:style>
  <w:style w:type="character" w:customStyle="1" w:styleId="CharChar8">
    <w:name w:val="Char Char8"/>
    <w:qFormat/>
    <w:rPr>
      <w:kern w:val="2"/>
      <w:sz w:val="18"/>
      <w:szCs w:val="18"/>
    </w:rPr>
  </w:style>
  <w:style w:type="character" w:customStyle="1" w:styleId="CharChar7">
    <w:name w:val="Char Char7"/>
    <w:qFormat/>
    <w:rPr>
      <w:rFonts w:ascii="宋体" w:eastAsia="宋体" w:hAnsi="宋体" w:cs="Arial" w:hint="eastAsia"/>
      <w:kern w:val="2"/>
      <w:sz w:val="24"/>
      <w:szCs w:val="24"/>
    </w:rPr>
  </w:style>
  <w:style w:type="character" w:customStyle="1" w:styleId="CharChar50">
    <w:name w:val="Char Char5"/>
    <w:qFormat/>
    <w:rPr>
      <w:rFonts w:ascii="仿宋_GB2312" w:eastAsia="仿宋_GB2312" w:hint="eastAsia"/>
      <w:sz w:val="28"/>
      <w:szCs w:val="28"/>
    </w:rPr>
  </w:style>
  <w:style w:type="character" w:customStyle="1" w:styleId="tpccontent1">
    <w:name w:val="tpc_content1"/>
    <w:qFormat/>
    <w:rPr>
      <w:sz w:val="20"/>
      <w:szCs w:val="20"/>
    </w:rPr>
  </w:style>
  <w:style w:type="character" w:customStyle="1" w:styleId="2Char13">
    <w:name w:val="正文首行缩进 2 Char1"/>
    <w:qFormat/>
    <w:rPr>
      <w:rFonts w:ascii="Times New Roman" w:eastAsia="等线" w:hAnsi="Times New Roman" w:cs="Times New Roman"/>
      <w:kern w:val="2"/>
      <w:sz w:val="21"/>
      <w:szCs w:val="24"/>
      <w:lang w:val="zh-CN" w:eastAsia="zh-CN"/>
    </w:rPr>
  </w:style>
  <w:style w:type="character" w:customStyle="1" w:styleId="3Char12">
    <w:name w:val="正文文本 3 Char1"/>
    <w:qFormat/>
    <w:rPr>
      <w:kern w:val="2"/>
      <w:sz w:val="16"/>
      <w:szCs w:val="16"/>
    </w:rPr>
  </w:style>
  <w:style w:type="character" w:customStyle="1" w:styleId="style1">
    <w:name w:val="style1"/>
    <w:qFormat/>
  </w:style>
  <w:style w:type="character" w:customStyle="1" w:styleId="link14pp1">
    <w:name w:val="link14pp1"/>
    <w:qFormat/>
    <w:rPr>
      <w:color w:val="000000"/>
      <w:sz w:val="21"/>
      <w:szCs w:val="21"/>
    </w:rPr>
  </w:style>
  <w:style w:type="character" w:customStyle="1" w:styleId="BodyTextChar">
    <w:name w:val="Body Text Char"/>
    <w:qFormat/>
    <w:locked/>
    <w:rPr>
      <w:rFonts w:ascii="Times New Roman" w:eastAsia="宋体" w:hAnsi="Times New Roman" w:cs="Times New Roman" w:hint="default"/>
      <w:sz w:val="24"/>
      <w:szCs w:val="24"/>
    </w:rPr>
  </w:style>
  <w:style w:type="character" w:customStyle="1" w:styleId="p14">
    <w:name w:val="p14"/>
    <w:qFormat/>
  </w:style>
  <w:style w:type="character" w:customStyle="1" w:styleId="HeaderChar">
    <w:name w:val="Header Char"/>
    <w:semiHidden/>
    <w:qFormat/>
    <w:locked/>
    <w:rPr>
      <w:rFonts w:ascii="宋体" w:eastAsia="宋体" w:hAnsi="宋体" w:hint="eastAsia"/>
      <w:kern w:val="2"/>
      <w:sz w:val="18"/>
      <w:szCs w:val="18"/>
      <w:lang w:val="en-US" w:eastAsia="zh-CN" w:bidi="ar-SA"/>
    </w:rPr>
  </w:style>
  <w:style w:type="character" w:customStyle="1" w:styleId="zi04">
    <w:name w:val="zi_04"/>
    <w:qFormat/>
  </w:style>
  <w:style w:type="character" w:customStyle="1" w:styleId="z-0">
    <w:name w:val="z-窗体底端 字符"/>
    <w:qFormat/>
    <w:rPr>
      <w:rFonts w:ascii="Arial" w:eastAsia="宋体" w:hAnsi="Arial" w:cs="Arial"/>
      <w:vanish/>
      <w:sz w:val="16"/>
      <w:szCs w:val="16"/>
    </w:rPr>
  </w:style>
  <w:style w:type="character" w:customStyle="1" w:styleId="z-Char1">
    <w:name w:val="z-窗体底端 Char1"/>
    <w:qFormat/>
    <w:locked/>
    <w:rPr>
      <w:rFonts w:ascii="Arial" w:hAnsi="Arial" w:cs="Arial" w:hint="default"/>
      <w:vanish/>
      <w:kern w:val="2"/>
      <w:sz w:val="16"/>
      <w:szCs w:val="16"/>
    </w:rPr>
  </w:style>
  <w:style w:type="character" w:customStyle="1" w:styleId="BodytextBatang">
    <w:name w:val="Body text + Batang"/>
    <w:qFormat/>
    <w:rPr>
      <w:rFonts w:ascii="Batang" w:eastAsia="Batang" w:hAnsi="Batang" w:cs="Batang" w:hint="eastAsia"/>
      <w:color w:val="000000"/>
      <w:spacing w:val="0"/>
      <w:w w:val="100"/>
      <w:position w:val="0"/>
      <w:sz w:val="21"/>
      <w:szCs w:val="21"/>
      <w:shd w:val="clear" w:color="auto" w:fill="FFFFFF"/>
      <w:lang w:val="zh-TW"/>
    </w:rPr>
  </w:style>
  <w:style w:type="character" w:customStyle="1" w:styleId="2fff3">
    <w:name w:val="正文文本2"/>
    <w:qFormat/>
    <w:rPr>
      <w:rFonts w:ascii="MingLiU" w:eastAsia="MingLiU" w:hAnsi="MingLiU" w:cs="MingLiU" w:hint="eastAsia"/>
      <w:color w:val="000000"/>
      <w:spacing w:val="10"/>
      <w:w w:val="100"/>
      <w:position w:val="0"/>
      <w:sz w:val="22"/>
      <w:szCs w:val="22"/>
      <w:u w:val="none"/>
      <w:shd w:val="clear" w:color="auto" w:fill="FFFFFF"/>
      <w:lang w:val="zh-TW"/>
    </w:rPr>
  </w:style>
  <w:style w:type="character" w:customStyle="1" w:styleId="3ff7">
    <w:name w:val="正文文本3"/>
    <w:qFormat/>
    <w:rPr>
      <w:rFonts w:ascii="MingLiU" w:eastAsia="MingLiU" w:hAnsi="MingLiU" w:cs="MingLiU" w:hint="eastAsia"/>
      <w:color w:val="000000"/>
      <w:spacing w:val="10"/>
      <w:w w:val="100"/>
      <w:position w:val="0"/>
      <w:sz w:val="22"/>
      <w:szCs w:val="22"/>
      <w:u w:val="none"/>
      <w:shd w:val="clear" w:color="auto" w:fill="FFFFFF"/>
      <w:lang w:val="zh-TW"/>
    </w:rPr>
  </w:style>
  <w:style w:type="character" w:customStyle="1" w:styleId="Bodytext10pt">
    <w:name w:val="Body text + 10 pt"/>
    <w:qFormat/>
    <w:rPr>
      <w:rFonts w:ascii="MingLiU" w:eastAsia="MingLiU" w:hAnsi="MingLiU" w:cs="MingLiU" w:hint="eastAsia"/>
      <w:i/>
      <w:iCs/>
      <w:color w:val="000000"/>
      <w:spacing w:val="80"/>
      <w:w w:val="100"/>
      <w:position w:val="0"/>
      <w:sz w:val="20"/>
      <w:szCs w:val="20"/>
      <w:u w:val="none"/>
      <w:shd w:val="clear" w:color="auto" w:fill="FFFFFF"/>
      <w:lang w:val="zh-TW"/>
    </w:rPr>
  </w:style>
  <w:style w:type="character" w:customStyle="1" w:styleId="Heading4">
    <w:name w:val="Heading #4"/>
    <w:qFormat/>
    <w:rPr>
      <w:rFonts w:ascii="MingLiU" w:eastAsia="MingLiU" w:hAnsi="MingLiU" w:cs="MingLiU" w:hint="eastAsia"/>
      <w:color w:val="000000"/>
      <w:spacing w:val="20"/>
      <w:w w:val="100"/>
      <w:position w:val="0"/>
      <w:sz w:val="24"/>
      <w:szCs w:val="24"/>
      <w:u w:val="single"/>
      <w:lang w:val="zh-TW"/>
    </w:rPr>
  </w:style>
  <w:style w:type="character" w:customStyle="1" w:styleId="GB23122">
    <w:name w:val="样式 楷体_GB2312 红色"/>
    <w:qFormat/>
    <w:rPr>
      <w:rFonts w:ascii="楷体_GB2312" w:eastAsia="楷体_GB2312" w:hAnsi="楷体_GB2312" w:hint="eastAsia"/>
      <w:color w:val="FF0000"/>
    </w:rPr>
  </w:style>
  <w:style w:type="character" w:customStyle="1" w:styleId="afffffffffff9">
    <w:name w:val="取消"/>
    <w:uiPriority w:val="1"/>
    <w:qFormat/>
  </w:style>
  <w:style w:type="character" w:customStyle="1" w:styleId="DeltaViewInsertion">
    <w:name w:val="DeltaView Insertion"/>
    <w:qFormat/>
    <w:rPr>
      <w:color w:val="0000FF"/>
      <w:spacing w:val="0"/>
      <w:u w:val="double"/>
    </w:rPr>
  </w:style>
  <w:style w:type="character" w:customStyle="1" w:styleId="DeltaViewDeletion">
    <w:name w:val="DeltaView Deletion"/>
    <w:qFormat/>
    <w:rPr>
      <w:strike/>
      <w:color w:val="FF0000"/>
      <w:spacing w:val="0"/>
    </w:rPr>
  </w:style>
  <w:style w:type="character" w:customStyle="1" w:styleId="zwSpace">
    <w:name w:val="zwSpace"/>
    <w:qFormat/>
    <w:rPr>
      <w:rFonts w:ascii="Arial" w:eastAsia="FZShuSong-Z01" w:hAnsi="Arial" w:cs="Arial" w:hint="default"/>
      <w:sz w:val="2"/>
      <w:lang w:eastAsia="zh-HK"/>
    </w:rPr>
  </w:style>
  <w:style w:type="character" w:customStyle="1" w:styleId="Char1f5">
    <w:name w:val="称呼 Char1"/>
    <w:qFormat/>
    <w:rPr>
      <w:kern w:val="2"/>
      <w:sz w:val="21"/>
      <w:szCs w:val="24"/>
    </w:rPr>
  </w:style>
  <w:style w:type="character" w:customStyle="1" w:styleId="11f0">
    <w:name w:val="中等深浅网格 11"/>
    <w:uiPriority w:val="99"/>
    <w:semiHidden/>
    <w:qFormat/>
    <w:rPr>
      <w:color w:val="808080"/>
    </w:rPr>
  </w:style>
  <w:style w:type="character" w:customStyle="1" w:styleId="close">
    <w:name w:val="close"/>
    <w:qFormat/>
  </w:style>
  <w:style w:type="character" w:customStyle="1" w:styleId="open">
    <w:name w:val="open"/>
    <w:qFormat/>
  </w:style>
  <w:style w:type="character" w:customStyle="1" w:styleId="FooterChar1">
    <w:name w:val="Footer Char1"/>
    <w:uiPriority w:val="99"/>
    <w:semiHidden/>
    <w:qFormat/>
    <w:rPr>
      <w:rFonts w:ascii="宋体" w:eastAsia="宋体" w:hAnsi="宋体" w:hint="eastAsia"/>
      <w:sz w:val="24"/>
      <w:szCs w:val="24"/>
      <w:lang w:eastAsia="en-US"/>
    </w:rPr>
  </w:style>
  <w:style w:type="character" w:customStyle="1" w:styleId="DocumentMapChar1">
    <w:name w:val="Document Map Char1"/>
    <w:uiPriority w:val="99"/>
    <w:semiHidden/>
    <w:qFormat/>
    <w:rPr>
      <w:rFonts w:ascii="Lucida Grande" w:eastAsia="Lucida Grande" w:hAnsi="Lucida Grande" w:cs="Lucida Grande" w:hint="eastAsia"/>
      <w:sz w:val="24"/>
      <w:szCs w:val="24"/>
      <w:lang w:eastAsia="en-US"/>
    </w:rPr>
  </w:style>
  <w:style w:type="character" w:customStyle="1" w:styleId="CommentTextChar1">
    <w:name w:val="Comment Text Char1"/>
    <w:uiPriority w:val="99"/>
    <w:semiHidden/>
    <w:qFormat/>
    <w:rPr>
      <w:rFonts w:ascii="宋体" w:eastAsia="宋体" w:hAnsi="宋体" w:hint="eastAsia"/>
      <w:sz w:val="24"/>
      <w:szCs w:val="24"/>
      <w:lang w:eastAsia="en-US"/>
    </w:rPr>
  </w:style>
  <w:style w:type="character" w:customStyle="1" w:styleId="CommentSubjectChar1">
    <w:name w:val="Comment Subject Char1"/>
    <w:uiPriority w:val="99"/>
    <w:semiHidden/>
    <w:qFormat/>
    <w:rPr>
      <w:rFonts w:ascii="宋体" w:eastAsia="宋体" w:hAnsi="宋体" w:hint="eastAsia"/>
      <w:b/>
      <w:bCs/>
      <w:sz w:val="24"/>
      <w:szCs w:val="24"/>
      <w:lang w:eastAsia="en-US"/>
    </w:rPr>
  </w:style>
  <w:style w:type="character" w:customStyle="1" w:styleId="HeaderChar1">
    <w:name w:val="Header Char1"/>
    <w:uiPriority w:val="99"/>
    <w:semiHidden/>
    <w:qFormat/>
    <w:rPr>
      <w:rFonts w:ascii="宋体" w:eastAsia="宋体" w:hAnsi="宋体" w:hint="eastAsia"/>
      <w:sz w:val="24"/>
      <w:szCs w:val="24"/>
      <w:lang w:eastAsia="en-US"/>
    </w:rPr>
  </w:style>
  <w:style w:type="character" w:customStyle="1" w:styleId="TitleChar1">
    <w:name w:val="Title Char1"/>
    <w:uiPriority w:val="10"/>
    <w:qFormat/>
    <w:rPr>
      <w:rFonts w:ascii="Calibri" w:eastAsia="MS Gothic" w:hAnsi="Calibri" w:cs="Times New Roman" w:hint="default"/>
      <w:b/>
      <w:bCs/>
      <w:kern w:val="28"/>
      <w:sz w:val="32"/>
      <w:szCs w:val="32"/>
      <w:lang w:eastAsia="en-US"/>
    </w:rPr>
  </w:style>
  <w:style w:type="character" w:customStyle="1" w:styleId="FootnoteTextChar1">
    <w:name w:val="Footnote Text Char1"/>
    <w:uiPriority w:val="99"/>
    <w:semiHidden/>
    <w:qFormat/>
    <w:rPr>
      <w:rFonts w:ascii="宋体" w:eastAsia="宋体" w:hAnsi="宋体" w:hint="eastAsia"/>
      <w:sz w:val="24"/>
      <w:szCs w:val="24"/>
      <w:lang w:eastAsia="en-US"/>
    </w:rPr>
  </w:style>
  <w:style w:type="character" w:customStyle="1" w:styleId="BodyTextIndent2Char1">
    <w:name w:val="Body Text Indent 2 Char1"/>
    <w:uiPriority w:val="99"/>
    <w:semiHidden/>
    <w:qFormat/>
    <w:rPr>
      <w:rFonts w:ascii="宋体" w:eastAsia="宋体" w:hAnsi="宋体" w:hint="eastAsia"/>
      <w:sz w:val="24"/>
      <w:szCs w:val="24"/>
      <w:lang w:eastAsia="en-US"/>
    </w:rPr>
  </w:style>
  <w:style w:type="character" w:customStyle="1" w:styleId="read">
    <w:name w:val="read"/>
    <w:qFormat/>
    <w:rPr>
      <w:rFonts w:ascii="Arial" w:eastAsia="宋体" w:hAnsi="Arial" w:cs="Arial" w:hint="default"/>
      <w:color w:val="000000"/>
      <w:kern w:val="2"/>
      <w:sz w:val="24"/>
      <w:szCs w:val="24"/>
      <w:lang w:val="en-US" w:eastAsia="zh-CN" w:bidi="ar-SA"/>
    </w:rPr>
  </w:style>
  <w:style w:type="character" w:customStyle="1" w:styleId="Checkbox">
    <w:name w:val="Checkbox"/>
    <w:qFormat/>
    <w:rPr>
      <w:rFonts w:ascii="Times New Roman" w:hAnsi="Times New Roman" w:cs="Times New Roman" w:hint="default"/>
      <w:sz w:val="22"/>
    </w:rPr>
  </w:style>
  <w:style w:type="character" w:customStyle="1" w:styleId="MessageHeaderLabel">
    <w:name w:val="Message Header Label"/>
    <w:qFormat/>
    <w:rPr>
      <w:rFonts w:ascii="Arial Black" w:hAnsi="Arial Black" w:hint="default"/>
      <w:sz w:val="18"/>
    </w:rPr>
  </w:style>
  <w:style w:type="character" w:customStyle="1" w:styleId="Slogan">
    <w:name w:val="Slogan"/>
    <w:qFormat/>
    <w:rPr>
      <w:rFonts w:ascii="Arial Black" w:hAnsi="Arial Black" w:hint="default"/>
      <w:spacing w:val="-10"/>
      <w:position w:val="2"/>
      <w:sz w:val="19"/>
    </w:rPr>
  </w:style>
  <w:style w:type="character" w:customStyle="1" w:styleId="st">
    <w:name w:val="st"/>
    <w:qFormat/>
  </w:style>
  <w:style w:type="character" w:customStyle="1" w:styleId="7Char3">
    <w:name w:val="样式7 Char"/>
    <w:qFormat/>
    <w:rPr>
      <w:rFonts w:ascii="Times New Roman" w:hAnsi="Times New Roman" w:cs="Times New Roman" w:hint="default"/>
      <w:sz w:val="24"/>
      <w:szCs w:val="24"/>
    </w:rPr>
  </w:style>
  <w:style w:type="character" w:customStyle="1" w:styleId="medium-normal1">
    <w:name w:val="medium-normal1"/>
    <w:qFormat/>
    <w:rPr>
      <w:rFonts w:ascii="Arial" w:hAnsi="Arial" w:cs="Arial" w:hint="default"/>
      <w:sz w:val="20"/>
      <w:szCs w:val="20"/>
    </w:rPr>
  </w:style>
  <w:style w:type="character" w:customStyle="1" w:styleId="bdsnopic">
    <w:name w:val="bds_nopic"/>
    <w:qFormat/>
  </w:style>
  <w:style w:type="character" w:customStyle="1" w:styleId="account">
    <w:name w:val="account"/>
    <w:qFormat/>
  </w:style>
  <w:style w:type="character" w:customStyle="1" w:styleId="psw">
    <w:name w:val="psw"/>
    <w:qFormat/>
  </w:style>
  <w:style w:type="character" w:customStyle="1" w:styleId="bdsmore4">
    <w:name w:val="bds_more4"/>
    <w:qFormat/>
    <w:rPr>
      <w:rFonts w:ascii="宋体" w:eastAsia="宋体" w:hAnsi="宋体" w:cs="宋体" w:hint="eastAsia"/>
    </w:rPr>
  </w:style>
  <w:style w:type="character" w:customStyle="1" w:styleId="bdsmore5">
    <w:name w:val="bds_more5"/>
    <w:qFormat/>
  </w:style>
  <w:style w:type="character" w:customStyle="1" w:styleId="bdsmore6">
    <w:name w:val="bds_more6"/>
    <w:qFormat/>
  </w:style>
  <w:style w:type="character" w:customStyle="1" w:styleId="bdsnopic1">
    <w:name w:val="bds_nopic1"/>
    <w:qFormat/>
  </w:style>
  <w:style w:type="character" w:customStyle="1" w:styleId="bdsnopic2">
    <w:name w:val="bds_nopic2"/>
    <w:qFormat/>
  </w:style>
  <w:style w:type="character" w:customStyle="1" w:styleId="cur">
    <w:name w:val="cur"/>
    <w:qFormat/>
    <w:rPr>
      <w:b/>
    </w:rPr>
  </w:style>
  <w:style w:type="character" w:customStyle="1" w:styleId="cur1">
    <w:name w:val="cur1"/>
    <w:qFormat/>
    <w:rPr>
      <w:shd w:val="clear" w:color="auto" w:fill="FF0000"/>
    </w:rPr>
  </w:style>
  <w:style w:type="character" w:customStyle="1" w:styleId="cur2">
    <w:name w:val="cur2"/>
    <w:qFormat/>
    <w:rPr>
      <w:b/>
    </w:rPr>
  </w:style>
  <w:style w:type="character" w:customStyle="1" w:styleId="normal1">
    <w:name w:val="normal1"/>
    <w:qFormat/>
    <w:rPr>
      <w:color w:val="000000"/>
    </w:rPr>
  </w:style>
  <w:style w:type="character" w:customStyle="1" w:styleId="normal2">
    <w:name w:val="normal2"/>
    <w:qFormat/>
    <w:rPr>
      <w:color w:val="FFFFFF"/>
    </w:rPr>
  </w:style>
  <w:style w:type="character" w:customStyle="1" w:styleId="on">
    <w:name w:val="on"/>
    <w:qFormat/>
    <w:rPr>
      <w:color w:val="FFFFFF"/>
    </w:rPr>
  </w:style>
  <w:style w:type="table" w:customStyle="1" w:styleId="-113">
    <w:name w:val="浅色列表 - 强调文字颜色 11"/>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中等深浅底纹 1 - 强调文字颜色 11"/>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0">
    <w:name w:val="网格型113"/>
    <w:basedOn w:val="a3"/>
    <w:uiPriority w:val="59"/>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4">
    <w:name w:val="样式5"/>
    <w:basedOn w:val="a3"/>
    <w:uiPriority w:val="99"/>
    <w:qFormat/>
    <w:rPr>
      <w:rFonts w:ascii="Calibri" w:hAnsi="Calibri"/>
    </w:rPr>
    <w:tblPr/>
  </w:style>
  <w:style w:type="table" w:customStyle="1" w:styleId="2115">
    <w:name w:val="网格型21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ffffffa">
    <w:name w:val="表格模式"/>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414">
    <w:name w:val="网格型4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浅色列表 - 强调文字颜色 111"/>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
    <w:name w:val="中等深浅底纹 1 - 强调文字颜色 111"/>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b">
    <w:name w:val="网格型22"/>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a3"/>
    <w:uiPriority w:val="59"/>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典雅型113"/>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5">
    <w:name w:val="古典型 111"/>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0">
    <w:name w:val="网格型1112"/>
    <w:basedOn w:val="a3"/>
    <w:uiPriority w:val="59"/>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样式51"/>
    <w:basedOn w:val="a3"/>
    <w:uiPriority w:val="99"/>
    <w:qFormat/>
    <w:rPr>
      <w:rFonts w:ascii="Calibri" w:hAnsi="Calibri"/>
    </w:rPr>
    <w:tblPr/>
  </w:style>
  <w:style w:type="table" w:customStyle="1" w:styleId="611">
    <w:name w:val="样式61"/>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1fffb">
    <w:name w:val="表格模式1"/>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517">
    <w:name w:val="网格型5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网格型131"/>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浅色列表 - 强调文字颜色 112"/>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
    <w:name w:val="中等深浅底纹 1 - 强调文字颜色 112"/>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8">
    <w:name w:val="网格型2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网格型32"/>
    <w:basedOn w:val="a3"/>
    <w:uiPriority w:val="59"/>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典雅型122"/>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24">
    <w:name w:val="古典型 112"/>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0">
    <w:name w:val="网格型1121"/>
    <w:basedOn w:val="a3"/>
    <w:uiPriority w:val="59"/>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样式52"/>
    <w:basedOn w:val="a3"/>
    <w:uiPriority w:val="99"/>
    <w:qFormat/>
    <w:rPr>
      <w:rFonts w:ascii="Calibri" w:hAnsi="Calibri"/>
    </w:rPr>
    <w:tblPr/>
  </w:style>
  <w:style w:type="table" w:customStyle="1" w:styleId="2120">
    <w:name w:val="网格型212"/>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样式62"/>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2fff4">
    <w:name w:val="表格模式2"/>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612">
    <w:name w:val="网格型6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典雅型4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42">
    <w:name w:val="古典型 14"/>
    <w:basedOn w:val="a3"/>
    <w:qFormat/>
    <w:pPr>
      <w:widowControl w:val="0"/>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0">
    <w:name w:val="网格型141"/>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浅色列表 - 强调文字颜色 113"/>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
    <w:name w:val="中等深浅底纹 1 - 强调文字颜色 113"/>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40">
    <w:name w:val="网格型2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网格型33"/>
    <w:basedOn w:val="a3"/>
    <w:uiPriority w:val="59"/>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典雅型131"/>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2">
    <w:name w:val="古典型 113"/>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33">
    <w:name w:val="样式53"/>
    <w:basedOn w:val="a3"/>
    <w:uiPriority w:val="99"/>
    <w:qFormat/>
    <w:rPr>
      <w:rFonts w:ascii="Calibri" w:hAnsi="Calibri"/>
    </w:rPr>
    <w:tblPr/>
  </w:style>
  <w:style w:type="table" w:customStyle="1" w:styleId="2130">
    <w:name w:val="网格型2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样式63"/>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3ff8">
    <w:name w:val="表格模式3"/>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711">
    <w:name w:val="网格型7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网格型8"/>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网格型9"/>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网格型15"/>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8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网格型25"/>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网格型26"/>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27"/>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6">
    <w:name w:val="Table Normal6"/>
    <w:uiPriority w:val="2"/>
    <w:semiHidden/>
    <w:qFormat/>
    <w:pPr>
      <w:widowControl w:val="0"/>
    </w:pPr>
    <w:rPr>
      <w:rFonts w:ascii="Calibri" w:eastAsia="Times New Roman" w:hAnsi="Calibri"/>
      <w:sz w:val="22"/>
      <w:lang w:eastAsia="en-US"/>
    </w:rPr>
    <w:tblPr>
      <w:tblCellMar>
        <w:top w:w="0" w:type="dxa"/>
        <w:left w:w="0" w:type="dxa"/>
        <w:bottom w:w="0" w:type="dxa"/>
        <w:right w:w="0" w:type="dxa"/>
      </w:tblCellMar>
    </w:tblPr>
  </w:style>
  <w:style w:type="table" w:customStyle="1" w:styleId="TableNormal2">
    <w:name w:val="Table Normal2"/>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3">
    <w:name w:val="Table Normal3"/>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4">
    <w:name w:val="Table Normal4"/>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280">
    <w:name w:val="网格型28"/>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网格型110"/>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型51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网格型29"/>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网格型30"/>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网格型28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网格型282"/>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网格型61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c">
    <w:name w:val="表格主题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24">
    <w:name w:val="网格型42"/>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5">
    <w:name w:val="网格型5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网格型62"/>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5">
    <w:name w:val="表格主题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110">
    <w:name w:val="网格型711"/>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网格型411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0">
    <w:name w:val="网格型51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表格主题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34">
    <w:name w:val="网格型4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4">
    <w:name w:val="网格型53"/>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网格型63"/>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9">
    <w:name w:val="表格主题3"/>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1">
    <w:name w:val="网格型72"/>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网格型82"/>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网格型312"/>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网格型412"/>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0">
    <w:name w:val="网格型51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网格型612"/>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表格主题1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40">
    <w:name w:val="网格型4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1">
    <w:name w:val="网格型54"/>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网格型64"/>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6">
    <w:name w:val="表格主题4"/>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31">
    <w:name w:val="网格型73"/>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网格型8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网格型3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网格型4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0">
    <w:name w:val="网格型513"/>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网格型613"/>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a">
    <w:name w:val="表格主题13"/>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910">
    <w:name w:val="网格型9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网格型121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网格型32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网格型42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网格型52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网格型62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表格主题2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8110">
    <w:name w:val="网格型81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0">
    <w:name w:val="网格型1111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网格型211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网格型611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表格主题1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1010">
    <w:name w:val="网格型10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网格型131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网格型2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网格型3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网格型4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0">
    <w:name w:val="网格型53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网格型63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表格主题3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10">
    <w:name w:val="网格型721"/>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网格型82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
    <w:name w:val="网格型1121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网格型212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网格型312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
    <w:name w:val="网格型412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0">
    <w:name w:val="网格型512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网格型612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表格主题12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grp">
    <w:name w:val="grp"/>
    <w:basedOn w:val="affff"/>
    <w:qFormat/>
    <w:pPr>
      <w:widowControl w:val="0"/>
      <w:jc w:val="both"/>
    </w:p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1f2">
    <w:name w:val="网格型 11"/>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140">
    <w:name w:val="网格型 514"/>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50">
    <w:name w:val="网格型35"/>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网格型114"/>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网格型210"/>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网格型36"/>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网格型45"/>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
    <w:name w:val="网格型55"/>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网格型65"/>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网格型74"/>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网格型84"/>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网格型115"/>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0">
    <w:name w:val="网格型314"/>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0">
    <w:name w:val="网格型414"/>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1">
    <w:name w:val="网格型514"/>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网格型614"/>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0">
    <w:name w:val="网格型122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网格型2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网格型3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网格型4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0">
    <w:name w:val="网格型6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网格型71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网格型8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网格型1112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网格型2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网格型3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
    <w:name w:val="网格型4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网格型611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网格型10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网格型13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网格型2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0">
    <w:name w:val="网格型3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网格型4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0">
    <w:name w:val="网格型63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网格型72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网格型8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0">
    <w:name w:val="网格型112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网格型2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
    <w:name w:val="网格型3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2">
    <w:name w:val="网格型4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
    <w:name w:val="网格型61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网格型15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网格型34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网格型44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
    <w:name w:val="网格型64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网格型73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网格型8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网格型113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网格型31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网格型41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
    <w:name w:val="网格型613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
    <w:name w:val="网格型12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网格型2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网格型3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网格型4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网格型62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网格型711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网格型8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
    <w:name w:val="网格型111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网格型2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
    <w:name w:val="网格型31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网格型4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
    <w:name w:val="网格型611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
    <w:name w:val="网格型13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网格型23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
    <w:name w:val="网格型33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网格型43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
    <w:name w:val="网格型63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网格型721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网格型8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1">
    <w:name w:val="网格型112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网格型21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
    <w:name w:val="网格型31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
    <w:name w:val="网格型41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
    <w:name w:val="网格型612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网格型171"/>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1"/>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1">
    <w:name w:val="grp1"/>
    <w:basedOn w:val="affff"/>
    <w:qFormat/>
    <w:pPr>
      <w:widowControl w:val="0"/>
      <w:jc w:val="both"/>
    </w:p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2-12">
    <w:name w:val="中等深浅网格 2 - 着色 12"/>
    <w:basedOn w:val="a3"/>
    <w:uiPriority w:val="68"/>
    <w:semiHidden/>
    <w:qFormat/>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7C6"/>
      </w:tcPr>
    </w:tblStylePr>
  </w:style>
  <w:style w:type="table" w:customStyle="1" w:styleId="1-22">
    <w:name w:val="中等深浅底纹 1 - 着色 22"/>
    <w:basedOn w:val="a3"/>
    <w:uiPriority w:val="63"/>
    <w:semiHidden/>
    <w:qFormat/>
    <w:rPr>
      <w:rFonts w:ascii="Calibri" w:hAnsi="Calibri"/>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7C6"/>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2">
    <w:name w:val="彩色列表 - 着色 22"/>
    <w:basedOn w:val="a3"/>
    <w:uiPriority w:val="72"/>
    <w:semiHidden/>
    <w:qFormat/>
    <w:rPr>
      <w:rFonts w:ascii="Calibri" w:hAnsi="Calibri"/>
      <w:color w:val="000000"/>
    </w:rPr>
    <w:tblPr/>
    <w:tcPr>
      <w:shd w:val="clear" w:color="auto" w:fill="FDF2EA"/>
    </w:tcPr>
    <w:tblStylePr w:type="firstRow">
      <w:rPr>
        <w:b/>
        <w:bCs/>
        <w:color w:val="FFF7C6"/>
      </w:rPr>
      <w:tblPr/>
      <w:tcPr>
        <w:tcBorders>
          <w:bottom w:val="single" w:sz="12" w:space="0" w:color="FFF7C6"/>
        </w:tcBorders>
        <w:shd w:val="clear" w:color="auto" w:fill="D25F12"/>
      </w:tcPr>
    </w:tblStylePr>
    <w:tblStylePr w:type="lastRow">
      <w:rPr>
        <w:b/>
        <w:bCs/>
        <w:color w:val="D25F12"/>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1-32">
    <w:name w:val="中等深浅网格 1 - 着色 32"/>
    <w:basedOn w:val="a3"/>
    <w:uiPriority w:val="67"/>
    <w:semiHidden/>
    <w:qFormat/>
    <w:rPr>
      <w:rFonts w:ascii="Calibri" w:hAnsi="Calibri"/>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33">
    <w:name w:val="中等深浅网格 1 - 着色 33"/>
    <w:basedOn w:val="a3"/>
    <w:uiPriority w:val="67"/>
    <w:semiHidden/>
    <w:qFormat/>
    <w:rPr>
      <w:rFonts w:ascii="Calibri" w:hAnsi="Calibri"/>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3">
    <w:name w:val="中等深浅网格 2 - 着色 13"/>
    <w:basedOn w:val="a3"/>
    <w:uiPriority w:val="68"/>
    <w:semiHidden/>
    <w:qFormat/>
    <w:rPr>
      <w:rFonts w:ascii="Cambria" w:hAnsi="Cambria"/>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3">
    <w:name w:val="中等深浅底纹 1 - 着色 23"/>
    <w:basedOn w:val="a3"/>
    <w:uiPriority w:val="63"/>
    <w:semiHidden/>
    <w:qFormat/>
    <w:rPr>
      <w:rFonts w:ascii="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3">
    <w:name w:val="彩色列表 - 着色 23"/>
    <w:basedOn w:val="a3"/>
    <w:uiPriority w:val="72"/>
    <w:semiHidden/>
    <w:qFormat/>
    <w:rPr>
      <w:rFonts w:ascii="Calibri" w:hAnsi="Calibri"/>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70">
    <w:name w:val="网格型37"/>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网格型116"/>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网格型215"/>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网格型38"/>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网格型46"/>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0">
    <w:name w:val="网格型56"/>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网格型66"/>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网格型75"/>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网格型85"/>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0">
    <w:name w:val="网格型117"/>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网格型216"/>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0">
    <w:name w:val="网格型315"/>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网格型415"/>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0">
    <w:name w:val="网格型515"/>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网格型615"/>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网格型9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网格型123"/>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网格型22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0">
    <w:name w:val="网格型32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0">
    <w:name w:val="网格型42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网格型623"/>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网格型713"/>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网格型81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网格型1113"/>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网格型211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网格型311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网格型411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3">
    <w:name w:val="网格型6113"/>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网格型10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0">
    <w:name w:val="网格型133"/>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网格型23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0">
    <w:name w:val="网格型33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0">
    <w:name w:val="网格型43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3">
    <w:name w:val="网格型633"/>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网格型723"/>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网格型82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网格型1123"/>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网格型212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网格型312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3">
    <w:name w:val="网格型4123"/>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3">
    <w:name w:val="网格型6123"/>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网格型14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网格型15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网格型24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
    <w:name w:val="网格型34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网格型44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2">
    <w:name w:val="网格型64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网格型73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网格型8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0">
    <w:name w:val="网格型113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网格型21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2">
    <w:name w:val="网格型31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2">
    <w:name w:val="网格型41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2">
    <w:name w:val="网格型613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网格型9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0">
    <w:name w:val="网格型121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网格型22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网格型32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
    <w:name w:val="网格型42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网格型621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网格型711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网格型8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
    <w:name w:val="网格型1111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网格型21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
    <w:name w:val="网格型31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2">
    <w:name w:val="网格型41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2">
    <w:name w:val="网格型6111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网格型10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网格型131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网格型23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
    <w:name w:val="网格型33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2">
    <w:name w:val="网格型43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2">
    <w:name w:val="网格型631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网格型721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网格型82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
    <w:name w:val="网格型1121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网格型212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网格型312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2">
    <w:name w:val="网格型412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2">
    <w:name w:val="网格型6121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网格型172"/>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网格型182"/>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2">
    <w:name w:val="grp2"/>
    <w:basedOn w:val="affff"/>
    <w:qFormat/>
    <w:pPr>
      <w:widowControl w:val="0"/>
      <w:jc w:val="both"/>
    </w:p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34">
    <w:name w:val="中等深浅网格 1 - 着色 34"/>
    <w:basedOn w:val="a3"/>
    <w:uiPriority w:val="67"/>
    <w:semiHidden/>
    <w:qFormat/>
    <w:rPr>
      <w:rFonts w:ascii="Calibri" w:hAnsi="Calibri"/>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4">
    <w:name w:val="中等深浅网格 2 - 着色 14"/>
    <w:basedOn w:val="a3"/>
    <w:uiPriority w:val="68"/>
    <w:semiHidden/>
    <w:qFormat/>
    <w:rPr>
      <w:rFonts w:ascii="Cambria" w:hAnsi="Cambria"/>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4">
    <w:name w:val="中等深浅底纹 1 - 着色 24"/>
    <w:basedOn w:val="a3"/>
    <w:uiPriority w:val="63"/>
    <w:semiHidden/>
    <w:qFormat/>
    <w:rPr>
      <w:rFonts w:ascii="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
    <w:name w:val="彩色列表 - 着色 24"/>
    <w:basedOn w:val="a3"/>
    <w:uiPriority w:val="72"/>
    <w:semiHidden/>
    <w:qFormat/>
    <w:rPr>
      <w:rFonts w:ascii="Calibri" w:hAnsi="Calibri"/>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zcjy">
    <w:name w:val="zcjy"/>
    <w:qFormat/>
    <w:rPr>
      <w:shd w:val="clear" w:color="auto" w:fill="266EB4"/>
    </w:rPr>
  </w:style>
  <w:style w:type="character" w:customStyle="1" w:styleId="ydx">
    <w:name w:val="ydx"/>
    <w:qFormat/>
    <w:rPr>
      <w:shd w:val="clear" w:color="auto" w:fill="CC6600"/>
    </w:rPr>
  </w:style>
  <w:style w:type="paragraph" w:customStyle="1" w:styleId="TOC30">
    <w:name w:val="TOC 标题3"/>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2fff6">
    <w:name w:val="明显引用2"/>
    <w:basedOn w:val="a0"/>
    <w:next w:val="a0"/>
    <w:link w:val="1fffd"/>
    <w:uiPriority w:val="99"/>
    <w:unhideWhenUsed/>
    <w:qFormat/>
    <w:pPr>
      <w:widowControl w:val="0"/>
      <w:pBdr>
        <w:bottom w:val="single" w:sz="4" w:space="4" w:color="5B9BD5"/>
      </w:pBdr>
      <w:spacing w:before="200" w:after="280"/>
      <w:ind w:left="936" w:right="936"/>
      <w:jc w:val="both"/>
    </w:pPr>
    <w:rPr>
      <w:rFonts w:ascii="Times New Roman" w:hAnsi="Times New Roman" w:cs="Times New Roman"/>
      <w:b/>
      <w:bCs/>
      <w:i/>
      <w:iCs/>
      <w:color w:val="5B9BD5"/>
      <w:kern w:val="2"/>
      <w:sz w:val="21"/>
    </w:rPr>
  </w:style>
  <w:style w:type="character" w:customStyle="1" w:styleId="1fffd">
    <w:name w:val="明显引用 字符1"/>
    <w:link w:val="2fff6"/>
    <w:uiPriority w:val="99"/>
    <w:qFormat/>
    <w:rPr>
      <w:rFonts w:ascii="Times New Roman" w:eastAsia="宋体" w:hAnsi="Times New Roman" w:cs="Times New Roman"/>
      <w:b/>
      <w:bCs/>
      <w:i/>
      <w:iCs/>
      <w:color w:val="5B9BD5"/>
      <w:szCs w:val="24"/>
    </w:rPr>
  </w:style>
  <w:style w:type="paragraph" w:customStyle="1" w:styleId="2fff7">
    <w:name w:val="书目2"/>
    <w:basedOn w:val="a0"/>
    <w:next w:val="a0"/>
    <w:uiPriority w:val="37"/>
    <w:unhideWhenUsed/>
    <w:qFormat/>
    <w:pPr>
      <w:widowControl w:val="0"/>
      <w:jc w:val="both"/>
    </w:pPr>
    <w:rPr>
      <w:rFonts w:ascii="Times New Roman" w:hAnsi="Times New Roman" w:cs="Times New Roman"/>
      <w:kern w:val="2"/>
      <w:sz w:val="21"/>
    </w:rPr>
  </w:style>
  <w:style w:type="paragraph" w:customStyle="1" w:styleId="2fff8">
    <w:name w:val="无间隔2"/>
    <w:uiPriority w:val="99"/>
    <w:unhideWhenUsed/>
    <w:qFormat/>
    <w:pPr>
      <w:widowControl w:val="0"/>
      <w:jc w:val="both"/>
    </w:pPr>
    <w:rPr>
      <w:kern w:val="2"/>
      <w:sz w:val="21"/>
      <w:szCs w:val="24"/>
    </w:rPr>
  </w:style>
  <w:style w:type="paragraph" w:customStyle="1" w:styleId="2fff9">
    <w:name w:val="引用2"/>
    <w:basedOn w:val="a0"/>
    <w:next w:val="a0"/>
    <w:link w:val="1fffe"/>
    <w:uiPriority w:val="99"/>
    <w:unhideWhenUsed/>
    <w:qFormat/>
    <w:pPr>
      <w:widowControl w:val="0"/>
      <w:jc w:val="both"/>
    </w:pPr>
    <w:rPr>
      <w:rFonts w:ascii="Times New Roman" w:hAnsi="Times New Roman" w:cs="Times New Roman"/>
      <w:i/>
      <w:iCs/>
      <w:color w:val="000000"/>
      <w:kern w:val="2"/>
      <w:sz w:val="21"/>
    </w:rPr>
  </w:style>
  <w:style w:type="character" w:customStyle="1" w:styleId="1fffe">
    <w:name w:val="引用 字符1"/>
    <w:link w:val="2fff9"/>
    <w:uiPriority w:val="99"/>
    <w:qFormat/>
    <w:rPr>
      <w:rFonts w:ascii="Times New Roman" w:eastAsia="宋体" w:hAnsi="Times New Roman" w:cs="Times New Roman"/>
      <w:i/>
      <w:iCs/>
      <w:color w:val="000000"/>
      <w:szCs w:val="24"/>
    </w:rPr>
  </w:style>
  <w:style w:type="paragraph" w:customStyle="1" w:styleId="21f2">
    <w:name w:val="修订21"/>
    <w:hidden/>
    <w:uiPriority w:val="99"/>
    <w:unhideWhenUsed/>
    <w:qFormat/>
    <w:rPr>
      <w:kern w:val="2"/>
      <w:sz w:val="21"/>
      <w:szCs w:val="24"/>
    </w:rPr>
  </w:style>
  <w:style w:type="paragraph" w:customStyle="1" w:styleId="21f3">
    <w:name w:val="列出段落21"/>
    <w:basedOn w:val="a0"/>
    <w:uiPriority w:val="34"/>
    <w:unhideWhenUsed/>
    <w:qFormat/>
    <w:pPr>
      <w:widowControl w:val="0"/>
      <w:ind w:firstLineChars="200" w:firstLine="420"/>
      <w:jc w:val="both"/>
    </w:pPr>
    <w:rPr>
      <w:rFonts w:ascii="Times New Roman" w:hAnsi="Times New Roman" w:cs="Times New Roman"/>
      <w:kern w:val="2"/>
      <w:sz w:val="21"/>
    </w:rPr>
  </w:style>
  <w:style w:type="character" w:customStyle="1" w:styleId="active">
    <w:name w:val="active"/>
    <w:qFormat/>
    <w:rPr>
      <w:color w:val="FFFFFF"/>
      <w:shd w:val="clear" w:color="auto" w:fill="F66262"/>
    </w:rPr>
  </w:style>
  <w:style w:type="character" w:customStyle="1" w:styleId="last-child">
    <w:name w:val="last-child"/>
    <w:qFormat/>
  </w:style>
  <w:style w:type="character" w:customStyle="1" w:styleId="resulthighlight">
    <w:name w:val="result_high_light"/>
    <w:qFormat/>
    <w:rPr>
      <w:color w:val="D8453B"/>
    </w:rPr>
  </w:style>
  <w:style w:type="character" w:customStyle="1" w:styleId="last-child1">
    <w:name w:val="last-child1"/>
    <w:qFormat/>
  </w:style>
  <w:style w:type="paragraph" w:customStyle="1" w:styleId="result">
    <w:name w:val="result"/>
    <w:basedOn w:val="a0"/>
    <w:qFormat/>
    <w:pPr>
      <w:widowControl w:val="0"/>
    </w:pPr>
    <w:rPr>
      <w:rFonts w:ascii="Times New Roman" w:hAnsi="Times New Roman" w:cs="Times New Roman"/>
      <w:sz w:val="21"/>
    </w:rPr>
  </w:style>
  <w:style w:type="paragraph" w:customStyle="1" w:styleId="result2">
    <w:name w:val="result2"/>
    <w:basedOn w:val="a0"/>
    <w:qFormat/>
    <w:pPr>
      <w:widowControl w:val="0"/>
    </w:pPr>
    <w:rPr>
      <w:rFonts w:ascii="Times New Roman" w:hAnsi="Times New Roman" w:cs="Times New Roman"/>
      <w:sz w:val="21"/>
    </w:rPr>
  </w:style>
  <w:style w:type="character" w:customStyle="1" w:styleId="result3">
    <w:name w:val="result3"/>
    <w:qFormat/>
  </w:style>
  <w:style w:type="paragraph" w:customStyle="1" w:styleId="TOC40">
    <w:name w:val="TOC 标题4"/>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3ffa">
    <w:name w:val="明显引用3"/>
    <w:basedOn w:val="a0"/>
    <w:next w:val="a0"/>
    <w:link w:val="2fffa"/>
    <w:uiPriority w:val="30"/>
    <w:unhideWhenUsed/>
    <w:qFormat/>
    <w:pPr>
      <w:widowControl w:val="0"/>
      <w:pBdr>
        <w:bottom w:val="single" w:sz="4" w:space="4" w:color="5B9BD5"/>
      </w:pBdr>
      <w:spacing w:before="200" w:after="280"/>
      <w:ind w:left="936" w:right="936"/>
      <w:jc w:val="both"/>
    </w:pPr>
    <w:rPr>
      <w:rFonts w:ascii="Times New Roman" w:hAnsi="Times New Roman" w:cs="Times New Roman"/>
      <w:b/>
      <w:bCs/>
      <w:i/>
      <w:iCs/>
      <w:color w:val="5B9BD5"/>
      <w:kern w:val="2"/>
      <w:sz w:val="21"/>
    </w:rPr>
  </w:style>
  <w:style w:type="character" w:customStyle="1" w:styleId="2fffa">
    <w:name w:val="明显引用 字符2"/>
    <w:link w:val="3ffa"/>
    <w:uiPriority w:val="30"/>
    <w:qFormat/>
    <w:rPr>
      <w:rFonts w:ascii="Times New Roman" w:eastAsia="宋体" w:hAnsi="Times New Roman" w:cs="Times New Roman"/>
      <w:b/>
      <w:bCs/>
      <w:i/>
      <w:iCs/>
      <w:color w:val="5B9BD5"/>
      <w:szCs w:val="24"/>
    </w:rPr>
  </w:style>
  <w:style w:type="paragraph" w:customStyle="1" w:styleId="3ffb">
    <w:name w:val="书目3"/>
    <w:basedOn w:val="a0"/>
    <w:next w:val="a0"/>
    <w:uiPriority w:val="37"/>
    <w:unhideWhenUsed/>
    <w:qFormat/>
    <w:pPr>
      <w:widowControl w:val="0"/>
      <w:jc w:val="both"/>
    </w:pPr>
    <w:rPr>
      <w:rFonts w:ascii="Times New Roman" w:hAnsi="Times New Roman" w:cs="Times New Roman"/>
      <w:kern w:val="2"/>
      <w:sz w:val="21"/>
    </w:rPr>
  </w:style>
  <w:style w:type="paragraph" w:customStyle="1" w:styleId="3ffc">
    <w:name w:val="无间隔3"/>
    <w:uiPriority w:val="1"/>
    <w:unhideWhenUsed/>
    <w:qFormat/>
    <w:pPr>
      <w:widowControl w:val="0"/>
      <w:jc w:val="both"/>
    </w:pPr>
    <w:rPr>
      <w:kern w:val="2"/>
      <w:sz w:val="21"/>
      <w:szCs w:val="24"/>
    </w:rPr>
  </w:style>
  <w:style w:type="paragraph" w:customStyle="1" w:styleId="3ffd">
    <w:name w:val="引用3"/>
    <w:basedOn w:val="a0"/>
    <w:next w:val="a0"/>
    <w:link w:val="2fffb"/>
    <w:uiPriority w:val="29"/>
    <w:unhideWhenUsed/>
    <w:qFormat/>
    <w:pPr>
      <w:widowControl w:val="0"/>
      <w:jc w:val="both"/>
    </w:pPr>
    <w:rPr>
      <w:rFonts w:ascii="Times New Roman" w:hAnsi="Times New Roman" w:cs="Times New Roman"/>
      <w:i/>
      <w:iCs/>
      <w:color w:val="000000"/>
      <w:kern w:val="2"/>
      <w:sz w:val="21"/>
    </w:rPr>
  </w:style>
  <w:style w:type="character" w:customStyle="1" w:styleId="2fffb">
    <w:name w:val="引用 字符2"/>
    <w:link w:val="3ffd"/>
    <w:uiPriority w:val="29"/>
    <w:qFormat/>
    <w:rPr>
      <w:rFonts w:ascii="Times New Roman" w:eastAsia="宋体" w:hAnsi="Times New Roman" w:cs="Times New Roman"/>
      <w:i/>
      <w:iCs/>
      <w:color w:val="000000"/>
      <w:szCs w:val="24"/>
    </w:rPr>
  </w:style>
  <w:style w:type="paragraph" w:customStyle="1" w:styleId="3ffe">
    <w:name w:val="修订3"/>
    <w:hidden/>
    <w:uiPriority w:val="99"/>
    <w:unhideWhenUsed/>
    <w:qFormat/>
    <w:rPr>
      <w:kern w:val="2"/>
      <w:sz w:val="21"/>
      <w:szCs w:val="24"/>
    </w:rPr>
  </w:style>
  <w:style w:type="paragraph" w:customStyle="1" w:styleId="4f7">
    <w:name w:val="修订4"/>
    <w:hidden/>
    <w:uiPriority w:val="99"/>
    <w:unhideWhenUsed/>
    <w:qFormat/>
    <w:rPr>
      <w:kern w:val="2"/>
      <w:sz w:val="21"/>
      <w:szCs w:val="24"/>
    </w:rPr>
  </w:style>
  <w:style w:type="paragraph" w:customStyle="1" w:styleId="TOC50">
    <w:name w:val="TOC 标题5"/>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4f8">
    <w:name w:val="书目4"/>
    <w:basedOn w:val="a0"/>
    <w:next w:val="a0"/>
    <w:uiPriority w:val="37"/>
    <w:unhideWhenUsed/>
    <w:qFormat/>
    <w:pPr>
      <w:widowControl w:val="0"/>
      <w:jc w:val="both"/>
    </w:pPr>
    <w:rPr>
      <w:rFonts w:ascii="Times New Roman" w:hAnsi="Times New Roman" w:cs="Times New Roman"/>
      <w:kern w:val="2"/>
      <w:sz w:val="21"/>
    </w:rPr>
  </w:style>
  <w:style w:type="paragraph" w:customStyle="1" w:styleId="TOC60">
    <w:name w:val="TOC 标题6"/>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5f5">
    <w:name w:val="书目5"/>
    <w:basedOn w:val="a0"/>
    <w:next w:val="a0"/>
    <w:uiPriority w:val="37"/>
    <w:unhideWhenUsed/>
    <w:qFormat/>
    <w:pPr>
      <w:widowControl w:val="0"/>
      <w:jc w:val="both"/>
    </w:pPr>
    <w:rPr>
      <w:rFonts w:ascii="Times New Roman" w:hAnsi="Times New Roman" w:cs="Times New Roman"/>
      <w:kern w:val="2"/>
      <w:sz w:val="21"/>
    </w:rPr>
  </w:style>
  <w:style w:type="paragraph" w:customStyle="1" w:styleId="TOC70">
    <w:name w:val="TOC 标题7"/>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6a">
    <w:name w:val="书目6"/>
    <w:basedOn w:val="a0"/>
    <w:next w:val="a0"/>
    <w:uiPriority w:val="37"/>
    <w:unhideWhenUsed/>
    <w:qFormat/>
    <w:pPr>
      <w:widowControl w:val="0"/>
      <w:jc w:val="both"/>
    </w:pPr>
    <w:rPr>
      <w:rFonts w:ascii="Times New Roman" w:hAnsi="Times New Roman" w:cs="Times New Roman"/>
      <w:kern w:val="2"/>
      <w:sz w:val="21"/>
    </w:rPr>
  </w:style>
  <w:style w:type="paragraph" w:customStyle="1" w:styleId="TOC80">
    <w:name w:val="TOC 标题8"/>
    <w:basedOn w:val="1"/>
    <w:next w:val="a0"/>
    <w:uiPriority w:val="39"/>
    <w:unhideWhenUsed/>
    <w:qFormat/>
    <w:pPr>
      <w:outlineLvl w:val="9"/>
    </w:pPr>
    <w:rPr>
      <w:rFonts w:ascii="Arial" w:eastAsia="宋体" w:hAnsi="Arial"/>
    </w:rPr>
  </w:style>
  <w:style w:type="paragraph" w:customStyle="1" w:styleId="7b">
    <w:name w:val="书目7"/>
    <w:basedOn w:val="a0"/>
    <w:next w:val="a0"/>
    <w:uiPriority w:val="37"/>
    <w:unhideWhenUsed/>
    <w:qFormat/>
    <w:pPr>
      <w:widowControl w:val="0"/>
      <w:jc w:val="both"/>
    </w:pPr>
    <w:rPr>
      <w:rFonts w:ascii="Times New Roman" w:hAnsi="Times New Roman" w:cs="Times New Roman"/>
      <w:kern w:val="2"/>
      <w:sz w:val="21"/>
    </w:rPr>
  </w:style>
  <w:style w:type="paragraph" w:customStyle="1" w:styleId="5f6">
    <w:name w:val="修订5"/>
    <w:hidden/>
    <w:uiPriority w:val="99"/>
    <w:semiHidden/>
    <w:qFormat/>
    <w:rPr>
      <w:kern w:val="2"/>
      <w:sz w:val="21"/>
      <w:szCs w:val="24"/>
    </w:rPr>
  </w:style>
  <w:style w:type="paragraph" w:customStyle="1" w:styleId="xl148">
    <w:name w:val="xl148"/>
    <w:basedOn w:val="a0"/>
    <w:qFormat/>
    <w:pPr>
      <w:pBdr>
        <w:left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49">
    <w:name w:val="xl149"/>
    <w:basedOn w:val="a0"/>
    <w:qFormat/>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50">
    <w:name w:val="xl150"/>
    <w:basedOn w:val="a0"/>
    <w:qFormat/>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rPr>
  </w:style>
  <w:style w:type="paragraph" w:customStyle="1" w:styleId="xl151">
    <w:name w:val="xl151"/>
    <w:basedOn w:val="a0"/>
    <w:qFormat/>
    <w:pPr>
      <w:pBdr>
        <w:left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rPr>
  </w:style>
  <w:style w:type="paragraph" w:customStyle="1" w:styleId="xl152">
    <w:name w:val="xl152"/>
    <w:basedOn w:val="a0"/>
    <w:qFormat/>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53">
    <w:name w:val="xl153"/>
    <w:basedOn w:val="a0"/>
    <w:qFormat/>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54">
    <w:name w:val="xl154"/>
    <w:basedOn w:val="a0"/>
    <w:qFormat/>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55">
    <w:name w:val="xl155"/>
    <w:basedOn w:val="a0"/>
    <w:qFormat/>
    <w:pPr>
      <w:pBdr>
        <w:top w:val="single" w:sz="4" w:space="0" w:color="auto"/>
        <w:bottom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56">
    <w:name w:val="xl156"/>
    <w:basedOn w:val="a0"/>
    <w:qFormat/>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57">
    <w:name w:val="xl157"/>
    <w:basedOn w:val="a0"/>
    <w:qFormat/>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58">
    <w:name w:val="xl158"/>
    <w:basedOn w:val="a0"/>
    <w:qFormat/>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59">
    <w:name w:val="xl159"/>
    <w:basedOn w:val="a0"/>
    <w:qFormat/>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60">
    <w:name w:val="xl160"/>
    <w:basedOn w:val="a0"/>
    <w:qFormat/>
    <w:pPr>
      <w:pBdr>
        <w:top w:val="single" w:sz="4" w:space="0" w:color="auto"/>
        <w:bottom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61">
    <w:name w:val="xl161"/>
    <w:basedOn w:val="a0"/>
    <w:qFormat/>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62">
    <w:name w:val="xl162"/>
    <w:basedOn w:val="a0"/>
    <w:qFormat/>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163">
    <w:name w:val="xl163"/>
    <w:basedOn w:val="a0"/>
    <w:qFormat/>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64">
    <w:name w:val="xl164"/>
    <w:basedOn w:val="a0"/>
    <w:qFormat/>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165">
    <w:name w:val="xl165"/>
    <w:basedOn w:val="a0"/>
    <w:qFormat/>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66">
    <w:name w:val="xl166"/>
    <w:basedOn w:val="a0"/>
    <w:qFormat/>
    <w:pPr>
      <w:pBdr>
        <w:top w:val="single" w:sz="4" w:space="0" w:color="auto"/>
        <w:lef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67">
    <w:name w:val="xl167"/>
    <w:basedOn w:val="a0"/>
    <w:qFormat/>
    <w:pPr>
      <w:pBdr>
        <w:top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68">
    <w:name w:val="xl168"/>
    <w:basedOn w:val="a0"/>
    <w:qFormat/>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169">
    <w:name w:val="xl169"/>
    <w:basedOn w:val="a0"/>
    <w:qFormat/>
    <w:pPr>
      <w:pBdr>
        <w:left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170">
    <w:name w:val="xl170"/>
    <w:basedOn w:val="a0"/>
    <w:qFormat/>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171">
    <w:name w:val="xl171"/>
    <w:basedOn w:val="a0"/>
    <w:qFormat/>
    <w:pPr>
      <w:pBdr>
        <w:lef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72">
    <w:name w:val="xl172"/>
    <w:basedOn w:val="a0"/>
    <w:qFormat/>
    <w:pPr>
      <w:pBdr>
        <w:righ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73">
    <w:name w:val="xl173"/>
    <w:basedOn w:val="a0"/>
    <w:qFormat/>
    <w:pPr>
      <w:pBdr>
        <w:left w:val="single" w:sz="4" w:space="0" w:color="auto"/>
        <w:bottom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74">
    <w:name w:val="xl174"/>
    <w:basedOn w:val="a0"/>
    <w:qFormat/>
    <w:pPr>
      <w:pBdr>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75">
    <w:name w:val="xl175"/>
    <w:basedOn w:val="a0"/>
    <w:qFormat/>
    <w:pPr>
      <w:pBdr>
        <w:top w:val="single" w:sz="4" w:space="0" w:color="auto"/>
        <w:left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76">
    <w:name w:val="xl176"/>
    <w:basedOn w:val="a0"/>
    <w:qFormat/>
    <w:pPr>
      <w:pBdr>
        <w:top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77">
    <w:name w:val="xl177"/>
    <w:basedOn w:val="a0"/>
    <w:qFormat/>
    <w:pPr>
      <w:pBdr>
        <w:top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78">
    <w:name w:val="xl178"/>
    <w:basedOn w:val="a0"/>
    <w:qFormat/>
    <w:pPr>
      <w:pBdr>
        <w:left w:val="single" w:sz="4" w:space="0" w:color="auto"/>
        <w:bottom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79">
    <w:name w:val="xl179"/>
    <w:basedOn w:val="a0"/>
    <w:qFormat/>
    <w:pPr>
      <w:pBdr>
        <w:bottom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80">
    <w:name w:val="xl180"/>
    <w:basedOn w:val="a0"/>
    <w:qFormat/>
    <w:pPr>
      <w:pBdr>
        <w:bottom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81">
    <w:name w:val="xl181"/>
    <w:basedOn w:val="a0"/>
    <w:qFormat/>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rPr>
  </w:style>
  <w:style w:type="paragraph" w:customStyle="1" w:styleId="xl182">
    <w:name w:val="xl182"/>
    <w:basedOn w:val="a0"/>
    <w:qFormat/>
    <w:pPr>
      <w:pBdr>
        <w:left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rPr>
  </w:style>
  <w:style w:type="paragraph" w:customStyle="1" w:styleId="xl183">
    <w:name w:val="xl183"/>
    <w:basedOn w:val="a0"/>
    <w:qFormat/>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rPr>
  </w:style>
  <w:style w:type="paragraph" w:customStyle="1" w:styleId="xl184">
    <w:name w:val="xl184"/>
    <w:basedOn w:val="a0"/>
    <w:qFormat/>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185">
    <w:name w:val="xl185"/>
    <w:basedOn w:val="a0"/>
    <w:qFormat/>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6">
    <w:name w:val="xl186"/>
    <w:basedOn w:val="a0"/>
    <w:qFormat/>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187">
    <w:name w:val="xl187"/>
    <w:basedOn w:val="a0"/>
    <w:qFormat/>
    <w:pPr>
      <w:pBdr>
        <w:top w:val="single" w:sz="4" w:space="0" w:color="auto"/>
        <w:bottom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188">
    <w:name w:val="xl188"/>
    <w:basedOn w:val="a0"/>
    <w:qFormat/>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189">
    <w:name w:val="xl189"/>
    <w:basedOn w:val="a0"/>
    <w:qFormat/>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rPr>
  </w:style>
  <w:style w:type="paragraph" w:customStyle="1" w:styleId="xl190">
    <w:name w:val="xl190"/>
    <w:basedOn w:val="a0"/>
    <w:qFormat/>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rPr>
  </w:style>
  <w:style w:type="paragraph" w:customStyle="1" w:styleId="xl191">
    <w:name w:val="xl191"/>
    <w:basedOn w:val="a0"/>
    <w:qFormat/>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rPr>
  </w:style>
  <w:style w:type="paragraph" w:customStyle="1" w:styleId="xl192">
    <w:name w:val="xl192"/>
    <w:basedOn w:val="a0"/>
    <w:qFormat/>
    <w:pPr>
      <w:pBdr>
        <w:top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rPr>
  </w:style>
  <w:style w:type="paragraph" w:customStyle="1" w:styleId="xl193">
    <w:name w:val="xl193"/>
    <w:basedOn w:val="a0"/>
    <w:qFormat/>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rPr>
  </w:style>
  <w:style w:type="paragraph" w:customStyle="1" w:styleId="xl194">
    <w:name w:val="xl194"/>
    <w:basedOn w:val="a0"/>
    <w:qFormat/>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195">
    <w:name w:val="xl195"/>
    <w:basedOn w:val="a0"/>
    <w:qFormat/>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196">
    <w:name w:val="xl196"/>
    <w:basedOn w:val="a0"/>
    <w:qFormat/>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197">
    <w:name w:val="xl197"/>
    <w:basedOn w:val="a0"/>
    <w:qFormat/>
    <w:pPr>
      <w:pBdr>
        <w:top w:val="single" w:sz="4" w:space="0" w:color="auto"/>
        <w:bottom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198">
    <w:name w:val="xl198"/>
    <w:basedOn w:val="a0"/>
    <w:qFormat/>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199">
    <w:name w:val="xl199"/>
    <w:basedOn w:val="a0"/>
    <w:qFormat/>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200">
    <w:name w:val="xl200"/>
    <w:basedOn w:val="a0"/>
    <w:qFormat/>
    <w:pPr>
      <w:pBdr>
        <w:top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201">
    <w:name w:val="xl201"/>
    <w:basedOn w:val="a0"/>
    <w:qFormat/>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202">
    <w:name w:val="xl202"/>
    <w:basedOn w:val="a0"/>
    <w:qFormat/>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rPr>
  </w:style>
  <w:style w:type="paragraph" w:customStyle="1" w:styleId="xl203">
    <w:name w:val="xl203"/>
    <w:basedOn w:val="a0"/>
    <w:qFormat/>
    <w:pPr>
      <w:pBdr>
        <w:left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rPr>
  </w:style>
  <w:style w:type="paragraph" w:customStyle="1" w:styleId="xl204">
    <w:name w:val="xl204"/>
    <w:basedOn w:val="a0"/>
    <w:qFormat/>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rPr>
  </w:style>
  <w:style w:type="paragraph" w:customStyle="1" w:styleId="xl205">
    <w:name w:val="xl205"/>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rPr>
  </w:style>
  <w:style w:type="paragraph" w:customStyle="1" w:styleId="xl206">
    <w:name w:val="xl206"/>
    <w:basedOn w:val="a0"/>
    <w:qFormat/>
    <w:pPr>
      <w:pBdr>
        <w:left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rPr>
  </w:style>
  <w:style w:type="paragraph" w:customStyle="1" w:styleId="xl207">
    <w:name w:val="xl207"/>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rPr>
  </w:style>
  <w:style w:type="paragraph" w:customStyle="1" w:styleId="xl208">
    <w:name w:val="xl208"/>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09">
    <w:name w:val="xl209"/>
    <w:basedOn w:val="a0"/>
    <w:qFormat/>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210">
    <w:name w:val="xl210"/>
    <w:basedOn w:val="a0"/>
    <w:qFormat/>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211">
    <w:name w:val="xl211"/>
    <w:basedOn w:val="a0"/>
    <w:qFormat/>
    <w:pPr>
      <w:pBdr>
        <w:top w:val="single" w:sz="4" w:space="0" w:color="auto"/>
        <w:left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2">
    <w:name w:val="xl212"/>
    <w:basedOn w:val="a0"/>
    <w:qFormat/>
    <w:pPr>
      <w:pBdr>
        <w:top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3">
    <w:name w:val="xl213"/>
    <w:basedOn w:val="a0"/>
    <w:qFormat/>
    <w:pPr>
      <w:pBdr>
        <w:top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4">
    <w:name w:val="xl214"/>
    <w:basedOn w:val="a0"/>
    <w:qFormat/>
    <w:pPr>
      <w:pBdr>
        <w:left w:val="single" w:sz="4" w:space="0" w:color="auto"/>
        <w:bottom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5">
    <w:name w:val="xl215"/>
    <w:basedOn w:val="a0"/>
    <w:qFormat/>
    <w:pPr>
      <w:pBdr>
        <w:bottom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6">
    <w:name w:val="xl216"/>
    <w:basedOn w:val="a0"/>
    <w:qFormat/>
    <w:pPr>
      <w:pBdr>
        <w:bottom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7">
    <w:name w:val="xl217"/>
    <w:basedOn w:val="a0"/>
    <w:qFormat/>
    <w:pPr>
      <w:pBdr>
        <w:top w:val="single" w:sz="4" w:space="0" w:color="auto"/>
        <w:left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18">
    <w:name w:val="xl218"/>
    <w:basedOn w:val="a0"/>
    <w:qFormat/>
    <w:pPr>
      <w:pBdr>
        <w:top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19">
    <w:name w:val="xl219"/>
    <w:basedOn w:val="a0"/>
    <w:qFormat/>
    <w:pPr>
      <w:pBdr>
        <w:top w:val="single" w:sz="4" w:space="0" w:color="auto"/>
        <w:right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20">
    <w:name w:val="xl220"/>
    <w:basedOn w:val="a0"/>
    <w:qFormat/>
    <w:pPr>
      <w:pBdr>
        <w:left w:val="single" w:sz="4" w:space="0" w:color="auto"/>
        <w:bottom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21">
    <w:name w:val="xl221"/>
    <w:basedOn w:val="a0"/>
    <w:qFormat/>
    <w:pPr>
      <w:pBdr>
        <w:bottom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22">
    <w:name w:val="xl222"/>
    <w:basedOn w:val="a0"/>
    <w:qFormat/>
    <w:pPr>
      <w:pBdr>
        <w:bottom w:val="single" w:sz="4" w:space="0" w:color="auto"/>
        <w:right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23">
    <w:name w:val="xl223"/>
    <w:basedOn w:val="a0"/>
    <w:qFormat/>
    <w:pPr>
      <w:pBdr>
        <w:left w:val="single" w:sz="4" w:space="0" w:color="auto"/>
        <w:bottom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224">
    <w:name w:val="xl224"/>
    <w:basedOn w:val="a0"/>
    <w:qFormat/>
    <w:pPr>
      <w:pBdr>
        <w:bottom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225">
    <w:name w:val="xl225"/>
    <w:basedOn w:val="a0"/>
    <w:qFormat/>
    <w:pPr>
      <w:pBdr>
        <w:top w:val="single" w:sz="4" w:space="0" w:color="auto"/>
        <w:left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226">
    <w:name w:val="xl226"/>
    <w:basedOn w:val="a0"/>
    <w:qFormat/>
    <w:pPr>
      <w:pBdr>
        <w:top w:val="single" w:sz="4" w:space="0" w:color="auto"/>
        <w:left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27">
    <w:name w:val="xl227"/>
    <w:basedOn w:val="a0"/>
    <w:qFormat/>
    <w:pPr>
      <w:pBdr>
        <w:top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28">
    <w:name w:val="xl228"/>
    <w:basedOn w:val="a0"/>
    <w:qFormat/>
    <w:pPr>
      <w:pBdr>
        <w:top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29">
    <w:name w:val="xl229"/>
    <w:basedOn w:val="a0"/>
    <w:qFormat/>
    <w:pPr>
      <w:pBdr>
        <w:left w:val="single" w:sz="4" w:space="0" w:color="auto"/>
        <w:bottom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30">
    <w:name w:val="xl230"/>
    <w:basedOn w:val="a0"/>
    <w:qFormat/>
    <w:pPr>
      <w:pBdr>
        <w:bottom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31">
    <w:name w:val="xl231"/>
    <w:basedOn w:val="a0"/>
    <w:qFormat/>
    <w:pPr>
      <w:pBdr>
        <w:bottom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32">
    <w:name w:val="xl232"/>
    <w:basedOn w:val="a0"/>
    <w:qFormat/>
    <w:pPr>
      <w:pBdr>
        <w:top w:val="single" w:sz="4" w:space="0" w:color="auto"/>
        <w:left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3">
    <w:name w:val="xl233"/>
    <w:basedOn w:val="a0"/>
    <w:qFormat/>
    <w:pPr>
      <w:pBdr>
        <w:top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4">
    <w:name w:val="xl234"/>
    <w:basedOn w:val="a0"/>
    <w:qFormat/>
    <w:pPr>
      <w:pBdr>
        <w:top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5">
    <w:name w:val="xl235"/>
    <w:basedOn w:val="a0"/>
    <w:qFormat/>
    <w:pPr>
      <w:pBdr>
        <w:left w:val="single" w:sz="4" w:space="0" w:color="auto"/>
        <w:bottom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6">
    <w:name w:val="xl236"/>
    <w:basedOn w:val="a0"/>
    <w:qFormat/>
    <w:pPr>
      <w:pBdr>
        <w:bottom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7">
    <w:name w:val="xl237"/>
    <w:basedOn w:val="a0"/>
    <w:qFormat/>
    <w:pPr>
      <w:pBdr>
        <w:bottom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8">
    <w:name w:val="xl238"/>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39">
    <w:name w:val="xl239"/>
    <w:basedOn w:val="a0"/>
    <w:qFormat/>
    <w:pPr>
      <w:pBdr>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40">
    <w:name w:val="xl240"/>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41">
    <w:name w:val="xl241"/>
    <w:basedOn w:val="a0"/>
    <w:qFormat/>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242">
    <w:name w:val="xl242"/>
    <w:basedOn w:val="a0"/>
    <w:qFormat/>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243">
    <w:name w:val="xl243"/>
    <w:basedOn w:val="a0"/>
    <w:qFormat/>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244">
    <w:name w:val="xl244"/>
    <w:basedOn w:val="a0"/>
    <w:qFormat/>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45">
    <w:name w:val="xl245"/>
    <w:basedOn w:val="a0"/>
    <w:qFormat/>
    <w:pPr>
      <w:pBdr>
        <w:top w:val="single" w:sz="4" w:space="0" w:color="auto"/>
        <w:bottom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46">
    <w:name w:val="xl246"/>
    <w:basedOn w:val="a0"/>
    <w:qFormat/>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47">
    <w:name w:val="xl247"/>
    <w:basedOn w:val="a0"/>
    <w:qFormat/>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48">
    <w:name w:val="xl248"/>
    <w:basedOn w:val="a0"/>
    <w:qFormat/>
    <w:pPr>
      <w:pBdr>
        <w:top w:val="single" w:sz="4" w:space="0" w:color="auto"/>
        <w:bottom w:val="single" w:sz="4"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49">
    <w:name w:val="xl249"/>
    <w:basedOn w:val="a0"/>
    <w:qFormat/>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50">
    <w:name w:val="xl250"/>
    <w:basedOn w:val="a0"/>
    <w:qFormat/>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51">
    <w:name w:val="xl251"/>
    <w:basedOn w:val="a0"/>
    <w:qFormat/>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0"/>
    <w:qFormat/>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53">
    <w:name w:val="xl253"/>
    <w:basedOn w:val="a0"/>
    <w:qFormat/>
    <w:pPr>
      <w:pBdr>
        <w:top w:val="single" w:sz="4" w:space="0" w:color="auto"/>
        <w:bottom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54">
    <w:name w:val="xl254"/>
    <w:basedOn w:val="a0"/>
    <w:qFormat/>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55">
    <w:name w:val="xl255"/>
    <w:basedOn w:val="a0"/>
    <w:qFormat/>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56">
    <w:name w:val="xl256"/>
    <w:basedOn w:val="a0"/>
    <w:qFormat/>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7">
    <w:name w:val="xl257"/>
    <w:basedOn w:val="a0"/>
    <w:qFormat/>
    <w:pPr>
      <w:pBdr>
        <w:top w:val="single" w:sz="4" w:space="0" w:color="auto"/>
        <w:bottom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58">
    <w:name w:val="xl258"/>
    <w:basedOn w:val="a0"/>
    <w:qFormat/>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59">
    <w:name w:val="xl259"/>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60">
    <w:name w:val="xl260"/>
    <w:basedOn w:val="a0"/>
    <w:qFormat/>
    <w:pPr>
      <w:pBdr>
        <w:left w:val="single" w:sz="4" w:space="0" w:color="auto"/>
        <w:right w:val="single" w:sz="4" w:space="0" w:color="auto"/>
      </w:pBdr>
      <w:shd w:val="clear" w:color="000000" w:fill="DAEEF3"/>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61">
    <w:name w:val="xl261"/>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62">
    <w:name w:val="xl262"/>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63">
    <w:name w:val="xl263"/>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264">
    <w:name w:val="xl264"/>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265">
    <w:name w:val="xl265"/>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66">
    <w:name w:val="xl266"/>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67">
    <w:name w:val="xl267"/>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68">
    <w:name w:val="xl268"/>
    <w:basedOn w:val="a0"/>
    <w:qFormat/>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69">
    <w:name w:val="xl269"/>
    <w:basedOn w:val="a0"/>
    <w:qFormat/>
    <w:pPr>
      <w:pBdr>
        <w:top w:val="single" w:sz="4" w:space="0" w:color="auto"/>
        <w:bottom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70">
    <w:name w:val="xl270"/>
    <w:basedOn w:val="a0"/>
    <w:qFormat/>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71">
    <w:name w:val="xl271"/>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2">
    <w:name w:val="xl272"/>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3">
    <w:name w:val="xl273"/>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4">
    <w:name w:val="xl274"/>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5">
    <w:name w:val="xl275"/>
    <w:basedOn w:val="a0"/>
    <w:qFormat/>
    <w:pPr>
      <w:pBdr>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6">
    <w:name w:val="xl276"/>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7">
    <w:name w:val="xl277"/>
    <w:basedOn w:val="a0"/>
    <w:qFormat/>
    <w:pPr>
      <w:pBdr>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8">
    <w:name w:val="xl278"/>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character" w:customStyle="1" w:styleId="nlkfqirnlfjer1dfgzxcyiuro">
    <w:name w:val="nlkfqirnlfjer1dfgzxcyiuro"/>
    <w:qFormat/>
  </w:style>
  <w:style w:type="paragraph" w:customStyle="1" w:styleId="font12">
    <w:name w:val="font12"/>
    <w:basedOn w:val="a0"/>
    <w:qFormat/>
    <w:pPr>
      <w:spacing w:before="100" w:beforeAutospacing="1" w:after="100" w:afterAutospacing="1"/>
    </w:pPr>
    <w:rPr>
      <w:color w:val="000000"/>
      <w:sz w:val="18"/>
      <w:szCs w:val="18"/>
    </w:rPr>
  </w:style>
  <w:style w:type="paragraph" w:customStyle="1" w:styleId="font13">
    <w:name w:val="font13"/>
    <w:basedOn w:val="a0"/>
    <w:qFormat/>
    <w:pPr>
      <w:spacing w:before="100" w:beforeAutospacing="1" w:after="100" w:afterAutospacing="1"/>
    </w:pPr>
    <w:rPr>
      <w:rFonts w:ascii="等线" w:hAnsi="等线"/>
      <w:sz w:val="18"/>
      <w:szCs w:val="18"/>
    </w:rPr>
  </w:style>
  <w:style w:type="paragraph" w:customStyle="1" w:styleId="font14">
    <w:name w:val="font14"/>
    <w:basedOn w:val="a0"/>
    <w:qFormat/>
    <w:pPr>
      <w:spacing w:before="100" w:beforeAutospacing="1" w:after="100" w:afterAutospacing="1"/>
    </w:pPr>
    <w:rPr>
      <w:rFonts w:ascii="楷体_GB2312" w:eastAsia="楷体_GB2312"/>
      <w:b/>
      <w:bCs/>
    </w:rPr>
  </w:style>
  <w:style w:type="paragraph" w:customStyle="1" w:styleId="font15">
    <w:name w:val="font15"/>
    <w:basedOn w:val="a0"/>
    <w:qFormat/>
    <w:pPr>
      <w:spacing w:before="100" w:beforeAutospacing="1" w:after="100" w:afterAutospacing="1"/>
    </w:pPr>
    <w:rPr>
      <w:rFonts w:ascii="楷体_GB2312" w:eastAsia="楷体_GB2312"/>
      <w:sz w:val="22"/>
      <w:szCs w:val="22"/>
    </w:rPr>
  </w:style>
  <w:style w:type="paragraph" w:customStyle="1" w:styleId="font16">
    <w:name w:val="font16"/>
    <w:basedOn w:val="a0"/>
    <w:qFormat/>
    <w:pPr>
      <w:spacing w:before="100" w:beforeAutospacing="1" w:after="100" w:afterAutospacing="1"/>
    </w:pPr>
    <w:rPr>
      <w:rFonts w:ascii="楷体_GB2312" w:eastAsia="楷体_GB2312"/>
      <w:color w:val="000000"/>
      <w:sz w:val="22"/>
      <w:szCs w:val="22"/>
    </w:rPr>
  </w:style>
  <w:style w:type="paragraph" w:customStyle="1" w:styleId="font17">
    <w:name w:val="font17"/>
    <w:basedOn w:val="a0"/>
    <w:qFormat/>
    <w:pPr>
      <w:spacing w:before="100" w:beforeAutospacing="1" w:after="100" w:afterAutospacing="1"/>
    </w:pPr>
    <w:rPr>
      <w:rFonts w:ascii="楷体_GB2312" w:eastAsia="楷体_GB2312"/>
      <w:b/>
      <w:bCs/>
      <w:sz w:val="22"/>
      <w:szCs w:val="22"/>
    </w:rPr>
  </w:style>
  <w:style w:type="paragraph" w:customStyle="1" w:styleId="font18">
    <w:name w:val="font18"/>
    <w:basedOn w:val="a0"/>
    <w:qFormat/>
    <w:pPr>
      <w:spacing w:before="100" w:beforeAutospacing="1" w:after="100" w:afterAutospacing="1"/>
    </w:pPr>
    <w:rPr>
      <w:rFonts w:ascii="楷体_GB2312" w:eastAsia="楷体_GB2312"/>
      <w:b/>
      <w:bCs/>
      <w:sz w:val="22"/>
      <w:szCs w:val="22"/>
      <w:u w:val="single"/>
    </w:rPr>
  </w:style>
  <w:style w:type="paragraph" w:customStyle="1" w:styleId="font19">
    <w:name w:val="font19"/>
    <w:basedOn w:val="a0"/>
    <w:qFormat/>
    <w:pPr>
      <w:spacing w:before="100" w:beforeAutospacing="1" w:after="100" w:afterAutospacing="1"/>
    </w:pPr>
    <w:rPr>
      <w:rFonts w:ascii="楷体_GB2312" w:eastAsia="楷体_GB2312"/>
    </w:rPr>
  </w:style>
  <w:style w:type="paragraph" w:customStyle="1" w:styleId="font20">
    <w:name w:val="font20"/>
    <w:basedOn w:val="a0"/>
    <w:qFormat/>
    <w:pPr>
      <w:spacing w:before="100" w:beforeAutospacing="1" w:after="100" w:afterAutospacing="1"/>
    </w:pPr>
    <w:rPr>
      <w:rFonts w:ascii="Arial" w:hAnsi="Arial" w:cs="Arial"/>
      <w:b/>
      <w:bCs/>
    </w:rPr>
  </w:style>
  <w:style w:type="paragraph" w:customStyle="1" w:styleId="font22">
    <w:name w:val="font22"/>
    <w:basedOn w:val="a0"/>
    <w:qFormat/>
    <w:pPr>
      <w:spacing w:before="100" w:beforeAutospacing="1" w:after="100" w:afterAutospacing="1"/>
    </w:pPr>
    <w:rPr>
      <w:rFonts w:ascii="Arial" w:hAnsi="Arial" w:cs="Arial"/>
      <w:color w:val="000000"/>
      <w:sz w:val="22"/>
      <w:szCs w:val="22"/>
    </w:rPr>
  </w:style>
  <w:style w:type="paragraph" w:customStyle="1" w:styleId="font23">
    <w:name w:val="font23"/>
    <w:basedOn w:val="a0"/>
    <w:qFormat/>
    <w:pPr>
      <w:spacing w:before="100" w:beforeAutospacing="1" w:after="100" w:afterAutospacing="1"/>
    </w:pPr>
    <w:rPr>
      <w:rFonts w:ascii="Arial" w:hAnsi="Arial" w:cs="Arial"/>
    </w:rPr>
  </w:style>
  <w:style w:type="character" w:customStyle="1" w:styleId="2fffc">
    <w:name w:val="书籍标题2"/>
    <w:uiPriority w:val="33"/>
    <w:qFormat/>
    <w:rPr>
      <w:b/>
      <w:bCs/>
      <w:smallCaps/>
      <w:spacing w:val="5"/>
    </w:rPr>
  </w:style>
  <w:style w:type="paragraph" w:customStyle="1" w:styleId="afffffffffffb">
    <w:name w:val="表内"/>
    <w:qFormat/>
    <w:pPr>
      <w:keepLines/>
      <w:contextualSpacing/>
    </w:pPr>
    <w:rPr>
      <w:bCs/>
      <w:kern w:val="2"/>
      <w:sz w:val="21"/>
      <w:szCs w:val="21"/>
    </w:rPr>
  </w:style>
  <w:style w:type="paragraph" w:customStyle="1" w:styleId="font24">
    <w:name w:val="font24"/>
    <w:basedOn w:val="a0"/>
    <w:qFormat/>
    <w:pPr>
      <w:spacing w:before="100" w:beforeAutospacing="1" w:after="100" w:afterAutospacing="1"/>
    </w:pPr>
    <w:rPr>
      <w:b/>
      <w:bCs/>
    </w:rPr>
  </w:style>
  <w:style w:type="paragraph" w:customStyle="1" w:styleId="font25">
    <w:name w:val="font25"/>
    <w:basedOn w:val="a0"/>
    <w:qFormat/>
    <w:pPr>
      <w:spacing w:before="100" w:beforeAutospacing="1" w:after="100" w:afterAutospacing="1"/>
    </w:pPr>
    <w:rPr>
      <w:sz w:val="22"/>
      <w:szCs w:val="22"/>
    </w:rPr>
  </w:style>
  <w:style w:type="paragraph" w:customStyle="1" w:styleId="font26">
    <w:name w:val="font26"/>
    <w:basedOn w:val="a0"/>
    <w:qFormat/>
    <w:pPr>
      <w:spacing w:before="100" w:beforeAutospacing="1" w:after="100" w:afterAutospacing="1"/>
    </w:pPr>
    <w:rPr>
      <w:rFonts w:ascii="楷体_GB2312" w:eastAsia="楷体_GB2312"/>
      <w:sz w:val="22"/>
      <w:szCs w:val="22"/>
    </w:rPr>
  </w:style>
  <w:style w:type="paragraph" w:customStyle="1" w:styleId="afffffffffffc">
    <w:name w:val="表格数字"/>
    <w:basedOn w:val="a0"/>
    <w:link w:val="Charfff4"/>
    <w:uiPriority w:val="6"/>
    <w:qFormat/>
    <w:pPr>
      <w:jc w:val="right"/>
    </w:pPr>
    <w:rPr>
      <w:rFonts w:ascii="Times New Roman" w:hAnsi="Times New Roman" w:cs="Arial"/>
      <w:kern w:val="2"/>
      <w:sz w:val="21"/>
      <w:szCs w:val="21"/>
    </w:rPr>
  </w:style>
  <w:style w:type="character" w:customStyle="1" w:styleId="Charfff4">
    <w:name w:val="表格数字 Char"/>
    <w:link w:val="afffffffffffc"/>
    <w:uiPriority w:val="6"/>
    <w:qFormat/>
    <w:rPr>
      <w:rFonts w:ascii="Times New Roman" w:eastAsia="宋体" w:hAnsi="Times New Roman" w:cs="Arial"/>
      <w:szCs w:val="21"/>
    </w:rPr>
  </w:style>
  <w:style w:type="paragraph" w:customStyle="1" w:styleId="p15">
    <w:name w:val="p15"/>
    <w:basedOn w:val="a0"/>
    <w:qFormat/>
    <w:pPr>
      <w:spacing w:line="240" w:lineRule="atLeast"/>
      <w:jc w:val="both"/>
    </w:pPr>
    <w:rPr>
      <w:rFonts w:ascii="Times New Roman" w:eastAsia="等线" w:hAnsi="Times New Roman" w:cs="Times New Roman"/>
      <w:sz w:val="32"/>
      <w:szCs w:val="22"/>
    </w:rPr>
  </w:style>
  <w:style w:type="paragraph" w:customStyle="1" w:styleId="4f9">
    <w:name w:val="明显引用4"/>
    <w:basedOn w:val="a0"/>
    <w:next w:val="a0"/>
    <w:uiPriority w:val="30"/>
    <w:unhideWhenUsed/>
    <w:qFormat/>
    <w:pPr>
      <w:widowControl w:val="0"/>
      <w:pBdr>
        <w:bottom w:val="single" w:sz="4" w:space="4" w:color="5B9BD5"/>
      </w:pBdr>
      <w:spacing w:before="200" w:after="280"/>
      <w:ind w:left="936" w:right="936"/>
      <w:jc w:val="both"/>
    </w:pPr>
    <w:rPr>
      <w:rFonts w:ascii="Times New Roman" w:hAnsi="Times New Roman" w:cs="Times New Roman"/>
      <w:b/>
      <w:bCs/>
      <w:i/>
      <w:iCs/>
      <w:color w:val="5B9BD5"/>
      <w:kern w:val="2"/>
      <w:sz w:val="21"/>
    </w:rPr>
  </w:style>
  <w:style w:type="character" w:customStyle="1" w:styleId="3fff">
    <w:name w:val="明显引用 字符3"/>
    <w:uiPriority w:val="99"/>
    <w:qFormat/>
    <w:rPr>
      <w:rFonts w:ascii="等线" w:eastAsia="等线" w:hAnsi="等线" w:cs="Times New Roman"/>
      <w:i/>
      <w:iCs/>
      <w:color w:val="5B9BD5"/>
      <w:kern w:val="2"/>
      <w:sz w:val="21"/>
      <w:szCs w:val="22"/>
    </w:rPr>
  </w:style>
  <w:style w:type="paragraph" w:customStyle="1" w:styleId="4fa">
    <w:name w:val="无间隔4"/>
    <w:uiPriority w:val="1"/>
    <w:unhideWhenUsed/>
    <w:qFormat/>
    <w:pPr>
      <w:widowControl w:val="0"/>
      <w:jc w:val="both"/>
    </w:pPr>
    <w:rPr>
      <w:kern w:val="2"/>
      <w:sz w:val="21"/>
      <w:szCs w:val="24"/>
    </w:rPr>
  </w:style>
  <w:style w:type="paragraph" w:customStyle="1" w:styleId="4fb">
    <w:name w:val="引用4"/>
    <w:basedOn w:val="a0"/>
    <w:next w:val="a0"/>
    <w:uiPriority w:val="29"/>
    <w:unhideWhenUsed/>
    <w:qFormat/>
    <w:pPr>
      <w:widowControl w:val="0"/>
      <w:jc w:val="both"/>
    </w:pPr>
    <w:rPr>
      <w:rFonts w:ascii="Times New Roman" w:hAnsi="Times New Roman" w:cs="Times New Roman"/>
      <w:i/>
      <w:iCs/>
      <w:color w:val="000000"/>
      <w:kern w:val="2"/>
      <w:sz w:val="21"/>
    </w:rPr>
  </w:style>
  <w:style w:type="character" w:customStyle="1" w:styleId="3fff0">
    <w:name w:val="引用 字符3"/>
    <w:uiPriority w:val="99"/>
    <w:qFormat/>
    <w:rPr>
      <w:rFonts w:ascii="等线" w:eastAsia="等线" w:hAnsi="等线" w:cs="Times New Roman"/>
      <w:i/>
      <w:iCs/>
      <w:color w:val="404040"/>
      <w:kern w:val="2"/>
      <w:sz w:val="21"/>
      <w:szCs w:val="22"/>
    </w:rPr>
  </w:style>
  <w:style w:type="paragraph" w:customStyle="1" w:styleId="TOC90">
    <w:name w:val="TOC 标题9"/>
    <w:basedOn w:val="1"/>
    <w:next w:val="a0"/>
    <w:uiPriority w:val="39"/>
    <w:unhideWhenUsed/>
    <w:qFormat/>
    <w:pPr>
      <w:outlineLvl w:val="9"/>
    </w:pPr>
    <w:rPr>
      <w:rFonts w:ascii="Arial" w:eastAsia="宋体" w:hAnsi="Arial"/>
    </w:rPr>
  </w:style>
  <w:style w:type="paragraph" w:customStyle="1" w:styleId="88">
    <w:name w:val="书目8"/>
    <w:basedOn w:val="a0"/>
    <w:next w:val="a0"/>
    <w:uiPriority w:val="37"/>
    <w:unhideWhenUsed/>
    <w:qFormat/>
    <w:pPr>
      <w:widowControl w:val="0"/>
      <w:jc w:val="both"/>
    </w:pPr>
    <w:rPr>
      <w:rFonts w:ascii="Times New Roman" w:hAnsi="Times New Roman" w:cs="Times New Roman"/>
      <w:kern w:val="2"/>
      <w:sz w:val="21"/>
    </w:rPr>
  </w:style>
  <w:style w:type="paragraph" w:customStyle="1" w:styleId="6b">
    <w:name w:val="修订6"/>
    <w:hidden/>
    <w:uiPriority w:val="99"/>
    <w:semiHidden/>
    <w:qFormat/>
    <w:rPr>
      <w:kern w:val="2"/>
      <w:sz w:val="21"/>
      <w:szCs w:val="24"/>
    </w:rPr>
  </w:style>
  <w:style w:type="character" w:customStyle="1" w:styleId="3fff1">
    <w:name w:val="书籍标题3"/>
    <w:uiPriority w:val="33"/>
    <w:qFormat/>
    <w:rPr>
      <w:b/>
      <w:bCs/>
      <w:smallCaps/>
      <w:spacing w:val="5"/>
    </w:rPr>
  </w:style>
  <w:style w:type="paragraph" w:customStyle="1" w:styleId="4fc">
    <w:name w:val="列出段落4"/>
    <w:basedOn w:val="a0"/>
    <w:uiPriority w:val="34"/>
    <w:qFormat/>
    <w:pPr>
      <w:widowControl w:val="0"/>
      <w:ind w:firstLineChars="200" w:firstLine="420"/>
      <w:jc w:val="both"/>
    </w:pPr>
    <w:rPr>
      <w:rFonts w:ascii="等线" w:eastAsia="等线" w:hAnsi="等线" w:cs="Times New Roman"/>
      <w:kern w:val="2"/>
      <w:sz w:val="21"/>
      <w:szCs w:val="22"/>
    </w:rPr>
  </w:style>
  <w:style w:type="table" w:customStyle="1" w:styleId="390">
    <w:name w:val="网格型39"/>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网格型40"/>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4">
    <w:name w:val="正文文本 3 Char"/>
    <w:qFormat/>
    <w:rPr>
      <w:rFonts w:ascii="Times New Roman" w:hAnsi="Times New Roman"/>
      <w:sz w:val="16"/>
    </w:rPr>
  </w:style>
  <w:style w:type="character" w:customStyle="1" w:styleId="Charfff5">
    <w:name w:val="签名 Char"/>
    <w:qFormat/>
    <w:rPr>
      <w:rFonts w:ascii="Times New Roman" w:hAnsi="Times New Roman"/>
      <w:kern w:val="2"/>
      <w:sz w:val="21"/>
      <w:szCs w:val="24"/>
    </w:rPr>
  </w:style>
  <w:style w:type="character" w:customStyle="1" w:styleId="3Char5">
    <w:name w:val="正文文本缩进 3 Char"/>
    <w:uiPriority w:val="99"/>
    <w:qFormat/>
    <w:rPr>
      <w:rFonts w:ascii="宋体" w:hAnsi="Times New Roman"/>
      <w:b/>
      <w:kern w:val="2"/>
      <w:sz w:val="32"/>
    </w:rPr>
  </w:style>
  <w:style w:type="character" w:customStyle="1" w:styleId="Charfff6">
    <w:name w:val="标题 Char"/>
    <w:qFormat/>
    <w:rPr>
      <w:rFonts w:ascii="Arial" w:hAnsi="Arial" w:cs="Arial"/>
      <w:b/>
      <w:bCs/>
      <w:kern w:val="2"/>
      <w:sz w:val="32"/>
      <w:szCs w:val="32"/>
      <w:shd w:val="clear" w:color="auto" w:fill="000080"/>
    </w:rPr>
  </w:style>
  <w:style w:type="character" w:customStyle="1" w:styleId="Charfff7">
    <w:name w:val="列表项目符号 Char"/>
    <w:qFormat/>
    <w:rPr>
      <w:rFonts w:ascii="Times New Roman" w:hAnsi="Times New Roman"/>
      <w:kern w:val="2"/>
      <w:sz w:val="21"/>
      <w:szCs w:val="24"/>
    </w:rPr>
  </w:style>
  <w:style w:type="character" w:customStyle="1" w:styleId="Charfff8">
    <w:name w:val="正文缩进 Char"/>
    <w:uiPriority w:val="5"/>
    <w:qFormat/>
    <w:rPr>
      <w:rFonts w:ascii="Times New Roman" w:eastAsia="仿宋_GB2312" w:hAnsi="Times New Roman"/>
      <w:kern w:val="2"/>
      <w:sz w:val="24"/>
    </w:rPr>
  </w:style>
  <w:style w:type="character" w:customStyle="1" w:styleId="Charfff9">
    <w:name w:val="宏文本 Char"/>
    <w:semiHidden/>
    <w:qFormat/>
    <w:rPr>
      <w:rFonts w:ascii="Courier New" w:hAnsi="Courier New" w:cs="Courier New"/>
      <w:color w:val="333333"/>
      <w:lang w:eastAsia="en-US"/>
    </w:rPr>
  </w:style>
  <w:style w:type="character" w:customStyle="1" w:styleId="Charfffa">
    <w:name w:val="注释标题 Char"/>
    <w:qFormat/>
    <w:rPr>
      <w:rFonts w:ascii="Times New Roman" w:hAnsi="Times New Roman"/>
      <w:kern w:val="2"/>
      <w:sz w:val="21"/>
      <w:szCs w:val="24"/>
    </w:rPr>
  </w:style>
  <w:style w:type="character" w:customStyle="1" w:styleId="Charfffb">
    <w:name w:val="电子邮件签名 Char"/>
    <w:qFormat/>
    <w:rPr>
      <w:rFonts w:ascii="Times New Roman" w:hAnsi="Times New Roman"/>
      <w:kern w:val="2"/>
      <w:sz w:val="21"/>
      <w:szCs w:val="24"/>
    </w:rPr>
  </w:style>
  <w:style w:type="character" w:customStyle="1" w:styleId="Charfffc">
    <w:name w:val="称呼 Char"/>
    <w:semiHidden/>
    <w:qFormat/>
    <w:rPr>
      <w:rFonts w:ascii="Times New Roman" w:hAnsi="Times New Roman"/>
      <w:kern w:val="2"/>
      <w:sz w:val="21"/>
      <w:szCs w:val="24"/>
    </w:rPr>
  </w:style>
  <w:style w:type="character" w:customStyle="1" w:styleId="Charfffd">
    <w:name w:val="结束语 Char"/>
    <w:qFormat/>
    <w:rPr>
      <w:rFonts w:ascii="Times New Roman" w:hAnsi="Times New Roman"/>
      <w:kern w:val="2"/>
      <w:sz w:val="21"/>
      <w:szCs w:val="24"/>
    </w:rPr>
  </w:style>
  <w:style w:type="character" w:customStyle="1" w:styleId="HTMLChar0">
    <w:name w:val="HTML 地址 Char"/>
    <w:qFormat/>
    <w:rPr>
      <w:rFonts w:ascii="Times New Roman" w:hAnsi="Times New Roman"/>
      <w:i/>
      <w:iCs/>
      <w:kern w:val="2"/>
      <w:sz w:val="21"/>
      <w:szCs w:val="24"/>
    </w:rPr>
  </w:style>
  <w:style w:type="paragraph" w:customStyle="1" w:styleId="96">
    <w:name w:val="9"/>
    <w:basedOn w:val="a0"/>
    <w:link w:val="2Char8"/>
    <w:qFormat/>
    <w:pPr>
      <w:widowControl w:val="0"/>
      <w:jc w:val="both"/>
    </w:pPr>
    <w:rPr>
      <w:rFonts w:ascii="Times New Roman" w:eastAsia="等线" w:hAnsi="Times New Roman" w:cs="Times New Roman"/>
      <w:kern w:val="2"/>
      <w:sz w:val="21"/>
      <w:szCs w:val="21"/>
    </w:rPr>
  </w:style>
  <w:style w:type="character" w:customStyle="1" w:styleId="2Char8">
    <w:name w:val="正文首行缩进 2 Char"/>
    <w:link w:val="96"/>
    <w:qFormat/>
    <w:rPr>
      <w:rFonts w:ascii="Times New Roman" w:eastAsia="等线" w:hAnsi="Times New Roman" w:cs="Times New Roman"/>
      <w:szCs w:val="21"/>
    </w:rPr>
  </w:style>
  <w:style w:type="character" w:customStyle="1" w:styleId="Charfffe">
    <w:name w:val="信息标题 Char"/>
    <w:qFormat/>
    <w:rPr>
      <w:rFonts w:ascii="Times New Roman" w:hAnsi="Times New Roman" w:cs="Arial"/>
      <w:kern w:val="2"/>
      <w:sz w:val="24"/>
      <w:szCs w:val="24"/>
      <w:shd w:val="pct20" w:color="auto" w:fill="auto"/>
    </w:rPr>
  </w:style>
  <w:style w:type="table" w:customStyle="1" w:styleId="470">
    <w:name w:val="网格型47"/>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尾注文本 字符2"/>
    <w:uiPriority w:val="99"/>
    <w:qFormat/>
    <w:rPr>
      <w:rFonts w:ascii="等线" w:eastAsia="等线" w:hAnsi="等线" w:cs="Times New Roman"/>
      <w:szCs w:val="21"/>
    </w:rPr>
  </w:style>
  <w:style w:type="character" w:customStyle="1" w:styleId="1ffff">
    <w:name w:val="列表段落 字符1"/>
    <w:uiPriority w:val="34"/>
    <w:qFormat/>
    <w:rPr>
      <w:rFonts w:ascii="等线" w:eastAsia="等线" w:hAnsi="等线" w:cs="Times New Roman"/>
      <w:szCs w:val="21"/>
    </w:rPr>
  </w:style>
  <w:style w:type="character" w:customStyle="1" w:styleId="2fffe">
    <w:name w:val="正文文本首行缩进 字符2"/>
    <w:uiPriority w:val="99"/>
    <w:qFormat/>
  </w:style>
  <w:style w:type="character" w:customStyle="1" w:styleId="2ffff">
    <w:name w:val="页眉 字符2"/>
    <w:uiPriority w:val="99"/>
    <w:qFormat/>
    <w:rPr>
      <w:sz w:val="18"/>
      <w:szCs w:val="18"/>
    </w:rPr>
  </w:style>
  <w:style w:type="character" w:customStyle="1" w:styleId="2ffff0">
    <w:name w:val="页脚 字符2"/>
    <w:uiPriority w:val="99"/>
    <w:qFormat/>
    <w:rPr>
      <w:sz w:val="18"/>
      <w:szCs w:val="18"/>
    </w:rPr>
  </w:style>
  <w:style w:type="character" w:customStyle="1" w:styleId="21f4">
    <w:name w:val="正文文本首行缩进 2 字符1"/>
    <w:uiPriority w:val="99"/>
    <w:semiHidden/>
    <w:qFormat/>
    <w:rPr>
      <w:rFonts w:ascii="等线" w:eastAsia="等线" w:hAnsi="等线" w:cs="Times New Roman"/>
      <w:szCs w:val="21"/>
      <w:lang w:val="zh-CN" w:eastAsia="zh-CN"/>
    </w:rPr>
  </w:style>
  <w:style w:type="character" w:customStyle="1" w:styleId="1ffff0">
    <w:name w:val="批注文字 字符1"/>
    <w:uiPriority w:val="99"/>
    <w:qFormat/>
    <w:rPr>
      <w:rFonts w:ascii="Times New Roman" w:eastAsia="等线" w:hAnsi="Times New Roman"/>
      <w:kern w:val="2"/>
      <w:sz w:val="21"/>
      <w:szCs w:val="24"/>
    </w:rPr>
  </w:style>
  <w:style w:type="table" w:customStyle="1" w:styleId="480">
    <w:name w:val="网格型48"/>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f2">
    <w:name w:val="正文文本首行缩进 字符3"/>
    <w:uiPriority w:val="99"/>
    <w:qFormat/>
    <w:rPr>
      <w:rFonts w:ascii="Calibri" w:eastAsia="等线" w:hAnsi="Calibri" w:cs="Times New Roman"/>
      <w:sz w:val="21"/>
      <w:szCs w:val="22"/>
    </w:rPr>
  </w:style>
  <w:style w:type="character" w:customStyle="1" w:styleId="3fff3">
    <w:name w:val="尾注文本 字符3"/>
    <w:uiPriority w:val="99"/>
    <w:qFormat/>
    <w:rPr>
      <w:rFonts w:ascii="等线" w:eastAsia="等线" w:hAnsi="等线" w:cs="Times New Roman"/>
      <w:sz w:val="21"/>
      <w:szCs w:val="21"/>
    </w:rPr>
  </w:style>
  <w:style w:type="character" w:customStyle="1" w:styleId="2ffff1">
    <w:name w:val="列表段落 字符2"/>
    <w:uiPriority w:val="34"/>
    <w:qFormat/>
    <w:rPr>
      <w:rFonts w:ascii="等线" w:eastAsia="等线" w:hAnsi="等线" w:cs="Times New Roman"/>
      <w:sz w:val="21"/>
      <w:szCs w:val="21"/>
    </w:rPr>
  </w:style>
  <w:style w:type="character" w:customStyle="1" w:styleId="22c">
    <w:name w:val="正文文本首行缩进 2 字符2"/>
    <w:uiPriority w:val="99"/>
    <w:semiHidden/>
    <w:qFormat/>
    <w:rPr>
      <w:rFonts w:ascii="等线" w:eastAsia="等线" w:hAnsi="等线" w:cs="Times New Roman"/>
      <w:sz w:val="21"/>
      <w:szCs w:val="21"/>
      <w:lang w:val="zh-CN" w:eastAsia="zh-CN"/>
    </w:rPr>
  </w:style>
  <w:style w:type="character" w:customStyle="1" w:styleId="Char22">
    <w:name w:val="日期 Char2"/>
    <w:qFormat/>
    <w:rPr>
      <w:rFonts w:ascii="等线" w:eastAsia="等线" w:hAnsi="等线" w:cs="Times New Roman"/>
      <w:szCs w:val="21"/>
    </w:rPr>
  </w:style>
  <w:style w:type="character" w:customStyle="1" w:styleId="2Char20">
    <w:name w:val="标题 2 Char2"/>
    <w:uiPriority w:val="9"/>
    <w:qFormat/>
    <w:rPr>
      <w:rFonts w:ascii="等线 Light" w:eastAsia="等线 Light" w:hAnsi="等线 Light" w:cs="Times New Roman"/>
      <w:b/>
      <w:bCs/>
      <w:sz w:val="32"/>
      <w:szCs w:val="32"/>
    </w:rPr>
  </w:style>
  <w:style w:type="character" w:customStyle="1" w:styleId="1Char30">
    <w:name w:val="标题 1 Char3"/>
    <w:uiPriority w:val="9"/>
    <w:qFormat/>
    <w:rPr>
      <w:rFonts w:ascii="等线" w:eastAsia="等线" w:hAnsi="等线" w:cs="Times New Roman"/>
      <w:b/>
      <w:bCs/>
      <w:kern w:val="44"/>
      <w:sz w:val="44"/>
      <w:szCs w:val="44"/>
    </w:rPr>
  </w:style>
  <w:style w:type="character" w:customStyle="1" w:styleId="3Char20">
    <w:name w:val="标题 3 Char2"/>
    <w:uiPriority w:val="9"/>
    <w:qFormat/>
    <w:rPr>
      <w:rFonts w:ascii="等线" w:eastAsia="等线" w:hAnsi="等线" w:cs="Times New Roman"/>
      <w:b/>
      <w:bCs/>
      <w:sz w:val="32"/>
      <w:szCs w:val="32"/>
    </w:rPr>
  </w:style>
  <w:style w:type="character" w:customStyle="1" w:styleId="4Char10">
    <w:name w:val="标题 4 Char1"/>
    <w:uiPriority w:val="9"/>
    <w:qFormat/>
    <w:rPr>
      <w:rFonts w:ascii="等线 Light" w:eastAsia="等线 Light" w:hAnsi="等线 Light" w:cs="Times New Roman"/>
      <w:b/>
      <w:bCs/>
      <w:sz w:val="28"/>
      <w:szCs w:val="28"/>
    </w:rPr>
  </w:style>
  <w:style w:type="character" w:customStyle="1" w:styleId="5Char2">
    <w:name w:val="标题 5 Char2"/>
    <w:uiPriority w:val="9"/>
    <w:qFormat/>
    <w:rPr>
      <w:rFonts w:ascii="等线" w:eastAsia="等线" w:hAnsi="等线" w:cs="Times New Roman"/>
      <w:b/>
      <w:bCs/>
      <w:sz w:val="28"/>
      <w:szCs w:val="28"/>
    </w:rPr>
  </w:style>
  <w:style w:type="character" w:customStyle="1" w:styleId="6Char2">
    <w:name w:val="标题 6 Char2"/>
    <w:uiPriority w:val="9"/>
    <w:qFormat/>
    <w:rPr>
      <w:rFonts w:ascii="等线 Light" w:eastAsia="等线 Light" w:hAnsi="等线 Light" w:cs="Times New Roman"/>
      <w:b/>
      <w:bCs/>
      <w:sz w:val="24"/>
      <w:szCs w:val="24"/>
    </w:rPr>
  </w:style>
  <w:style w:type="character" w:customStyle="1" w:styleId="7Char20">
    <w:name w:val="标题 7 Char2"/>
    <w:uiPriority w:val="9"/>
    <w:qFormat/>
    <w:rPr>
      <w:rFonts w:ascii="等线" w:eastAsia="等线" w:hAnsi="等线" w:cs="Times New Roman"/>
      <w:b/>
      <w:bCs/>
      <w:sz w:val="24"/>
      <w:szCs w:val="24"/>
    </w:rPr>
  </w:style>
  <w:style w:type="character" w:customStyle="1" w:styleId="8Char2">
    <w:name w:val="标题 8 Char2"/>
    <w:uiPriority w:val="9"/>
    <w:qFormat/>
    <w:rPr>
      <w:rFonts w:ascii="等线 Light" w:eastAsia="等线 Light" w:hAnsi="等线 Light" w:cs="Times New Roman"/>
      <w:sz w:val="24"/>
      <w:szCs w:val="24"/>
    </w:rPr>
  </w:style>
  <w:style w:type="character" w:customStyle="1" w:styleId="9Char2">
    <w:name w:val="标题 9 Char2"/>
    <w:uiPriority w:val="9"/>
    <w:qFormat/>
    <w:rPr>
      <w:rFonts w:ascii="等线 Light" w:eastAsia="等线 Light" w:hAnsi="等线 Light" w:cs="Times New Roman"/>
      <w:szCs w:val="21"/>
    </w:rPr>
  </w:style>
  <w:style w:type="character" w:customStyle="1" w:styleId="Char23">
    <w:name w:val="纯文本 Char2"/>
    <w:qFormat/>
    <w:rPr>
      <w:rFonts w:ascii="宋体" w:eastAsia="等线" w:hAnsi="Courier New" w:cs="Times New Roman"/>
      <w:szCs w:val="21"/>
      <w:lang w:val="zh-CN" w:eastAsia="zh-CN"/>
    </w:rPr>
  </w:style>
  <w:style w:type="character" w:customStyle="1" w:styleId="Char24">
    <w:name w:val="批注框文本 Char2"/>
    <w:uiPriority w:val="99"/>
    <w:qFormat/>
    <w:rPr>
      <w:rFonts w:ascii="Times New Roman" w:eastAsia="等线" w:hAnsi="Times New Roman" w:cs="Times New Roman"/>
      <w:sz w:val="18"/>
      <w:szCs w:val="18"/>
      <w:lang w:val="zh-CN" w:eastAsia="zh-CN"/>
    </w:rPr>
  </w:style>
  <w:style w:type="character" w:customStyle="1" w:styleId="Char25">
    <w:name w:val="批注文字 Char2"/>
    <w:uiPriority w:val="99"/>
    <w:qFormat/>
    <w:rPr>
      <w:rFonts w:ascii="Times New Roman" w:eastAsia="等线" w:hAnsi="Times New Roman" w:cs="Times New Roman"/>
      <w:szCs w:val="24"/>
      <w:lang w:val="zh-CN" w:eastAsia="zh-CN"/>
    </w:rPr>
  </w:style>
  <w:style w:type="character" w:customStyle="1" w:styleId="Char26">
    <w:name w:val="文档结构图 Char2"/>
    <w:qFormat/>
    <w:rPr>
      <w:rFonts w:ascii="Times New Roman" w:eastAsia="等线" w:hAnsi="Times New Roman" w:cs="Times New Roman"/>
      <w:szCs w:val="24"/>
      <w:shd w:val="clear" w:color="auto" w:fill="000080"/>
      <w:lang w:val="zh-CN" w:eastAsia="zh-CN"/>
    </w:rPr>
  </w:style>
  <w:style w:type="character" w:customStyle="1" w:styleId="Char27">
    <w:name w:val="批注主题 Char2"/>
    <w:qFormat/>
    <w:rPr>
      <w:rFonts w:ascii="Times New Roman" w:eastAsia="等线" w:hAnsi="Times New Roman" w:cs="Times New Roman"/>
      <w:b/>
      <w:bCs/>
      <w:szCs w:val="24"/>
      <w:lang w:val="zh-CN" w:eastAsia="zh-CN"/>
    </w:rPr>
  </w:style>
  <w:style w:type="character" w:customStyle="1" w:styleId="Char28">
    <w:name w:val="正文文本 Char2"/>
    <w:qFormat/>
    <w:rPr>
      <w:rFonts w:ascii="Times New Roman" w:eastAsia="等线" w:hAnsi="Times New Roman" w:cs="Times New Roman"/>
      <w:szCs w:val="24"/>
      <w:lang w:val="zh-CN" w:eastAsia="zh-CN"/>
    </w:rPr>
  </w:style>
  <w:style w:type="character" w:customStyle="1" w:styleId="Char29">
    <w:name w:val="正文文本缩进 Char2"/>
    <w:qFormat/>
    <w:rPr>
      <w:rFonts w:ascii="Times New Roman" w:eastAsia="等线" w:hAnsi="Times New Roman" w:cs="Times New Roman"/>
      <w:szCs w:val="24"/>
      <w:lang w:val="zh-CN" w:eastAsia="zh-CN"/>
    </w:rPr>
  </w:style>
  <w:style w:type="character" w:customStyle="1" w:styleId="2Char21">
    <w:name w:val="正文文本 2 Char2"/>
    <w:qFormat/>
    <w:rPr>
      <w:rFonts w:ascii="Times New Roman" w:eastAsia="等线" w:hAnsi="Times New Roman" w:cs="Times New Roman"/>
      <w:szCs w:val="24"/>
      <w:lang w:val="zh-CN" w:eastAsia="zh-CN"/>
    </w:rPr>
  </w:style>
  <w:style w:type="character" w:customStyle="1" w:styleId="Char2a">
    <w:name w:val="脚注文本 Char2"/>
    <w:qFormat/>
    <w:rPr>
      <w:rFonts w:ascii="Times New Roman" w:eastAsia="等线" w:hAnsi="Times New Roman" w:cs="Times New Roman"/>
      <w:sz w:val="18"/>
      <w:szCs w:val="18"/>
      <w:lang w:val="zh-CN" w:eastAsia="zh-CN"/>
    </w:rPr>
  </w:style>
  <w:style w:type="character" w:customStyle="1" w:styleId="Char2b">
    <w:name w:val="正文首行缩进 Char2"/>
    <w:uiPriority w:val="99"/>
    <w:qFormat/>
    <w:rPr>
      <w:rFonts w:ascii="Calibri" w:eastAsia="等线" w:hAnsi="Calibri" w:cs="Times New Roman"/>
    </w:rPr>
  </w:style>
  <w:style w:type="character" w:customStyle="1" w:styleId="2Char22">
    <w:name w:val="正文文本缩进 2 Char2"/>
    <w:qFormat/>
    <w:rPr>
      <w:rFonts w:ascii="等线" w:eastAsia="等线" w:hAnsi="等线" w:cs="Times New Roman"/>
      <w:szCs w:val="21"/>
    </w:rPr>
  </w:style>
  <w:style w:type="character" w:customStyle="1" w:styleId="HTMLChar2">
    <w:name w:val="HTML 预设格式 Char2"/>
    <w:qFormat/>
    <w:rPr>
      <w:rFonts w:ascii="宋体" w:hAnsi="宋体" w:cs="宋体"/>
      <w:sz w:val="24"/>
      <w:szCs w:val="24"/>
    </w:rPr>
  </w:style>
  <w:style w:type="character" w:customStyle="1" w:styleId="Char2c">
    <w:name w:val="普通(网站) Char2"/>
    <w:qFormat/>
    <w:rPr>
      <w:rFonts w:ascii="宋体" w:eastAsia="等线" w:hAnsi="宋体" w:cs="Times New Roman"/>
      <w:kern w:val="0"/>
      <w:sz w:val="24"/>
      <w:szCs w:val="24"/>
    </w:rPr>
  </w:style>
  <w:style w:type="character" w:customStyle="1" w:styleId="Char2d">
    <w:name w:val="副标题 Char2"/>
    <w:uiPriority w:val="11"/>
    <w:qFormat/>
    <w:rPr>
      <w:rFonts w:ascii="等线 Light" w:eastAsia="宋体" w:hAnsi="等线 Light" w:cs="Times New Roman"/>
      <w:b/>
      <w:bCs/>
      <w:kern w:val="28"/>
      <w:sz w:val="32"/>
      <w:szCs w:val="32"/>
    </w:rPr>
  </w:style>
  <w:style w:type="character" w:customStyle="1" w:styleId="3Char21">
    <w:name w:val="正文文本 3 Char2"/>
    <w:qFormat/>
    <w:rPr>
      <w:rFonts w:ascii="Times New Roman" w:eastAsia="宋体" w:hAnsi="Times New Roman" w:cs="Times New Roman"/>
      <w:kern w:val="0"/>
      <w:sz w:val="16"/>
      <w:szCs w:val="20"/>
    </w:rPr>
  </w:style>
  <w:style w:type="character" w:customStyle="1" w:styleId="Char1f6">
    <w:name w:val="签名 Char1"/>
    <w:qFormat/>
    <w:rPr>
      <w:rFonts w:ascii="Times New Roman" w:eastAsia="宋体" w:hAnsi="Times New Roman" w:cs="Times New Roman"/>
      <w:szCs w:val="24"/>
    </w:rPr>
  </w:style>
  <w:style w:type="character" w:customStyle="1" w:styleId="3Char22">
    <w:name w:val="正文文本缩进 3 Char2"/>
    <w:qFormat/>
    <w:rPr>
      <w:rFonts w:ascii="宋体" w:eastAsia="宋体" w:hAnsi="Times New Roman" w:cs="Times New Roman"/>
      <w:b/>
      <w:sz w:val="32"/>
      <w:szCs w:val="20"/>
    </w:rPr>
  </w:style>
  <w:style w:type="character" w:customStyle="1" w:styleId="Char31">
    <w:name w:val="标题 Char3"/>
    <w:qFormat/>
    <w:rPr>
      <w:rFonts w:ascii="Arial" w:eastAsia="宋体" w:hAnsi="Arial" w:cs="Arial"/>
      <w:b/>
      <w:bCs/>
      <w:sz w:val="32"/>
      <w:szCs w:val="32"/>
      <w:shd w:val="clear" w:color="auto" w:fill="000080"/>
    </w:rPr>
  </w:style>
  <w:style w:type="character" w:customStyle="1" w:styleId="Char1f7">
    <w:name w:val="列表项目符号 Char1"/>
    <w:qFormat/>
    <w:rPr>
      <w:rFonts w:ascii="Times New Roman" w:eastAsia="宋体" w:hAnsi="Times New Roman" w:cs="Times New Roman"/>
      <w:szCs w:val="24"/>
    </w:rPr>
  </w:style>
  <w:style w:type="character" w:customStyle="1" w:styleId="Char1f8">
    <w:name w:val="正文缩进 Char1"/>
    <w:qFormat/>
    <w:rPr>
      <w:rFonts w:ascii="Times New Roman" w:eastAsia="仿宋_GB2312" w:hAnsi="Times New Roman" w:cs="Times New Roman"/>
      <w:sz w:val="24"/>
      <w:szCs w:val="20"/>
    </w:rPr>
  </w:style>
  <w:style w:type="character" w:customStyle="1" w:styleId="Char1f9">
    <w:name w:val="宏文本 Char1"/>
    <w:semiHidden/>
    <w:qFormat/>
    <w:rPr>
      <w:rFonts w:ascii="Courier New" w:eastAsia="宋体" w:hAnsi="Courier New" w:cs="Courier New"/>
      <w:color w:val="333333"/>
      <w:kern w:val="0"/>
      <w:sz w:val="20"/>
      <w:szCs w:val="20"/>
      <w:lang w:eastAsia="en-US"/>
    </w:rPr>
  </w:style>
  <w:style w:type="character" w:customStyle="1" w:styleId="Char1fa">
    <w:name w:val="注释标题 Char1"/>
    <w:qFormat/>
    <w:rPr>
      <w:rFonts w:ascii="Times New Roman" w:eastAsia="宋体" w:hAnsi="Times New Roman" w:cs="Times New Roman"/>
      <w:szCs w:val="24"/>
    </w:rPr>
  </w:style>
  <w:style w:type="character" w:customStyle="1" w:styleId="Char1fb">
    <w:name w:val="电子邮件签名 Char1"/>
    <w:semiHidden/>
    <w:qFormat/>
    <w:rPr>
      <w:rFonts w:ascii="Times New Roman" w:eastAsia="宋体" w:hAnsi="Times New Roman" w:cs="Times New Roman"/>
      <w:szCs w:val="24"/>
    </w:rPr>
  </w:style>
  <w:style w:type="character" w:customStyle="1" w:styleId="Char2e">
    <w:name w:val="称呼 Char2"/>
    <w:qFormat/>
    <w:rPr>
      <w:rFonts w:ascii="Times New Roman" w:eastAsia="宋体" w:hAnsi="Times New Roman" w:cs="Times New Roman"/>
      <w:szCs w:val="24"/>
    </w:rPr>
  </w:style>
  <w:style w:type="character" w:customStyle="1" w:styleId="Char1fc">
    <w:name w:val="结束语 Char1"/>
    <w:qFormat/>
    <w:rPr>
      <w:rFonts w:ascii="Times New Roman" w:eastAsia="宋体" w:hAnsi="Times New Roman" w:cs="Times New Roman"/>
      <w:szCs w:val="24"/>
    </w:rPr>
  </w:style>
  <w:style w:type="character" w:customStyle="1" w:styleId="HTMLChar10">
    <w:name w:val="HTML 地址 Char1"/>
    <w:qFormat/>
    <w:rPr>
      <w:rFonts w:ascii="Times New Roman" w:eastAsia="宋体" w:hAnsi="Times New Roman" w:cs="Times New Roman"/>
      <w:i/>
      <w:iCs/>
      <w:szCs w:val="24"/>
    </w:rPr>
  </w:style>
  <w:style w:type="character" w:customStyle="1" w:styleId="Char2f">
    <w:name w:val="信息标题 Char2"/>
    <w:qFormat/>
    <w:rPr>
      <w:rFonts w:ascii="Times New Roman" w:eastAsia="宋体" w:hAnsi="Times New Roman" w:cs="Arial"/>
      <w:sz w:val="24"/>
      <w:szCs w:val="24"/>
      <w:shd w:val="pct20" w:color="auto" w:fill="auto"/>
    </w:rPr>
  </w:style>
  <w:style w:type="character" w:customStyle="1" w:styleId="2Char23">
    <w:name w:val="正文首行缩进 2 Char2"/>
    <w:uiPriority w:val="99"/>
    <w:qFormat/>
    <w:rPr>
      <w:rFonts w:ascii="等线" w:eastAsia="等线" w:hAnsi="等线" w:cs="Times New Roman"/>
      <w:szCs w:val="21"/>
      <w:lang w:val="zh-CN" w:eastAsia="zh-CN"/>
    </w:rPr>
  </w:style>
  <w:style w:type="character" w:customStyle="1" w:styleId="Char32">
    <w:name w:val="列出段落 Char3"/>
    <w:uiPriority w:val="34"/>
    <w:qFormat/>
    <w:rPr>
      <w:kern w:val="2"/>
      <w:sz w:val="21"/>
      <w:szCs w:val="22"/>
    </w:rPr>
  </w:style>
  <w:style w:type="paragraph" w:customStyle="1" w:styleId="afffffffffffd">
    <w:name w:val="表格"/>
    <w:basedOn w:val="affffffff8"/>
    <w:qFormat/>
    <w:rPr>
      <w:color w:val="000000"/>
      <w:sz w:val="21"/>
      <w:szCs w:val="22"/>
    </w:rPr>
  </w:style>
  <w:style w:type="paragraph" w:customStyle="1" w:styleId="31d">
    <w:name w:val="列出段落31"/>
    <w:basedOn w:val="a0"/>
    <w:uiPriority w:val="34"/>
    <w:unhideWhenUsed/>
    <w:qFormat/>
    <w:pPr>
      <w:widowControl w:val="0"/>
      <w:ind w:firstLineChars="200" w:firstLine="420"/>
      <w:jc w:val="both"/>
    </w:pPr>
    <w:rPr>
      <w:rFonts w:ascii="Times New Roman" w:hAnsi="Times New Roman" w:cs="Times New Roman"/>
      <w:kern w:val="2"/>
      <w:sz w:val="21"/>
    </w:rPr>
  </w:style>
  <w:style w:type="character" w:customStyle="1" w:styleId="3fff4">
    <w:name w:val="列表段落 字符3"/>
    <w:uiPriority w:val="34"/>
    <w:qFormat/>
    <w:rPr>
      <w:rFonts w:ascii="等线" w:eastAsia="等线" w:hAnsi="等线" w:cs="Times New Roman"/>
      <w:szCs w:val="21"/>
    </w:rPr>
  </w:style>
  <w:style w:type="character" w:customStyle="1" w:styleId="4fd">
    <w:name w:val="页眉 字符4"/>
    <w:uiPriority w:val="99"/>
    <w:qFormat/>
    <w:rPr>
      <w:sz w:val="18"/>
      <w:szCs w:val="18"/>
    </w:rPr>
  </w:style>
  <w:style w:type="character" w:customStyle="1" w:styleId="3fff5">
    <w:name w:val="页脚 字符3"/>
    <w:uiPriority w:val="99"/>
    <w:qFormat/>
    <w:rPr>
      <w:sz w:val="18"/>
      <w:szCs w:val="18"/>
    </w:rPr>
  </w:style>
  <w:style w:type="character" w:customStyle="1" w:styleId="1ffff1">
    <w:name w:val="日期 字符1"/>
    <w:qFormat/>
    <w:rPr>
      <w:rFonts w:ascii="等线" w:eastAsia="等线" w:hAnsi="等线" w:cs="Times New Roman"/>
      <w:szCs w:val="21"/>
    </w:rPr>
  </w:style>
  <w:style w:type="character" w:customStyle="1" w:styleId="21f5">
    <w:name w:val="标题 2 字符1"/>
    <w:uiPriority w:val="9"/>
    <w:qFormat/>
    <w:rPr>
      <w:rFonts w:ascii="等线 Light" w:eastAsia="等线 Light" w:hAnsi="等线 Light" w:cs="Times New Roman"/>
      <w:b/>
      <w:bCs/>
      <w:sz w:val="32"/>
      <w:szCs w:val="32"/>
    </w:rPr>
  </w:style>
  <w:style w:type="character" w:customStyle="1" w:styleId="11f3">
    <w:name w:val="标题 1 字符1"/>
    <w:uiPriority w:val="9"/>
    <w:qFormat/>
    <w:rPr>
      <w:rFonts w:ascii="等线" w:eastAsia="等线" w:hAnsi="等线" w:cs="Times New Roman"/>
      <w:b/>
      <w:bCs/>
      <w:kern w:val="44"/>
      <w:sz w:val="44"/>
      <w:szCs w:val="44"/>
    </w:rPr>
  </w:style>
  <w:style w:type="character" w:customStyle="1" w:styleId="31e">
    <w:name w:val="标题 3 字符1"/>
    <w:uiPriority w:val="9"/>
    <w:qFormat/>
    <w:rPr>
      <w:rFonts w:ascii="等线" w:eastAsia="等线" w:hAnsi="等线" w:cs="Times New Roman"/>
      <w:b/>
      <w:bCs/>
      <w:sz w:val="32"/>
      <w:szCs w:val="32"/>
    </w:rPr>
  </w:style>
  <w:style w:type="character" w:customStyle="1" w:styleId="416">
    <w:name w:val="标题 4 字符1"/>
    <w:uiPriority w:val="9"/>
    <w:qFormat/>
    <w:rPr>
      <w:rFonts w:ascii="等线 Light" w:eastAsia="等线 Light" w:hAnsi="等线 Light" w:cs="Times New Roman"/>
      <w:b/>
      <w:bCs/>
      <w:sz w:val="28"/>
      <w:szCs w:val="28"/>
    </w:rPr>
  </w:style>
  <w:style w:type="character" w:customStyle="1" w:styleId="518">
    <w:name w:val="标题 5 字符1"/>
    <w:uiPriority w:val="9"/>
    <w:qFormat/>
    <w:rPr>
      <w:rFonts w:ascii="等线" w:eastAsia="等线" w:hAnsi="等线" w:cs="Times New Roman"/>
      <w:b/>
      <w:bCs/>
      <w:sz w:val="28"/>
      <w:szCs w:val="28"/>
    </w:rPr>
  </w:style>
  <w:style w:type="character" w:customStyle="1" w:styleId="616">
    <w:name w:val="标题 6 字符1"/>
    <w:uiPriority w:val="9"/>
    <w:qFormat/>
    <w:rPr>
      <w:rFonts w:ascii="等线 Light" w:eastAsia="等线 Light" w:hAnsi="等线 Light" w:cs="Times New Roman"/>
      <w:b/>
      <w:bCs/>
      <w:sz w:val="24"/>
      <w:szCs w:val="24"/>
    </w:rPr>
  </w:style>
  <w:style w:type="character" w:customStyle="1" w:styleId="714">
    <w:name w:val="标题 7 字符1"/>
    <w:uiPriority w:val="9"/>
    <w:qFormat/>
    <w:rPr>
      <w:rFonts w:ascii="等线" w:eastAsia="等线" w:hAnsi="等线" w:cs="Times New Roman"/>
      <w:b/>
      <w:bCs/>
      <w:sz w:val="24"/>
      <w:szCs w:val="24"/>
    </w:rPr>
  </w:style>
  <w:style w:type="character" w:customStyle="1" w:styleId="814">
    <w:name w:val="标题 8 字符1"/>
    <w:uiPriority w:val="9"/>
    <w:qFormat/>
    <w:rPr>
      <w:rFonts w:ascii="等线 Light" w:eastAsia="等线 Light" w:hAnsi="等线 Light" w:cs="Times New Roman"/>
      <w:sz w:val="24"/>
      <w:szCs w:val="24"/>
    </w:rPr>
  </w:style>
  <w:style w:type="character" w:customStyle="1" w:styleId="913">
    <w:name w:val="标题 9 字符1"/>
    <w:uiPriority w:val="9"/>
    <w:qFormat/>
    <w:rPr>
      <w:rFonts w:ascii="等线 Light" w:eastAsia="等线 Light" w:hAnsi="等线 Light" w:cs="Times New Roman"/>
      <w:szCs w:val="21"/>
    </w:rPr>
  </w:style>
  <w:style w:type="character" w:customStyle="1" w:styleId="1ffff2">
    <w:name w:val="纯文本 字符1"/>
    <w:qFormat/>
    <w:rPr>
      <w:rFonts w:ascii="宋体" w:eastAsia="等线" w:hAnsi="Courier New" w:cs="Times New Roman"/>
      <w:szCs w:val="21"/>
      <w:lang w:val="zh-CN" w:eastAsia="zh-CN"/>
    </w:rPr>
  </w:style>
  <w:style w:type="character" w:customStyle="1" w:styleId="1ffff3">
    <w:name w:val="批注框文本 字符1"/>
    <w:uiPriority w:val="99"/>
    <w:qFormat/>
    <w:rPr>
      <w:rFonts w:ascii="Times New Roman" w:eastAsia="等线" w:hAnsi="Times New Roman" w:cs="Times New Roman"/>
      <w:sz w:val="18"/>
      <w:szCs w:val="18"/>
      <w:lang w:val="zh-CN" w:eastAsia="zh-CN"/>
    </w:rPr>
  </w:style>
  <w:style w:type="character" w:customStyle="1" w:styleId="2ffff2">
    <w:name w:val="批注文字 字符2"/>
    <w:uiPriority w:val="99"/>
    <w:qFormat/>
    <w:rPr>
      <w:rFonts w:ascii="Times New Roman" w:eastAsia="等线" w:hAnsi="Times New Roman" w:cs="Times New Roman"/>
      <w:szCs w:val="24"/>
      <w:lang w:val="zh-CN" w:eastAsia="zh-CN"/>
    </w:rPr>
  </w:style>
  <w:style w:type="character" w:customStyle="1" w:styleId="1ffff4">
    <w:name w:val="文档结构图 字符1"/>
    <w:qFormat/>
    <w:rPr>
      <w:rFonts w:ascii="Times New Roman" w:eastAsia="等线" w:hAnsi="Times New Roman" w:cs="Times New Roman"/>
      <w:szCs w:val="24"/>
      <w:shd w:val="clear" w:color="auto" w:fill="000080"/>
      <w:lang w:val="zh-CN" w:eastAsia="zh-CN"/>
    </w:rPr>
  </w:style>
  <w:style w:type="character" w:customStyle="1" w:styleId="1ffff5">
    <w:name w:val="批注主题 字符1"/>
    <w:qFormat/>
    <w:rPr>
      <w:rFonts w:ascii="Times New Roman" w:eastAsia="等线" w:hAnsi="Times New Roman" w:cs="Times New Roman"/>
      <w:b/>
      <w:bCs/>
      <w:szCs w:val="24"/>
      <w:lang w:val="zh-CN" w:eastAsia="zh-CN"/>
    </w:rPr>
  </w:style>
  <w:style w:type="character" w:customStyle="1" w:styleId="1ffff6">
    <w:name w:val="正文文本 字符1"/>
    <w:qFormat/>
    <w:rPr>
      <w:rFonts w:ascii="Times New Roman" w:eastAsia="等线" w:hAnsi="Times New Roman" w:cs="Times New Roman"/>
      <w:szCs w:val="24"/>
      <w:lang w:val="zh-CN" w:eastAsia="zh-CN"/>
    </w:rPr>
  </w:style>
  <w:style w:type="character" w:customStyle="1" w:styleId="1ffff7">
    <w:name w:val="正文文本缩进 字符1"/>
    <w:qFormat/>
    <w:rPr>
      <w:rFonts w:ascii="Times New Roman" w:eastAsia="等线" w:hAnsi="Times New Roman" w:cs="Times New Roman"/>
      <w:szCs w:val="24"/>
      <w:lang w:val="zh-CN" w:eastAsia="zh-CN"/>
    </w:rPr>
  </w:style>
  <w:style w:type="character" w:customStyle="1" w:styleId="21f6">
    <w:name w:val="正文文本 2 字符1"/>
    <w:qFormat/>
    <w:rPr>
      <w:rFonts w:ascii="Times New Roman" w:eastAsia="等线" w:hAnsi="Times New Roman" w:cs="Times New Roman"/>
      <w:szCs w:val="24"/>
      <w:lang w:val="zh-CN" w:eastAsia="zh-CN"/>
    </w:rPr>
  </w:style>
  <w:style w:type="character" w:customStyle="1" w:styleId="1ffff8">
    <w:name w:val="脚注文本 字符1"/>
    <w:qFormat/>
    <w:rPr>
      <w:rFonts w:ascii="Times New Roman" w:eastAsia="等线" w:hAnsi="Times New Roman" w:cs="Times New Roman"/>
      <w:sz w:val="18"/>
      <w:szCs w:val="18"/>
      <w:lang w:val="zh-CN" w:eastAsia="zh-CN"/>
    </w:rPr>
  </w:style>
  <w:style w:type="character" w:customStyle="1" w:styleId="4fe">
    <w:name w:val="正文文本首行缩进 字符4"/>
    <w:uiPriority w:val="99"/>
    <w:qFormat/>
    <w:rPr>
      <w:rFonts w:ascii="Calibri" w:eastAsia="等线" w:hAnsi="Calibri" w:cs="Times New Roman"/>
    </w:rPr>
  </w:style>
  <w:style w:type="character" w:customStyle="1" w:styleId="21f7">
    <w:name w:val="正文文本缩进 2 字符1"/>
    <w:qFormat/>
    <w:rPr>
      <w:rFonts w:ascii="等线" w:eastAsia="等线" w:hAnsi="等线" w:cs="Times New Roman"/>
      <w:szCs w:val="21"/>
    </w:rPr>
  </w:style>
  <w:style w:type="character" w:customStyle="1" w:styleId="HTML20">
    <w:name w:val="HTML 预设格式 字符2"/>
    <w:qFormat/>
    <w:rPr>
      <w:rFonts w:ascii="宋体" w:hAnsi="宋体" w:cs="宋体"/>
      <w:sz w:val="24"/>
      <w:szCs w:val="24"/>
    </w:rPr>
  </w:style>
  <w:style w:type="character" w:customStyle="1" w:styleId="1ffff9">
    <w:name w:val="普通(网站) 字符1"/>
    <w:qFormat/>
    <w:rPr>
      <w:rFonts w:ascii="宋体" w:eastAsia="等线" w:hAnsi="宋体" w:cs="Times New Roman"/>
      <w:kern w:val="0"/>
      <w:sz w:val="24"/>
      <w:szCs w:val="24"/>
    </w:rPr>
  </w:style>
  <w:style w:type="character" w:customStyle="1" w:styleId="4ff">
    <w:name w:val="尾注文本 字符4"/>
    <w:uiPriority w:val="99"/>
    <w:qFormat/>
    <w:rPr>
      <w:rFonts w:ascii="等线" w:eastAsia="等线" w:hAnsi="等线" w:cs="Times New Roman"/>
      <w:szCs w:val="21"/>
    </w:rPr>
  </w:style>
  <w:style w:type="character" w:customStyle="1" w:styleId="1ffffa">
    <w:name w:val="副标题 字符1"/>
    <w:uiPriority w:val="11"/>
    <w:qFormat/>
    <w:rPr>
      <w:rFonts w:ascii="等线 Light" w:eastAsia="宋体" w:hAnsi="等线 Light" w:cs="Times New Roman"/>
      <w:b/>
      <w:bCs/>
      <w:kern w:val="28"/>
      <w:sz w:val="32"/>
      <w:szCs w:val="32"/>
    </w:rPr>
  </w:style>
  <w:style w:type="character" w:customStyle="1" w:styleId="31f">
    <w:name w:val="正文文本 3 字符1"/>
    <w:qFormat/>
    <w:rPr>
      <w:rFonts w:ascii="Times New Roman" w:eastAsia="宋体" w:hAnsi="Times New Roman" w:cs="Times New Roman"/>
      <w:kern w:val="0"/>
      <w:sz w:val="16"/>
      <w:szCs w:val="20"/>
    </w:rPr>
  </w:style>
  <w:style w:type="character" w:customStyle="1" w:styleId="1ffffb">
    <w:name w:val="签名 字符1"/>
    <w:qFormat/>
    <w:rPr>
      <w:rFonts w:ascii="Times New Roman" w:eastAsia="宋体" w:hAnsi="Times New Roman" w:cs="Times New Roman"/>
      <w:szCs w:val="24"/>
    </w:rPr>
  </w:style>
  <w:style w:type="character" w:customStyle="1" w:styleId="31f0">
    <w:name w:val="正文文本缩进 3 字符1"/>
    <w:qFormat/>
    <w:rPr>
      <w:rFonts w:ascii="宋体" w:eastAsia="宋体" w:hAnsi="Times New Roman" w:cs="Times New Roman"/>
      <w:b/>
      <w:sz w:val="32"/>
      <w:szCs w:val="20"/>
    </w:rPr>
  </w:style>
  <w:style w:type="character" w:customStyle="1" w:styleId="1ffffc">
    <w:name w:val="标题 字符1"/>
    <w:qFormat/>
    <w:rPr>
      <w:rFonts w:ascii="Arial" w:eastAsia="宋体" w:hAnsi="Arial" w:cs="Arial"/>
      <w:b/>
      <w:bCs/>
      <w:sz w:val="32"/>
      <w:szCs w:val="32"/>
      <w:shd w:val="clear" w:color="auto" w:fill="000080"/>
    </w:rPr>
  </w:style>
  <w:style w:type="character" w:customStyle="1" w:styleId="1ffffd">
    <w:name w:val="列表项目符号 字符1"/>
    <w:qFormat/>
    <w:rPr>
      <w:rFonts w:ascii="Times New Roman" w:eastAsia="宋体" w:hAnsi="Times New Roman" w:cs="Times New Roman"/>
      <w:szCs w:val="24"/>
    </w:rPr>
  </w:style>
  <w:style w:type="character" w:customStyle="1" w:styleId="1ffffe">
    <w:name w:val="正文缩进 字符1"/>
    <w:qFormat/>
    <w:rPr>
      <w:rFonts w:ascii="Times New Roman" w:eastAsia="仿宋_GB2312" w:hAnsi="Times New Roman" w:cs="Times New Roman"/>
      <w:sz w:val="24"/>
      <w:szCs w:val="20"/>
    </w:rPr>
  </w:style>
  <w:style w:type="character" w:customStyle="1" w:styleId="1fffff">
    <w:name w:val="宏文本 字符1"/>
    <w:semiHidden/>
    <w:qFormat/>
    <w:rPr>
      <w:rFonts w:ascii="Courier New" w:eastAsia="宋体" w:hAnsi="Courier New" w:cs="Courier New"/>
      <w:color w:val="333333"/>
      <w:kern w:val="0"/>
      <w:sz w:val="20"/>
      <w:szCs w:val="20"/>
      <w:lang w:eastAsia="en-US"/>
    </w:rPr>
  </w:style>
  <w:style w:type="character" w:customStyle="1" w:styleId="1fffff0">
    <w:name w:val="注释标题 字符1"/>
    <w:qFormat/>
    <w:rPr>
      <w:rFonts w:ascii="Times New Roman" w:eastAsia="宋体" w:hAnsi="Times New Roman" w:cs="Times New Roman"/>
      <w:szCs w:val="24"/>
    </w:rPr>
  </w:style>
  <w:style w:type="character" w:customStyle="1" w:styleId="1fffff1">
    <w:name w:val="电子邮件签名 字符1"/>
    <w:qFormat/>
    <w:rPr>
      <w:rFonts w:ascii="Times New Roman" w:eastAsia="宋体" w:hAnsi="Times New Roman" w:cs="Times New Roman"/>
      <w:szCs w:val="24"/>
    </w:rPr>
  </w:style>
  <w:style w:type="character" w:customStyle="1" w:styleId="1fffff2">
    <w:name w:val="称呼 字符1"/>
    <w:qFormat/>
    <w:rPr>
      <w:rFonts w:ascii="Times New Roman" w:eastAsia="宋体" w:hAnsi="Times New Roman" w:cs="Times New Roman"/>
      <w:szCs w:val="24"/>
    </w:rPr>
  </w:style>
  <w:style w:type="character" w:customStyle="1" w:styleId="1fffff3">
    <w:name w:val="结束语 字符1"/>
    <w:qFormat/>
    <w:rPr>
      <w:rFonts w:ascii="Times New Roman" w:eastAsia="宋体" w:hAnsi="Times New Roman" w:cs="Times New Roman"/>
      <w:szCs w:val="24"/>
    </w:rPr>
  </w:style>
  <w:style w:type="character" w:customStyle="1" w:styleId="HTML11">
    <w:name w:val="HTML 地址 字符1"/>
    <w:qFormat/>
    <w:rPr>
      <w:rFonts w:ascii="Times New Roman" w:eastAsia="宋体" w:hAnsi="Times New Roman" w:cs="Times New Roman"/>
      <w:i/>
      <w:iCs/>
      <w:szCs w:val="24"/>
    </w:rPr>
  </w:style>
  <w:style w:type="character" w:customStyle="1" w:styleId="1fffff4">
    <w:name w:val="信息标题 字符1"/>
    <w:qFormat/>
    <w:rPr>
      <w:rFonts w:ascii="Times New Roman" w:eastAsia="宋体" w:hAnsi="Times New Roman" w:cs="Arial"/>
      <w:sz w:val="24"/>
      <w:szCs w:val="24"/>
      <w:shd w:val="pct20" w:color="auto" w:fill="auto"/>
    </w:rPr>
  </w:style>
  <w:style w:type="character" w:customStyle="1" w:styleId="239">
    <w:name w:val="正文文本首行缩进 2 字符3"/>
    <w:uiPriority w:val="99"/>
    <w:semiHidden/>
    <w:qFormat/>
    <w:rPr>
      <w:rFonts w:ascii="等线" w:eastAsia="等线" w:hAnsi="等线" w:cs="Times New Roman"/>
      <w:szCs w:val="21"/>
      <w:lang w:val="zh-CN" w:eastAsia="zh-CN"/>
    </w:rPr>
  </w:style>
  <w:style w:type="character" w:customStyle="1" w:styleId="2ffff3">
    <w:name w:val="日期 字符2"/>
    <w:qFormat/>
    <w:rPr>
      <w:rFonts w:ascii="等线" w:eastAsia="等线" w:hAnsi="等线"/>
      <w:kern w:val="2"/>
      <w:sz w:val="21"/>
      <w:szCs w:val="21"/>
    </w:rPr>
  </w:style>
  <w:style w:type="character" w:customStyle="1" w:styleId="724">
    <w:name w:val="标题 7 字符2"/>
    <w:uiPriority w:val="9"/>
    <w:qFormat/>
    <w:rPr>
      <w:rFonts w:ascii="等线" w:eastAsia="等线" w:hAnsi="等线" w:cs="Times New Roman"/>
      <w:b/>
      <w:bCs/>
      <w:kern w:val="2"/>
      <w:sz w:val="24"/>
      <w:szCs w:val="24"/>
    </w:rPr>
  </w:style>
  <w:style w:type="character" w:customStyle="1" w:styleId="824">
    <w:name w:val="标题 8 字符2"/>
    <w:uiPriority w:val="9"/>
    <w:qFormat/>
    <w:rPr>
      <w:rFonts w:ascii="Calibri Light" w:eastAsia="宋体" w:hAnsi="Calibri Light" w:cs="Times New Roman"/>
      <w:kern w:val="2"/>
      <w:sz w:val="24"/>
      <w:szCs w:val="24"/>
    </w:rPr>
  </w:style>
  <w:style w:type="character" w:customStyle="1" w:styleId="921">
    <w:name w:val="标题 9 字符2"/>
    <w:uiPriority w:val="9"/>
    <w:qFormat/>
    <w:rPr>
      <w:rFonts w:ascii="Calibri Light" w:eastAsia="宋体" w:hAnsi="Calibri Light" w:cs="Times New Roman"/>
      <w:kern w:val="2"/>
      <w:sz w:val="21"/>
      <w:szCs w:val="21"/>
    </w:rPr>
  </w:style>
  <w:style w:type="character" w:customStyle="1" w:styleId="2ffff4">
    <w:name w:val="批注框文本 字符2"/>
    <w:uiPriority w:val="99"/>
    <w:qFormat/>
    <w:rPr>
      <w:rFonts w:ascii="等线" w:eastAsia="等线" w:hAnsi="等线"/>
      <w:kern w:val="2"/>
      <w:sz w:val="18"/>
      <w:szCs w:val="18"/>
    </w:rPr>
  </w:style>
  <w:style w:type="character" w:customStyle="1" w:styleId="2ffff5">
    <w:name w:val="批注主题 字符2"/>
    <w:qFormat/>
    <w:rPr>
      <w:rFonts w:ascii="等线" w:eastAsia="等线" w:hAnsi="等线" w:cs="Times New Roman"/>
      <w:b/>
      <w:bCs/>
      <w:kern w:val="2"/>
      <w:sz w:val="21"/>
      <w:szCs w:val="21"/>
      <w:lang w:val="zh-CN" w:eastAsia="zh-CN"/>
    </w:rPr>
  </w:style>
  <w:style w:type="character" w:customStyle="1" w:styleId="2ffff6">
    <w:name w:val="脚注文本 字符2"/>
    <w:qFormat/>
    <w:rPr>
      <w:rFonts w:ascii="等线" w:eastAsia="等线" w:hAnsi="等线"/>
      <w:kern w:val="2"/>
      <w:sz w:val="18"/>
      <w:szCs w:val="18"/>
    </w:rPr>
  </w:style>
  <w:style w:type="character" w:customStyle="1" w:styleId="32a">
    <w:name w:val="正文文本缩进 3 字符2"/>
    <w:qFormat/>
    <w:rPr>
      <w:rFonts w:ascii="等线" w:eastAsia="等线" w:hAnsi="等线"/>
      <w:kern w:val="2"/>
      <w:sz w:val="16"/>
      <w:szCs w:val="16"/>
    </w:rPr>
  </w:style>
  <w:style w:type="character" w:customStyle="1" w:styleId="2ffff7">
    <w:name w:val="宏文本 字符2"/>
    <w:semiHidden/>
    <w:qFormat/>
    <w:rPr>
      <w:rFonts w:ascii="Courier New" w:hAnsi="Courier New" w:cs="Courier New"/>
      <w:kern w:val="2"/>
      <w:sz w:val="24"/>
      <w:szCs w:val="24"/>
    </w:rPr>
  </w:style>
  <w:style w:type="character" w:customStyle="1" w:styleId="2ffff8">
    <w:name w:val="注释标题 字符2"/>
    <w:qFormat/>
    <w:rPr>
      <w:rFonts w:ascii="等线" w:eastAsia="等线" w:hAnsi="等线"/>
      <w:kern w:val="2"/>
      <w:sz w:val="21"/>
      <w:szCs w:val="21"/>
    </w:rPr>
  </w:style>
  <w:style w:type="character" w:customStyle="1" w:styleId="2ffff9">
    <w:name w:val="电子邮件签名 字符2"/>
    <w:qFormat/>
    <w:rPr>
      <w:rFonts w:ascii="等线" w:eastAsia="等线" w:hAnsi="等线"/>
      <w:kern w:val="2"/>
      <w:sz w:val="21"/>
      <w:szCs w:val="21"/>
    </w:rPr>
  </w:style>
  <w:style w:type="character" w:customStyle="1" w:styleId="2ffffa">
    <w:name w:val="称呼 字符2"/>
    <w:qFormat/>
    <w:rPr>
      <w:rFonts w:ascii="等线" w:eastAsia="等线" w:hAnsi="等线"/>
      <w:kern w:val="2"/>
      <w:sz w:val="21"/>
      <w:szCs w:val="21"/>
    </w:rPr>
  </w:style>
  <w:style w:type="character" w:customStyle="1" w:styleId="2ffffb">
    <w:name w:val="结束语 字符2"/>
    <w:qFormat/>
    <w:rPr>
      <w:rFonts w:ascii="等线" w:eastAsia="等线" w:hAnsi="等线"/>
      <w:kern w:val="2"/>
      <w:sz w:val="21"/>
      <w:szCs w:val="21"/>
    </w:rPr>
  </w:style>
  <w:style w:type="character" w:customStyle="1" w:styleId="4a">
    <w:name w:val="列表段落 字符4"/>
    <w:link w:val="affffe"/>
    <w:uiPriority w:val="1"/>
    <w:qFormat/>
    <w:locked/>
  </w:style>
  <w:style w:type="table" w:customStyle="1" w:styleId="12e">
    <w:name w:val="简明型 12"/>
    <w:basedOn w:val="a3"/>
    <w:unhideWhenUsed/>
    <w:qFormat/>
    <w:pPr>
      <w:widowControl w:val="0"/>
      <w:jc w:val="both"/>
    </w:p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3">
    <w:name w:val="简明型 24"/>
    <w:basedOn w:val="a3"/>
    <w:unhideWhenUsed/>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3">
    <w:name w:val="简明型 34"/>
    <w:basedOn w:val="a3"/>
    <w:unhideWhenUsed/>
    <w:qFormat/>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customStyle="1" w:styleId="153">
    <w:name w:val="古典型 15"/>
    <w:basedOn w:val="a3"/>
    <w:unhideWhenUsed/>
    <w:qFormat/>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4">
    <w:name w:val="古典型 24"/>
    <w:basedOn w:val="a3"/>
    <w:unhideWhenUsed/>
    <w:qFormat/>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4">
    <w:name w:val="古典型 34"/>
    <w:basedOn w:val="a3"/>
    <w:unhideWhenUsed/>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3">
    <w:name w:val="古典型 44"/>
    <w:basedOn w:val="a3"/>
    <w:unhideWhenUsed/>
    <w:qFormat/>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f4">
    <w:name w:val="彩色型 11"/>
    <w:basedOn w:val="a3"/>
    <w:unhideWhenUsed/>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5">
    <w:name w:val="彩色型 24"/>
    <w:basedOn w:val="a3"/>
    <w:unhideWhenUsed/>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5">
    <w:name w:val="彩色型 34"/>
    <w:basedOn w:val="a3"/>
    <w:unhideWhenUsed/>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3">
    <w:name w:val="竖列型 14"/>
    <w:basedOn w:val="a3"/>
    <w:unhideWhenUsed/>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6">
    <w:name w:val="竖列型 24"/>
    <w:basedOn w:val="a3"/>
    <w:unhideWhenUsed/>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6">
    <w:name w:val="竖列型 34"/>
    <w:basedOn w:val="a3"/>
    <w:unhideWhenUsed/>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4">
    <w:name w:val="竖列型 44"/>
    <w:basedOn w:val="a3"/>
    <w:unhideWhenUsed/>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竖列型 54"/>
    <w:basedOn w:val="a3"/>
    <w:unhideWhenUsed/>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f">
    <w:name w:val="网格型 12"/>
    <w:basedOn w:val="a3"/>
    <w:unhideWhenUsed/>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f8">
    <w:name w:val="网格型 21"/>
    <w:basedOn w:val="a3"/>
    <w:unhideWhenUsed/>
    <w:qFormat/>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f1">
    <w:name w:val="网格型 31"/>
    <w:basedOn w:val="a3"/>
    <w:unhideWhenUsed/>
    <w:qFormat/>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5">
    <w:name w:val="网格型 44"/>
    <w:basedOn w:val="a3"/>
    <w:unhideWhenUsed/>
    <w:qFormat/>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61">
    <w:name w:val="网格型 56"/>
    <w:basedOn w:val="a3"/>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3">
    <w:name w:val="网格型 64"/>
    <w:basedOn w:val="a3"/>
    <w:unhideWhenUsed/>
    <w:qFormat/>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5">
    <w:name w:val="网格型 71"/>
    <w:basedOn w:val="a3"/>
    <w:unhideWhenUsed/>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1">
    <w:name w:val="网格型 84"/>
    <w:basedOn w:val="a3"/>
    <w:unhideWhenUsed/>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4">
    <w:name w:val="列表型 14"/>
    <w:basedOn w:val="a3"/>
    <w:unhideWhenUsed/>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7">
    <w:name w:val="列表型 24"/>
    <w:basedOn w:val="a3"/>
    <w:unhideWhenUsed/>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7">
    <w:name w:val="列表型 34"/>
    <w:basedOn w:val="a3"/>
    <w:unhideWhenUsed/>
    <w:qFormat/>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6">
    <w:name w:val="列表型 44"/>
    <w:basedOn w:val="a3"/>
    <w:unhideWhenUsed/>
    <w:qFormat/>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9">
    <w:name w:val="列表型 51"/>
    <w:basedOn w:val="a3"/>
    <w:unhideWhenUsed/>
    <w:qFormat/>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7">
    <w:name w:val="列表型 61"/>
    <w:basedOn w:val="a3"/>
    <w:unhideWhenUsed/>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41">
    <w:name w:val="列表型 74"/>
    <w:basedOn w:val="a3"/>
    <w:unhideWhenUsed/>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2">
    <w:name w:val="列表型 84"/>
    <w:basedOn w:val="a3"/>
    <w:unhideWhenUsed/>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f5">
    <w:name w:val="表三维效果 11"/>
    <w:basedOn w:val="a3"/>
    <w:uiPriority w:val="99"/>
    <w:unhideWhenUsed/>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f9">
    <w:name w:val="表三维效果 21"/>
    <w:basedOn w:val="a3"/>
    <w:uiPriority w:val="99"/>
    <w:unhideWhenUsed/>
    <w:qFormat/>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f2">
    <w:name w:val="表三维效果 31"/>
    <w:basedOn w:val="a3"/>
    <w:uiPriority w:val="99"/>
    <w:unhideWhenUsed/>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4ff0">
    <w:name w:val="流行型4"/>
    <w:basedOn w:val="a3"/>
    <w:unhideWhenUsed/>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6c">
    <w:name w:val="典雅型6"/>
    <w:basedOn w:val="a3"/>
    <w:unhideWhenUsed/>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4ff1">
    <w:name w:val="专业型4"/>
    <w:basedOn w:val="a3"/>
    <w:unhideWhenUsed/>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customStyle="1" w:styleId="11f6">
    <w:name w:val="精巧型 11"/>
    <w:basedOn w:val="a3"/>
    <w:unhideWhenUsed/>
    <w:qFormat/>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fa">
    <w:name w:val="精巧型 21"/>
    <w:basedOn w:val="a3"/>
    <w:unhideWhenUsed/>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5">
    <w:name w:val="网页型 14"/>
    <w:basedOn w:val="a3"/>
    <w:unhideWhenUsed/>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48">
    <w:name w:val="网页型 24"/>
    <w:basedOn w:val="a3"/>
    <w:unhideWhenUsed/>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348">
    <w:name w:val="网页型 34"/>
    <w:basedOn w:val="a3"/>
    <w:unhideWhenUsed/>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110">
    <w:name w:val="中等深浅网格 2 - 着色 11"/>
    <w:basedOn w:val="a3"/>
    <w:uiPriority w:val="68"/>
    <w:unhideWhenUsed/>
    <w:qFormat/>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1-210">
    <w:name w:val="中等深浅底纹 1 - 着色 21"/>
    <w:basedOn w:val="a3"/>
    <w:uiPriority w:val="63"/>
    <w:unhideWhenUsed/>
    <w:qFormat/>
    <w:rPr>
      <w:rFonts w:ascii="Calibri" w:hAnsi="Calibri"/>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100" w:beforeAutospacing="1" w:afterLines="0" w:after="100" w:afterAutospacing="1"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100" w:beforeAutospacing="1" w:afterLines="0" w:after="100" w:afterAutospacing="1"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10">
    <w:name w:val="彩色列表 - 着色 21"/>
    <w:basedOn w:val="a3"/>
    <w:uiPriority w:val="72"/>
    <w:unhideWhenUsed/>
    <w:qFormat/>
    <w:rPr>
      <w:rFonts w:ascii="Calibri" w:hAnsi="Calibri"/>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2">
    <w:name w:val="浅色列表 - 着色 31"/>
    <w:basedOn w:val="a3"/>
    <w:uiPriority w:val="61"/>
    <w:unhideWhenUsed/>
    <w:qFormat/>
    <w:rPr>
      <w:rFonts w:ascii="Calibri" w:hAnsi="Calibri"/>
      <w:sz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1">
    <w:name w:val="中等深浅底纹 2 - 着色 51"/>
    <w:basedOn w:val="a3"/>
    <w:uiPriority w:val="64"/>
    <w:unhideWhenUsed/>
    <w:qFormat/>
    <w:rPr>
      <w:rFonts w:ascii="Calibri" w:hAnsi="Calibri"/>
      <w:sz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f7">
    <w:name w:val="招股书格式5"/>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49">
    <w:name w:val="典雅型24"/>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38">
    <w:name w:val="典雅型33"/>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2b">
    <w:name w:val="招股书格式3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124">
    <w:name w:val="典雅型21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2170">
    <w:name w:val="网格型217"/>
    <w:basedOn w:val="a3"/>
    <w:uiPriority w:val="3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网格型 541"/>
    <w:basedOn w:val="a3"/>
    <w:qFormat/>
    <w:rPr>
      <w:rFonts w:ascii="Calibri" w:hAnsi="Calibri" w:cs="Calibri"/>
    </w:rPr>
    <w:tblPr/>
    <w:tblStylePr w:type="lastCol">
      <w:rPr>
        <w:b/>
        <w:bCs/>
      </w:rPr>
      <w:tblPr/>
      <w:tcPr>
        <w:tcBorders>
          <w:tl2br w:val="nil"/>
          <w:tr2bl w:val="nil"/>
        </w:tcBorders>
      </w:tcPr>
    </w:tblStylePr>
  </w:style>
  <w:style w:type="table" w:customStyle="1" w:styleId="11213">
    <w:name w:val="典雅型112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f7">
    <w:name w:val="预案表格11"/>
    <w:basedOn w:val="a3"/>
    <w:uiPriority w:val="99"/>
    <w:qFormat/>
    <w:rPr>
      <w:rFonts w:ascii="Calibri" w:hAnsi="Calibri"/>
    </w:rPr>
    <w:tblPr>
      <w:tblBorders>
        <w:top w:val="thinThickSmallGap" w:sz="12" w:space="0" w:color="auto"/>
        <w:bottom w:val="thickThinSmallGap" w:sz="12" w:space="0" w:color="auto"/>
        <w:insideH w:val="single" w:sz="4" w:space="0" w:color="auto"/>
        <w:insideV w:val="single" w:sz="4" w:space="0" w:color="auto"/>
      </w:tblBorders>
    </w:tblPr>
    <w:tcPr>
      <w:vAlign w:val="center"/>
    </w:tcPr>
    <w:tblStylePr w:type="firstRow">
      <w:rPr>
        <w:rFonts w:ascii="Times New Roman" w:eastAsia="宋体" w:hAnsi="Times New Roman" w:cs="Times New Roman" w:hint="default"/>
        <w:b w:val="0"/>
        <w:i w:val="0"/>
        <w:caps w:val="0"/>
        <w:smallCaps w:val="0"/>
        <w:strike w:val="0"/>
        <w:dstrike w:val="0"/>
        <w:vanish w:val="0"/>
        <w:sz w:val="21"/>
        <w:szCs w:val="21"/>
        <w:u w:val="none"/>
      </w:rPr>
      <w:tblPr/>
      <w:tcPr>
        <w:vAlign w:val="bottom"/>
      </w:tcPr>
    </w:tblStylePr>
  </w:style>
  <w:style w:type="table" w:customStyle="1" w:styleId="1fffff5">
    <w:name w:val="附注表格1"/>
    <w:basedOn w:val="a3"/>
    <w:qFormat/>
    <w:pPr>
      <w:jc w:val="center"/>
    </w:pPr>
    <w:rPr>
      <w:szCs w:val="21"/>
    </w:rPr>
    <w:tblPr>
      <w:tblBorders>
        <w:top w:val="single" w:sz="4" w:space="0" w:color="auto"/>
        <w:bottom w:val="single" w:sz="4" w:space="0" w:color="auto"/>
        <w:insideH w:val="dotted" w:sz="4" w:space="0" w:color="auto"/>
        <w:insideV w:val="dotted" w:sz="4" w:space="0" w:color="auto"/>
      </w:tblBorders>
    </w:tblPr>
  </w:style>
  <w:style w:type="table" w:customStyle="1" w:styleId="1117">
    <w:name w:val="简明型 111"/>
    <w:basedOn w:val="a3"/>
    <w:qFormat/>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510">
    <w:name w:val="网格型 551"/>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style>
  <w:style w:type="table" w:customStyle="1" w:styleId="KWTable2">
    <w:name w:val="K&amp;W Table2"/>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hint="default"/>
        <w:b/>
        <w:sz w:val="20"/>
        <w:szCs w:val="20"/>
      </w:rPr>
      <w:tblPr/>
      <w:tcPr>
        <w:shd w:val="clear" w:color="auto" w:fill="E0E0E0"/>
      </w:tcPr>
    </w:tblStylePr>
  </w:style>
  <w:style w:type="table" w:customStyle="1" w:styleId="3114">
    <w:name w:val="彩色型 311"/>
    <w:basedOn w:val="a3"/>
    <w:semiHidden/>
    <w:qFormat/>
    <w:rPr>
      <w:rFonts w:ascii="Calibri" w:hAnsi="Calibri" w:cs="Calibri"/>
    </w:rPr>
    <w:tblPr/>
    <w:tblStylePr w:type="firstCol">
      <w:tblPr/>
      <w:tcPr>
        <w:tcBorders>
          <w:left w:val="single" w:sz="36" w:space="0" w:color="000000"/>
          <w:right w:val="single" w:sz="6" w:space="0" w:color="000000"/>
          <w:tl2br w:val="nil"/>
          <w:tr2bl w:val="nil"/>
        </w:tcBorders>
        <w:shd w:val="solid" w:color="008080" w:fill="FFFFFF"/>
      </w:tcPr>
    </w:tblStylePr>
  </w:style>
  <w:style w:type="table" w:customStyle="1" w:styleId="1118">
    <w:name w:val="立体型 111"/>
    <w:basedOn w:val="a3"/>
    <w:semiHidden/>
    <w:qFormat/>
    <w:rPr>
      <w:rFonts w:ascii="Calibri" w:hAnsi="Calibri" w:cs="Calibri"/>
    </w:rPr>
    <w:tblPr/>
    <w:tblStylePr w:type="swCell">
      <w:rPr>
        <w:color w:val="000080"/>
      </w:rPr>
      <w:tblPr/>
      <w:tcPr>
        <w:tcBorders>
          <w:top w:val="nil"/>
          <w:right w:val="nil"/>
          <w:tl2br w:val="nil"/>
          <w:tr2bl w:val="nil"/>
        </w:tcBorders>
      </w:tcPr>
    </w:tblStylePr>
  </w:style>
  <w:style w:type="table" w:customStyle="1" w:styleId="3115">
    <w:name w:val="立体型 311"/>
    <w:basedOn w:val="a3"/>
    <w:semiHidden/>
    <w:qFormat/>
    <w:tblPr/>
    <w:tblStylePr w:type="firstRow">
      <w:rPr>
        <w:b/>
        <w:bCs/>
      </w:rPr>
      <w:tblPr/>
      <w:tcPr>
        <w:tcBorders>
          <w:tl2br w:val="nil"/>
          <w:tr2bl w:val="nil"/>
        </w:tcBorders>
      </w:tcPr>
    </w:tblStylePr>
  </w:style>
  <w:style w:type="table" w:customStyle="1" w:styleId="7113">
    <w:name w:val="列表型 711"/>
    <w:basedOn w:val="a3"/>
    <w:qFormat/>
    <w:rPr>
      <w:rFonts w:ascii="Calibri" w:hAnsi="Calibri" w:cs="Calibri"/>
    </w:rPr>
    <w:tbl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1119">
    <w:name w:val="竖列型 111"/>
    <w:basedOn w:val="a3"/>
    <w:semiHidden/>
    <w:qFormat/>
    <w:rPr>
      <w:rFonts w:ascii="Calibri" w:hAnsi="Calibri" w:cs="Calibri"/>
    </w:rPr>
    <w:tblPr/>
    <w:tblStylePr w:type="swCell">
      <w:rPr>
        <w:b/>
        <w:bCs/>
      </w:rPr>
      <w:tblPr/>
      <w:tcPr>
        <w:tcBorders>
          <w:tl2br w:val="nil"/>
          <w:tr2bl w:val="nil"/>
        </w:tcBorders>
      </w:tcPr>
    </w:tblStylePr>
  </w:style>
  <w:style w:type="table" w:customStyle="1" w:styleId="2116">
    <w:name w:val="竖列型 211"/>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style>
  <w:style w:type="table" w:customStyle="1" w:styleId="2117">
    <w:name w:val="网页型 211"/>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1216">
    <w:name w:val="古典型 121"/>
    <w:basedOn w:val="a3"/>
    <w:qFormat/>
    <w:rPr>
      <w:rFonts w:ascii="Calibri" w:hAnsi="Calibri" w:cs="Calibri"/>
    </w:rPr>
    <w:tblPr/>
    <w:tblStylePr w:type="neCell">
      <w:rPr>
        <w:b/>
        <w:bCs/>
        <w:i w:val="0"/>
        <w:iCs w:val="0"/>
      </w:rPr>
      <w:tblPr/>
      <w:tcPr>
        <w:tcBorders>
          <w:tl2br w:val="nil"/>
          <w:tr2bl w:val="nil"/>
        </w:tcBorders>
      </w:tcPr>
    </w:tblStylePr>
  </w:style>
  <w:style w:type="table" w:customStyle="1" w:styleId="2213">
    <w:name w:val="简明型 221"/>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213">
    <w:name w:val="列表型 821"/>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3">
    <w:name w:val="竖列型 321"/>
    <w:basedOn w:val="a3"/>
    <w:semiHidden/>
    <w:qFormat/>
    <w:rPr>
      <w:rFonts w:ascii="Calibri" w:hAnsi="Calibri" w:cs="Calibri"/>
    </w:rPr>
    <w:tblPr/>
    <w:tblStylePr w:type="neCell">
      <w:rPr>
        <w:b/>
        <w:bCs/>
      </w:rPr>
      <w:tblPr/>
      <w:tcPr>
        <w:tcBorders>
          <w:tl2br w:val="nil"/>
          <w:tr2bl w:val="nil"/>
        </w:tcBorders>
      </w:tcPr>
    </w:tblStylePr>
  </w:style>
  <w:style w:type="table" w:customStyle="1" w:styleId="6213">
    <w:name w:val="网格型 621"/>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KWTable11">
    <w:name w:val="K&amp;W Table11"/>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cs="Arial" w:hint="default"/>
        <w:b/>
        <w:sz w:val="20"/>
        <w:szCs w:val="20"/>
      </w:rPr>
      <w:tblPr/>
      <w:tcPr>
        <w:shd w:val="clear" w:color="auto" w:fill="E0E0E0"/>
      </w:tcPr>
    </w:tblStylePr>
  </w:style>
  <w:style w:type="table" w:customStyle="1" w:styleId="2313">
    <w:name w:val="彩色型 231"/>
    <w:basedOn w:val="a3"/>
    <w:semiHidden/>
    <w:qFormat/>
    <w:rPr>
      <w:rFonts w:ascii="Calibri" w:hAnsi="Calibri" w:cs="Calibri"/>
    </w:rPr>
    <w:tbl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style>
  <w:style w:type="table" w:customStyle="1" w:styleId="2314">
    <w:name w:val="古典型 231"/>
    <w:basedOn w:val="a3"/>
    <w:semiHidden/>
    <w:qFormat/>
    <w:rPr>
      <w:rFonts w:ascii="Calibri" w:hAnsi="Calibri" w:cs="Calibri"/>
    </w:rPr>
    <w:tblPr/>
    <w:tblStylePr w:type="neCell">
      <w:rPr>
        <w:b/>
        <w:bCs/>
      </w:rPr>
      <w:tblPr/>
      <w:tcPr>
        <w:tcBorders>
          <w:tl2br w:val="nil"/>
          <w:tr2bl w:val="nil"/>
        </w:tcBorders>
      </w:tcPr>
    </w:tblStylePr>
    <w:tblStylePr w:type="nwCell">
      <w:tblPr/>
      <w:tcPr>
        <w:tcBorders>
          <w:tl2br w:val="nil"/>
          <w:tr2bl w:val="nil"/>
        </w:tcBorders>
        <w:shd w:val="solid" w:color="800080" w:fill="FFFFFF"/>
      </w:tcPr>
    </w:tblStylePr>
  </w:style>
  <w:style w:type="table" w:customStyle="1" w:styleId="2315">
    <w:name w:val="简明型 231"/>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311">
    <w:name w:val="列表型 831"/>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3">
    <w:name w:val="竖列型 331"/>
    <w:basedOn w:val="a3"/>
    <w:semiHidden/>
    <w:qFormat/>
    <w:rPr>
      <w:rFonts w:ascii="Calibri" w:hAnsi="Calibri" w:cs="Calibri"/>
    </w:rPr>
    <w:tblPr/>
    <w:tblStylePr w:type="neCell">
      <w:rPr>
        <w:b/>
        <w:bCs/>
      </w:rPr>
      <w:tblPr/>
      <w:tcPr>
        <w:tcBorders>
          <w:tl2br w:val="nil"/>
          <w:tr2bl w:val="nil"/>
        </w:tcBorders>
      </w:tcPr>
    </w:tblStylePr>
  </w:style>
  <w:style w:type="table" w:customStyle="1" w:styleId="6313">
    <w:name w:val="网格型 631"/>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114">
    <w:name w:val="浅色列表 - 强调文字颜色 114"/>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4">
    <w:name w:val="中等深浅底纹 1 - 强调文字颜色 114"/>
    <w:basedOn w:val="a3"/>
    <w:uiPriority w:val="63"/>
    <w:qFormat/>
    <w:rPr>
      <w:rFonts w:ascii="Calibri"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
    <w:name w:val="浅色列表 - 强调文字颜色 1111"/>
    <w:basedOn w:val="a3"/>
    <w:uiPriority w:val="61"/>
    <w:qFormat/>
    <w:rPr>
      <w:rFonts w:ascii="Calibri" w:hAnsi="Calibri" w:cs="Calibri"/>
    </w:rPr>
    <w:tbl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11">
    <w:name w:val="中等深浅底纹 1 - 强调文字颜色 1111"/>
    <w:basedOn w:val="a3"/>
    <w:uiPriority w:val="63"/>
    <w:qFormat/>
    <w:rPr>
      <w:rFonts w:ascii="Calibri"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
    <w:name w:val="浅色列表 - 强调文字颜色 1121"/>
    <w:basedOn w:val="a3"/>
    <w:uiPriority w:val="61"/>
    <w:qFormat/>
    <w:rPr>
      <w:rFonts w:ascii="Calibri" w:hAnsi="Calibri" w:cs="Calibri"/>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2">
    <w:name w:val="典雅型1311"/>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11">
    <w:name w:val="古典型 1131"/>
    <w:basedOn w:val="a3"/>
    <w:qFormat/>
    <w:rPr>
      <w:rFonts w:ascii="Calibri" w:hAnsi="Calibri" w:cs="Calibri"/>
    </w:rPr>
    <w:tblPr/>
    <w:tblStylePr w:type="firstCol">
      <w:tblPr/>
      <w:tcPr>
        <w:tcBorders>
          <w:right w:val="single" w:sz="6" w:space="0" w:color="000000"/>
          <w:tl2br w:val="nil"/>
          <w:tr2bl w:val="nil"/>
        </w:tcBorders>
      </w:tcPr>
    </w:tblStylePr>
  </w:style>
  <w:style w:type="table" w:customStyle="1" w:styleId="111a">
    <w:name w:val="网格型 111"/>
    <w:basedOn w:val="a3"/>
    <w:qFormat/>
    <w:rPr>
      <w:rFonts w:ascii="Calibri" w:hAnsi="Calibri" w:cs="Calibri"/>
    </w:rPr>
    <w:tblPr/>
    <w:tblStylePr w:type="nwCell">
      <w:tblPr/>
      <w:tcPr>
        <w:tcBorders>
          <w:tl2br w:val="single" w:sz="6" w:space="0" w:color="000000"/>
          <w:tr2bl w:val="nil"/>
        </w:tcBorders>
      </w:tcPr>
    </w:tblStylePr>
  </w:style>
  <w:style w:type="table" w:customStyle="1" w:styleId="1-221">
    <w:name w:val="中等深浅底纹 1 - 着色 221"/>
    <w:basedOn w:val="a3"/>
    <w:uiPriority w:val="63"/>
    <w:semiHidden/>
    <w:qFormat/>
    <w:rPr>
      <w:rFonts w:ascii="Calibri" w:hAnsi="Calibri" w:cs="Calibri"/>
    </w:rPr>
    <w:tbl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231">
    <w:name w:val="中等深浅底纹 1 - 着色 231"/>
    <w:basedOn w:val="a3"/>
    <w:uiPriority w:val="63"/>
    <w:semiHidden/>
    <w:qFormat/>
    <w:rPr>
      <w:rFonts w:ascii="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style>
  <w:style w:type="table" w:customStyle="1" w:styleId="-231">
    <w:name w:val="彩色列表 - 着色 231"/>
    <w:basedOn w:val="a3"/>
    <w:uiPriority w:val="72"/>
    <w:semiHidden/>
    <w:qFormat/>
    <w:rPr>
      <w:rFonts w:ascii="Calibri" w:hAnsi="Calibri" w:cs="Calibri"/>
    </w:rPr>
    <w:tblPr/>
    <w:tblStylePr w:type="band1Horz">
      <w:tblPr/>
      <w:tcPr>
        <w:shd w:val="clear" w:color="auto" w:fill="F2DBDB"/>
      </w:tcPr>
    </w:tblStylePr>
  </w:style>
  <w:style w:type="table" w:customStyle="1" w:styleId="1-341">
    <w:name w:val="中等深浅网格 1 - 着色 341"/>
    <w:basedOn w:val="a3"/>
    <w:uiPriority w:val="67"/>
    <w:semiHidden/>
    <w:qFormat/>
    <w:rPr>
      <w:rFonts w:ascii="Calibri" w:hAnsi="Calibri" w:cs="Calibri"/>
    </w:rPr>
    <w:tbl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style>
  <w:style w:type="table" w:customStyle="1" w:styleId="2-141">
    <w:name w:val="中等深浅网格 2 - 着色 141"/>
    <w:basedOn w:val="a3"/>
    <w:uiPriority w:val="68"/>
    <w:semiHidden/>
    <w:qFormat/>
    <w:rPr>
      <w:rFonts w:ascii="Calibri" w:hAnsi="Calibri" w:cs="Calibri"/>
    </w:rPr>
    <w:tblPr/>
    <w:tblStylePr w:type="band1Horz">
      <w:tblPr/>
      <w:tcPr>
        <w:tcBorders>
          <w:insideH w:val="single" w:sz="6" w:space="0" w:color="auto"/>
          <w:insideV w:val="single" w:sz="6" w:space="0" w:color="auto"/>
        </w:tcBorders>
        <w:shd w:val="clear" w:color="auto" w:fill="A7BFDE"/>
      </w:tcPr>
    </w:tblStylePr>
  </w:style>
  <w:style w:type="table" w:customStyle="1" w:styleId="7c">
    <w:name w:val="典雅型7"/>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70">
    <w:name w:val="网格型 57"/>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f8">
    <w:name w:val="定制网格型5"/>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9">
    <w:name w:val="奔奔团招股书格式5"/>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6d">
    <w:name w:val="招股书格式6"/>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54">
    <w:name w:val="典雅型15"/>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51">
    <w:name w:val="网格型 515"/>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80">
    <w:name w:val="网格型118"/>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奔奔团招股书格式14"/>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47">
    <w:name w:val="招股书格式14"/>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51">
    <w:name w:val="典雅型25"/>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30">
    <w:name w:val="网格型 523"/>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b">
    <w:name w:val="定制网格型13"/>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a">
    <w:name w:val="奔奔团招股书格式23"/>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3b">
    <w:name w:val="招股书格式23"/>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41">
    <w:name w:val="典雅型114"/>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3">
    <w:name w:val="网格型 5113"/>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90">
    <w:name w:val="网格型119"/>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奔奔团招股书格式113"/>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34">
    <w:name w:val="招股书格式113"/>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3c">
    <w:name w:val="定制网格型23"/>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典雅型34"/>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20">
    <w:name w:val="网格型 53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f3">
    <w:name w:val="定制网格型3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c">
    <w:name w:val="奔奔团招股书格式3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39">
    <w:name w:val="招股书格式33"/>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31">
    <w:name w:val="典雅型123"/>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2">
    <w:name w:val="网格型 512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40">
    <w:name w:val="网格型124"/>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奔奔团招股书格式12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23">
    <w:name w:val="招股书格式12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33">
    <w:name w:val="典雅型213"/>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2">
    <w:name w:val="网格型 521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5">
    <w:name w:val="定制网格型112"/>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奔奔团招股书格式21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26">
    <w:name w:val="招股书格式21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22">
    <w:name w:val="典雅型111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2">
    <w:name w:val="网格型 5111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40">
    <w:name w:val="网格型1114"/>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奔奔团招股书格式111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24">
    <w:name w:val="招股书格式111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8">
    <w:name w:val="定制网格型21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网格型218"/>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典雅型4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420">
    <w:name w:val="网格型 54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7">
    <w:name w:val="定制网格型4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奔奔团招股书格式4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419">
    <w:name w:val="招股书格式4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321">
    <w:name w:val="典雅型13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31">
    <w:name w:val="网格型 513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40">
    <w:name w:val="网格型134"/>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奔奔团招股书格式13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314">
    <w:name w:val="招股书格式13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214">
    <w:name w:val="典雅型22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21">
    <w:name w:val="网格型 522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7">
    <w:name w:val="定制网格型12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奔奔团招股书格式22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216">
    <w:name w:val="招股书格式22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221">
    <w:name w:val="典雅型112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21">
    <w:name w:val="网格型 5112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40">
    <w:name w:val="网格型1124"/>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奔奔团招股书格式112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215">
    <w:name w:val="招股书格式112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3116">
    <w:name w:val="典雅型3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11">
    <w:name w:val="网格型 53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17">
    <w:name w:val="定制网格型22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奔奔团招股书格式3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118">
    <w:name w:val="招股书格式3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112">
    <w:name w:val="典雅型12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11">
    <w:name w:val="网格型 512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30">
    <w:name w:val="网格型1213"/>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奔奔团招股书格式12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114">
    <w:name w:val="招股书格式12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13">
    <w:name w:val="典雅型21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11">
    <w:name w:val="网格型 521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4">
    <w:name w:val="定制网格型111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奔奔团招股书格式21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115">
    <w:name w:val="招股书格式21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112">
    <w:name w:val="典雅型111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11">
    <w:name w:val="网格型 5111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30">
    <w:name w:val="网格型11113"/>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奔奔团招股书格式111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114">
    <w:name w:val="招股书格式111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f0">
    <w:name w:val="预案表格12"/>
    <w:basedOn w:val="a3"/>
    <w:uiPriority w:val="99"/>
    <w:qFormat/>
    <w:rPr>
      <w:rFonts w:ascii="Calibri" w:hAnsi="Calibri"/>
    </w:rPr>
    <w:tblPr>
      <w:jc w:val="center"/>
      <w:tblBorders>
        <w:top w:val="thinThickSmallGap" w:sz="12" w:space="0" w:color="auto"/>
        <w:bottom w:val="thickThinSmallGap" w:sz="12" w:space="0" w:color="auto"/>
        <w:insideH w:val="single" w:sz="4" w:space="0" w:color="auto"/>
        <w:insideV w:val="single" w:sz="4" w:space="0" w:color="auto"/>
      </w:tblBorders>
    </w:tblPr>
    <w:trPr>
      <w:jc w:val="center"/>
    </w:trPr>
    <w:tcPr>
      <w:vAlign w:val="center"/>
    </w:tcPr>
    <w:tblStylePr w:type="firstRow">
      <w:rPr>
        <w:rFonts w:ascii="Times New Roman" w:eastAsia="宋体" w:hAnsi="Times New Roman"/>
        <w:b w:val="0"/>
        <w:i w:val="0"/>
        <w:caps w:val="0"/>
        <w:smallCaps w:val="0"/>
        <w:strike w:val="0"/>
        <w:dstrike w:val="0"/>
        <w:vanish w:val="0"/>
        <w:sz w:val="21"/>
        <w:vertAlign w:val="baseline"/>
      </w:rPr>
    </w:tblStylePr>
  </w:style>
  <w:style w:type="table" w:customStyle="1" w:styleId="3100">
    <w:name w:val="网格型310"/>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网格型57"/>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网格型67"/>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彩色型 25"/>
    <w:basedOn w:val="a3"/>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13c">
    <w:name w:val="简明型 13"/>
    <w:basedOn w:val="a3"/>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851">
    <w:name w:val="网格型 85"/>
    <w:basedOn w:val="a3"/>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320">
    <w:name w:val="浅色列表 - 着色 32"/>
    <w:basedOn w:val="a3"/>
    <w:uiPriority w:val="61"/>
    <w:qFormat/>
    <w:rPr>
      <w:rFonts w:ascii="Calibri" w:hAnsi="Calibri"/>
      <w:sz w:val="22"/>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2">
    <w:name w:val="中等深浅底纹 2 - 着色 52"/>
    <w:basedOn w:val="a3"/>
    <w:uiPriority w:val="64"/>
    <w:qFormat/>
    <w:rPr>
      <w:rFonts w:ascii="Calibri" w:hAnsi="Calibri"/>
      <w:sz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fc">
    <w:name w:val="附注表格2"/>
    <w:basedOn w:val="a3"/>
    <w:qFormat/>
    <w:pPr>
      <w:jc w:val="center"/>
    </w:pPr>
    <w:rPr>
      <w:szCs w:val="21"/>
    </w:rPr>
    <w:tblPr>
      <w:tblBorders>
        <w:top w:val="single" w:sz="4" w:space="0" w:color="auto"/>
        <w:bottom w:val="single" w:sz="4" w:space="0" w:color="auto"/>
        <w:insideH w:val="dotted" w:sz="4" w:space="0" w:color="auto"/>
        <w:insideV w:val="dotted" w:sz="4" w:space="0" w:color="auto"/>
      </w:tblBorders>
    </w:tblPr>
    <w:trPr>
      <w:tblHeader/>
    </w:trPr>
  </w:style>
  <w:style w:type="table" w:customStyle="1" w:styleId="760">
    <w:name w:val="网格型76"/>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a">
    <w:name w:val="表格主题5"/>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彩色型 12"/>
    <w:basedOn w:val="a3"/>
    <w:semiHidden/>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9">
    <w:name w:val="彩色型 211"/>
    <w:basedOn w:val="a3"/>
    <w:semiHidden/>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1">
    <w:name w:val="彩色型 35"/>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1a">
    <w:name w:val="典雅型51"/>
    <w:basedOn w:val="a3"/>
    <w:semiHidden/>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63">
    <w:name w:val="古典型 16"/>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3">
    <w:name w:val="古典型 25"/>
    <w:basedOn w:val="a3"/>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2">
    <w:name w:val="古典型 35"/>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1">
    <w:name w:val="古典型 45"/>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6">
    <w:name w:val="简明型 112"/>
    <w:basedOn w:val="a3"/>
    <w:qFormat/>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4">
    <w:name w:val="简明型 25"/>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3">
    <w:name w:val="简明型 35"/>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f2">
    <w:name w:val="精巧型 12"/>
    <w:basedOn w:val="a3"/>
    <w:semiHidden/>
    <w:qFormat/>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d">
    <w:name w:val="精巧型 22"/>
    <w:basedOn w:val="a3"/>
    <w:semiHidden/>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f3">
    <w:name w:val="表三维效果 12"/>
    <w:basedOn w:val="a3"/>
    <w:uiPriority w:val="99"/>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e">
    <w:name w:val="表三维效果 22"/>
    <w:basedOn w:val="a3"/>
    <w:uiPriority w:val="99"/>
    <w:semiHidden/>
    <w:qFormat/>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d">
    <w:name w:val="表三维效果 32"/>
    <w:basedOn w:val="a3"/>
    <w:uiPriority w:val="99"/>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5">
    <w:name w:val="列表型 15"/>
    <w:basedOn w:val="a3"/>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55">
    <w:name w:val="列表型 25"/>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4">
    <w:name w:val="列表型 35"/>
    <w:basedOn w:val="a3"/>
    <w:semiHidden/>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2">
    <w:name w:val="列表型 45"/>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6">
    <w:name w:val="列表型 52"/>
    <w:basedOn w:val="a3"/>
    <w:semiHidden/>
    <w:qFormat/>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4">
    <w:name w:val="列表型 62"/>
    <w:basedOn w:val="a3"/>
    <w:semiHidden/>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1">
    <w:name w:val="列表型 75"/>
    <w:basedOn w:val="a3"/>
    <w:semiHidden/>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2">
    <w:name w:val="列表型 85"/>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fb">
    <w:name w:val="流行型5"/>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56">
    <w:name w:val="竖列型 15"/>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6">
    <w:name w:val="竖列型 25"/>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55">
    <w:name w:val="竖列型 35"/>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53">
    <w:name w:val="竖列型 45"/>
    <w:basedOn w:val="a3"/>
    <w:semiHidden/>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竖列型 55"/>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3d">
    <w:name w:val="网格型 13"/>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f">
    <w:name w:val="网格型 22"/>
    <w:basedOn w:val="a3"/>
    <w:semiHidden/>
    <w:qFormat/>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e">
    <w:name w:val="网格型 32"/>
    <w:basedOn w:val="a3"/>
    <w:semiHidden/>
    <w:qFormat/>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54">
    <w:name w:val="网格型 45"/>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520">
    <w:name w:val="网格型 552"/>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51">
    <w:name w:val="网格型 65"/>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5">
    <w:name w:val="网格型 72"/>
    <w:basedOn w:val="a3"/>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3">
    <w:name w:val="网格型 811"/>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57">
    <w:name w:val="网页型 15"/>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7">
    <w:name w:val="网页型 25"/>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6">
    <w:name w:val="网页型 35"/>
    <w:basedOn w:val="a3"/>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5fc">
    <w:name w:val="专业型5"/>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5">
    <w:name w:val="中等深浅底纹 1 - 着色 25"/>
    <w:basedOn w:val="a3"/>
    <w:uiPriority w:val="63"/>
    <w:qFormat/>
    <w:rPr>
      <w:rFonts w:ascii="Calibri" w:hAnsi="Calibri"/>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
    <w:name w:val="中等深浅网格 1 - 着色 31"/>
    <w:basedOn w:val="a3"/>
    <w:uiPriority w:val="67"/>
    <w:qFormat/>
    <w:rPr>
      <w:rFonts w:ascii="Calibri" w:hAnsi="Calibri"/>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2-15">
    <w:name w:val="中等深浅网格 2 - 着色 15"/>
    <w:basedOn w:val="a3"/>
    <w:uiPriority w:val="68"/>
    <w:qFormat/>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25">
    <w:name w:val="彩色列表 - 着色 25"/>
    <w:basedOn w:val="a3"/>
    <w:uiPriority w:val="72"/>
    <w:qFormat/>
    <w:rPr>
      <w:rFonts w:ascii="Calibri" w:hAnsi="Calibri"/>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KWTable3">
    <w:name w:val="K&amp;W Table3"/>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b/>
        <w:sz w:val="20"/>
      </w:rPr>
      <w:tblPr/>
      <w:tcPr>
        <w:shd w:val="clear" w:color="auto" w:fill="E0E0E0"/>
      </w:tcPr>
    </w:tblStylePr>
  </w:style>
  <w:style w:type="table" w:customStyle="1" w:styleId="1430">
    <w:name w:val="网格型143"/>
    <w:basedOn w:val="a3"/>
    <w:qFormat/>
    <w:pPr>
      <w:spacing w:before="120" w:after="120" w:line="240" w:lineRule="atLeast"/>
    </w:pPr>
    <w:rPr>
      <w:rFonts w:ascii="Arial" w:hAnsi="Arial"/>
    </w:rPr>
    <w:tblPr/>
  </w:style>
  <w:style w:type="table" w:customStyle="1" w:styleId="2190">
    <w:name w:val="网格型219"/>
    <w:basedOn w:val="a3"/>
    <w:uiPriority w:val="59"/>
    <w:qFormat/>
    <w:pPr>
      <w:spacing w:before="120" w:after="120" w:line="240" w:lineRule="atLeast"/>
    </w:pPr>
    <w:rPr>
      <w:rFonts w:ascii="Arial" w:hAnsi="Arial"/>
    </w:rPr>
    <w:tblPr/>
  </w:style>
  <w:style w:type="table" w:customStyle="1" w:styleId="3124">
    <w:name w:val="彩色型 312"/>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12">
    <w:name w:val="典雅型141"/>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42">
    <w:name w:val="古典型 114"/>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a">
    <w:name w:val="古典型 211"/>
    <w:basedOn w:val="a3"/>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9">
    <w:name w:val="古典型 311"/>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4">
    <w:name w:val="古典型 411"/>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b">
    <w:name w:val="简明型 211"/>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a">
    <w:name w:val="简明型 311"/>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27">
    <w:name w:val="立体型 112"/>
    <w:basedOn w:val="a3"/>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125">
    <w:name w:val="立体型 312"/>
    <w:basedOn w:val="a3"/>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b">
    <w:name w:val="列表型 111"/>
    <w:basedOn w:val="a3"/>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c">
    <w:name w:val="列表型 211"/>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b">
    <w:name w:val="列表型 311"/>
    <w:basedOn w:val="a3"/>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5">
    <w:name w:val="列表型 411"/>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120">
    <w:name w:val="列表型 712"/>
    <w:basedOn w:val="a3"/>
    <w:semiHidden/>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4">
    <w:name w:val="列表型 811"/>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1f8">
    <w:name w:val="流行型11"/>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8">
    <w:name w:val="竖列型 112"/>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7">
    <w:name w:val="竖列型 212"/>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c">
    <w:name w:val="竖列型 311"/>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6">
    <w:name w:val="竖列型 411"/>
    <w:basedOn w:val="a3"/>
    <w:semiHidden/>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竖列型 511"/>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117">
    <w:name w:val="网格型 411"/>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4">
    <w:name w:val="网格型 611"/>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c">
    <w:name w:val="网页型 111"/>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8">
    <w:name w:val="网页型 212"/>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d">
    <w:name w:val="网页型 311"/>
    <w:basedOn w:val="a3"/>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f9">
    <w:name w:val="专业型11"/>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31140">
    <w:name w:val="网格型3114"/>
    <w:basedOn w:val="a3"/>
    <w:uiPriority w:val="59"/>
    <w:qFormat/>
    <w:pPr>
      <w:spacing w:before="120" w:after="120" w:line="240" w:lineRule="atLeast"/>
    </w:pPr>
    <w:rPr>
      <w:rFonts w:ascii="Arial" w:hAnsi="Arial"/>
    </w:rPr>
    <w:tblPr/>
  </w:style>
  <w:style w:type="table" w:customStyle="1" w:styleId="2218">
    <w:name w:val="彩色型 221"/>
    <w:basedOn w:val="a3"/>
    <w:semiHidden/>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4">
    <w:name w:val="彩色型 321"/>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316">
    <w:name w:val="典雅型231"/>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224">
    <w:name w:val="古典型 122"/>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9">
    <w:name w:val="古典型 221"/>
    <w:basedOn w:val="a3"/>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5">
    <w:name w:val="古典型 321"/>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3">
    <w:name w:val="古典型 421"/>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21">
    <w:name w:val="简明型 222"/>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6">
    <w:name w:val="简明型 321"/>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8">
    <w:name w:val="立体型 121"/>
    <w:basedOn w:val="a3"/>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217">
    <w:name w:val="立体型 321"/>
    <w:basedOn w:val="a3"/>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9">
    <w:name w:val="列表型 121"/>
    <w:basedOn w:val="a3"/>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a">
    <w:name w:val="列表型 221"/>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18">
    <w:name w:val="列表型 321"/>
    <w:basedOn w:val="a3"/>
    <w:semiHidden/>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4">
    <w:name w:val="列表型 421"/>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213">
    <w:name w:val="列表型 721"/>
    <w:basedOn w:val="a3"/>
    <w:semiHidden/>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21">
    <w:name w:val="列表型 822"/>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21fb">
    <w:name w:val="流行型21"/>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a">
    <w:name w:val="竖列型 121"/>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b">
    <w:name w:val="竖列型 221"/>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21">
    <w:name w:val="竖列型 322"/>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5">
    <w:name w:val="竖列型 421"/>
    <w:basedOn w:val="a3"/>
    <w:semiHidden/>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
    <w:name w:val="竖列型 521"/>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216">
    <w:name w:val="网格型 421"/>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21">
    <w:name w:val="网格型 622"/>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214">
    <w:name w:val="网格型 821"/>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b">
    <w:name w:val="网页型 121"/>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c">
    <w:name w:val="网页型 221"/>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9">
    <w:name w:val="网页型 321"/>
    <w:basedOn w:val="a3"/>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fc">
    <w:name w:val="专业型21"/>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Normal11">
    <w:name w:val="Table Normal11"/>
    <w:uiPriority w:val="2"/>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KWTable12">
    <w:name w:val="K&amp;W Table12"/>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b/>
        <w:sz w:val="20"/>
      </w:rPr>
      <w:tblPr/>
      <w:tcPr>
        <w:shd w:val="clear" w:color="auto" w:fill="E0E0E0"/>
      </w:tcPr>
    </w:tblStylePr>
  </w:style>
  <w:style w:type="table" w:customStyle="1" w:styleId="2321">
    <w:name w:val="彩色型 232"/>
    <w:basedOn w:val="a3"/>
    <w:semiHidden/>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4">
    <w:name w:val="彩色型 331"/>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1a">
    <w:name w:val="典雅型321"/>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315">
    <w:name w:val="古典型 131"/>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22">
    <w:name w:val="古典型 232"/>
    <w:basedOn w:val="a3"/>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5">
    <w:name w:val="古典型 331"/>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3">
    <w:name w:val="古典型 431"/>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323">
    <w:name w:val="简明型 232"/>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6">
    <w:name w:val="简明型 331"/>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6">
    <w:name w:val="立体型 131"/>
    <w:basedOn w:val="a3"/>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317">
    <w:name w:val="立体型 331"/>
    <w:basedOn w:val="a3"/>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7">
    <w:name w:val="列表型 131"/>
    <w:basedOn w:val="a3"/>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7">
    <w:name w:val="列表型 231"/>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318">
    <w:name w:val="列表型 331"/>
    <w:basedOn w:val="a3"/>
    <w:semiHidden/>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4">
    <w:name w:val="列表型 431"/>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311">
    <w:name w:val="列表型 731"/>
    <w:basedOn w:val="a3"/>
    <w:semiHidden/>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21">
    <w:name w:val="列表型 832"/>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31f4">
    <w:name w:val="流行型31"/>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8">
    <w:name w:val="竖列型 131"/>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8">
    <w:name w:val="竖列型 231"/>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21">
    <w:name w:val="竖列型 332"/>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5">
    <w:name w:val="竖列型 431"/>
    <w:basedOn w:val="a3"/>
    <w:semiHidden/>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
    <w:name w:val="竖列型 531"/>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316">
    <w:name w:val="网格型 431"/>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21">
    <w:name w:val="网格型 632"/>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312">
    <w:name w:val="网格型 831"/>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9">
    <w:name w:val="网页型 131"/>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9">
    <w:name w:val="网页型 231"/>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9">
    <w:name w:val="网页型 331"/>
    <w:basedOn w:val="a3"/>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f5">
    <w:name w:val="专业型31"/>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5">
    <w:name w:val="浅色列表 - 强调文字颜色 115"/>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5">
    <w:name w:val="中等深浅底纹 1 - 强调文字颜色 115"/>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30">
    <w:name w:val="网格型1133"/>
    <w:basedOn w:val="a3"/>
    <w:uiPriority w:val="59"/>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样式54"/>
    <w:basedOn w:val="a3"/>
    <w:uiPriority w:val="99"/>
    <w:qFormat/>
    <w:rPr>
      <w:rFonts w:ascii="Calibri" w:hAnsi="Calibri"/>
    </w:rPr>
    <w:tblPr/>
  </w:style>
  <w:style w:type="table" w:customStyle="1" w:styleId="21140">
    <w:name w:val="网格型21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f2">
    <w:name w:val="表格模式4"/>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4160">
    <w:name w:val="网格型416"/>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网格型1222"/>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浅色列表 - 强调文字颜色 1112"/>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2">
    <w:name w:val="中等深浅底纹 1 - 强调文字颜色 1112"/>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40">
    <w:name w:val="网格型22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a3"/>
    <w:uiPriority w:val="59"/>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典雅型1131"/>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15">
    <w:name w:val="古典型 1111"/>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20">
    <w:name w:val="网格型11122"/>
    <w:basedOn w:val="a3"/>
    <w:uiPriority w:val="59"/>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样式511"/>
    <w:basedOn w:val="a3"/>
    <w:uiPriority w:val="99"/>
    <w:qFormat/>
    <w:rPr>
      <w:rFonts w:ascii="Calibri" w:hAnsi="Calibri"/>
    </w:rPr>
    <w:tblPr/>
  </w:style>
  <w:style w:type="table" w:customStyle="1" w:styleId="6115">
    <w:name w:val="样式611"/>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11fa">
    <w:name w:val="表格模式11"/>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5160">
    <w:name w:val="网格型516"/>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网格型1313"/>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浅色列表 - 强调文字颜色 1122"/>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1">
    <w:name w:val="中等深浅底纹 1 - 强调文字颜色 1121"/>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40">
    <w:name w:val="网格型23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网格型324"/>
    <w:basedOn w:val="a3"/>
    <w:uiPriority w:val="59"/>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典雅型1221"/>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216">
    <w:name w:val="古典型 1121"/>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30">
    <w:name w:val="网格型11213"/>
    <w:basedOn w:val="a3"/>
    <w:uiPriority w:val="59"/>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样式521"/>
    <w:basedOn w:val="a3"/>
    <w:uiPriority w:val="99"/>
    <w:qFormat/>
    <w:rPr>
      <w:rFonts w:ascii="Calibri" w:hAnsi="Calibri"/>
    </w:rPr>
    <w:tblPr/>
  </w:style>
  <w:style w:type="table" w:customStyle="1" w:styleId="21240">
    <w:name w:val="网格型212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4">
    <w:name w:val="样式621"/>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21fd">
    <w:name w:val="表格模式21"/>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6160">
    <w:name w:val="网格型616"/>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典雅型4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413">
    <w:name w:val="古典型 141"/>
    <w:basedOn w:val="a3"/>
    <w:qFormat/>
    <w:pPr>
      <w:widowControl w:val="0"/>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20">
    <w:name w:val="网格型1412"/>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浅色列表 - 强调文字颜色 1131"/>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1">
    <w:name w:val="中等深浅底纹 1 - 强调文字颜色 1131"/>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430">
    <w:name w:val="网格型24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网格型334"/>
    <w:basedOn w:val="a3"/>
    <w:uiPriority w:val="59"/>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典雅型1312"/>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21">
    <w:name w:val="古典型 1132"/>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313">
    <w:name w:val="样式531"/>
    <w:basedOn w:val="a3"/>
    <w:uiPriority w:val="99"/>
    <w:qFormat/>
    <w:rPr>
      <w:rFonts w:ascii="Calibri" w:hAnsi="Calibri"/>
    </w:rPr>
    <w:tblPr/>
  </w:style>
  <w:style w:type="table" w:customStyle="1" w:styleId="21330">
    <w:name w:val="网格型213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4">
    <w:name w:val="样式631"/>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31f6">
    <w:name w:val="表格模式31"/>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7140">
    <w:name w:val="网格型71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网格型86"/>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网格型9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网格型10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网格型15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网格型16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网格型17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网格型81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网格型183"/>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网格型191"/>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网格型201"/>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网格型251"/>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网格型26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网格型271"/>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61">
    <w:name w:val="Table Normal61"/>
    <w:uiPriority w:val="2"/>
    <w:semiHidden/>
    <w:qFormat/>
    <w:pPr>
      <w:widowControl w:val="0"/>
    </w:pPr>
    <w:rPr>
      <w:rFonts w:ascii="Calibri" w:eastAsia="Times New Roman" w:hAnsi="Calibri"/>
      <w:sz w:val="22"/>
      <w:lang w:eastAsia="en-US"/>
    </w:rPr>
    <w:tblPr>
      <w:tblCellMar>
        <w:top w:w="0" w:type="dxa"/>
        <w:left w:w="0" w:type="dxa"/>
        <w:bottom w:w="0" w:type="dxa"/>
        <w:right w:w="0" w:type="dxa"/>
      </w:tblCellMar>
    </w:tblPr>
  </w:style>
  <w:style w:type="table" w:customStyle="1" w:styleId="TableNormal21">
    <w:name w:val="Table Normal21"/>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31">
    <w:name w:val="Table Normal31"/>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41">
    <w:name w:val="Table Normal41"/>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283">
    <w:name w:val="网格型28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网格型110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网格型411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网格型5112"/>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网格型29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网格型30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网格型281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1">
    <w:name w:val="网格型282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40">
    <w:name w:val="网格型6114"/>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表格主题14"/>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240">
    <w:name w:val="网格型42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0">
    <w:name w:val="网格型52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网格型624"/>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0">
    <w:name w:val="表格主题2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1130">
    <w:name w:val="网格型7113"/>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网格型311112"/>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3">
    <w:name w:val="网格型411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0">
    <w:name w:val="网格型511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
    <w:name w:val="表格主题11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340">
    <w:name w:val="网格型43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1">
    <w:name w:val="网格型53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网格型634"/>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f">
    <w:name w:val="表格主题3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40">
    <w:name w:val="网格型724"/>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网格型82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40">
    <w:name w:val="网格型312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4">
    <w:name w:val="网格型412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0">
    <w:name w:val="网格型512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
    <w:name w:val="网格型6124"/>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主题12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430">
    <w:name w:val="网格型44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11">
    <w:name w:val="网格型54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0">
    <w:name w:val="网格型643"/>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a">
    <w:name w:val="表格主题4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33">
    <w:name w:val="网格型733"/>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网格型83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网格型313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3">
    <w:name w:val="网格型413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0">
    <w:name w:val="网格型513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3">
    <w:name w:val="网格型6133"/>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a">
    <w:name w:val="表格主题13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9130">
    <w:name w:val="网格型9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20">
    <w:name w:val="网格型12112"/>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网格型22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0">
    <w:name w:val="网格型32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30">
    <w:name w:val="网格型42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0">
    <w:name w:val="网格型52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0">
    <w:name w:val="网格型6213"/>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d">
    <w:name w:val="表格主题2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81130">
    <w:name w:val="网格型81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0">
    <w:name w:val="网格型111112"/>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网格型211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3">
    <w:name w:val="网格型61113"/>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表格主题11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1013">
    <w:name w:val="网格型10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20">
    <w:name w:val="网格型13112"/>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网格型23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30">
    <w:name w:val="网格型33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30">
    <w:name w:val="网格型43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10">
    <w:name w:val="网格型53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0">
    <w:name w:val="网格型6313"/>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e">
    <w:name w:val="表格主题3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130">
    <w:name w:val="网格型7213"/>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0">
    <w:name w:val="网格型82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2">
    <w:name w:val="网格型112112"/>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网格型212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3">
    <w:name w:val="网格型312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3">
    <w:name w:val="网格型412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10">
    <w:name w:val="网格型512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3">
    <w:name w:val="网格型61213"/>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
    <w:name w:val="表格主题12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grp3">
    <w:name w:val="grp3"/>
    <w:basedOn w:val="affff"/>
    <w:qFormat/>
    <w:pPr>
      <w:widowControl w:val="0"/>
      <w:jc w:val="both"/>
    </w:p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12a">
    <w:name w:val="网格型 112"/>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1410">
    <w:name w:val="网格型 514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510">
    <w:name w:val="网格型35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0">
    <w:name w:val="网格型114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网格型210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网格型36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0">
    <w:name w:val="网格型45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1">
    <w:name w:val="网格型55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网格型65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网格型74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网格型84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
    <w:name w:val="网格型115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网格型214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1">
    <w:name w:val="网格型314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1">
    <w:name w:val="网格型414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11">
    <w:name w:val="网格型514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
    <w:name w:val="网格型614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网格型9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0">
    <w:name w:val="网格型122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网格型22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网格型32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1">
    <w:name w:val="网格型42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0">
    <w:name w:val="网格型622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网格型712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网格型8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网格型1112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网格型21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1">
    <w:name w:val="网格型31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
    <w:name w:val="网格型41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1">
    <w:name w:val="网格型6112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网格型10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0">
    <w:name w:val="网格型132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网格型23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0">
    <w:name w:val="网格型33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1">
    <w:name w:val="网格型43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10">
    <w:name w:val="网格型632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网格型722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0">
    <w:name w:val="网格型82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0">
    <w:name w:val="网格型1122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网格型212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1">
    <w:name w:val="网格型312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21">
    <w:name w:val="网格型412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1">
    <w:name w:val="网格型6122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网格型14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网格型15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网格型24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
    <w:name w:val="网格型34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网格型44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1">
    <w:name w:val="网格型64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网格型731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0">
    <w:name w:val="网格型83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0">
    <w:name w:val="网格型113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网格型213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1">
    <w:name w:val="网格型313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1">
    <w:name w:val="网格型413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1">
    <w:name w:val="网格型613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网格型9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1">
    <w:name w:val="网格型121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网格型22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1">
    <w:name w:val="网格型32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1">
    <w:name w:val="网格型42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1">
    <w:name w:val="网格型621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网格型7111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网格型8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
    <w:name w:val="网格型1111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网格型21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1">
    <w:name w:val="网格型311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1">
    <w:name w:val="网格型41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1">
    <w:name w:val="网格型6111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网格型10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
    <w:name w:val="网格型131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网格型23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1">
    <w:name w:val="网格型33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1">
    <w:name w:val="网格型43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1">
    <w:name w:val="网格型631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网格型7211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网格型82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11">
    <w:name w:val="网格型1121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网格型212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1">
    <w:name w:val="网格型312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1">
    <w:name w:val="网格型412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1">
    <w:name w:val="网格型6121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网格型16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
    <w:name w:val="网格型1711"/>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网格型1811"/>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11">
    <w:name w:val="grp11"/>
    <w:basedOn w:val="affff"/>
    <w:qFormat/>
    <w:pPr>
      <w:widowControl w:val="0"/>
      <w:jc w:val="both"/>
    </w:p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2-121">
    <w:name w:val="中等深浅网格 2 - 着色 121"/>
    <w:basedOn w:val="a3"/>
    <w:uiPriority w:val="68"/>
    <w:semiHidden/>
    <w:qFormat/>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7C6"/>
      </w:tcPr>
    </w:tblStylePr>
  </w:style>
  <w:style w:type="table" w:customStyle="1" w:styleId="1-222">
    <w:name w:val="中等深浅底纹 1 - 着色 222"/>
    <w:basedOn w:val="a3"/>
    <w:uiPriority w:val="63"/>
    <w:semiHidden/>
    <w:qFormat/>
    <w:rPr>
      <w:rFonts w:ascii="Calibri" w:hAnsi="Calibri"/>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7C6"/>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21">
    <w:name w:val="彩色列表 - 着色 221"/>
    <w:basedOn w:val="a3"/>
    <w:uiPriority w:val="72"/>
    <w:semiHidden/>
    <w:qFormat/>
    <w:rPr>
      <w:rFonts w:ascii="Calibri" w:hAnsi="Calibri"/>
      <w:color w:val="000000"/>
    </w:rPr>
    <w:tblPr/>
    <w:tcPr>
      <w:shd w:val="clear" w:color="auto" w:fill="FDF2EA"/>
    </w:tcPr>
    <w:tblStylePr w:type="firstRow">
      <w:rPr>
        <w:b/>
        <w:bCs/>
        <w:color w:val="FFF7C6"/>
      </w:rPr>
      <w:tblPr/>
      <w:tcPr>
        <w:tcBorders>
          <w:bottom w:val="single" w:sz="12" w:space="0" w:color="FFF7C6"/>
        </w:tcBorders>
        <w:shd w:val="clear" w:color="auto" w:fill="D25F12"/>
      </w:tcPr>
    </w:tblStylePr>
    <w:tblStylePr w:type="lastRow">
      <w:rPr>
        <w:b/>
        <w:bCs/>
        <w:color w:val="D25F12"/>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1-321">
    <w:name w:val="中等深浅网格 1 - 着色 321"/>
    <w:basedOn w:val="a3"/>
    <w:uiPriority w:val="67"/>
    <w:semiHidden/>
    <w:qFormat/>
    <w:rPr>
      <w:rFonts w:ascii="Calibri" w:hAnsi="Calibri"/>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331">
    <w:name w:val="中等深浅网格 1 - 着色 331"/>
    <w:basedOn w:val="a3"/>
    <w:uiPriority w:val="67"/>
    <w:semiHidden/>
    <w:qFormat/>
    <w:rPr>
      <w:rFonts w:ascii="Calibri" w:hAnsi="Calibri"/>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31">
    <w:name w:val="中等深浅网格 2 - 着色 131"/>
    <w:basedOn w:val="a3"/>
    <w:uiPriority w:val="68"/>
    <w:semiHidden/>
    <w:qFormat/>
    <w:rPr>
      <w:rFonts w:ascii="Cambria" w:hAnsi="Cambria"/>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32">
    <w:name w:val="中等深浅底纹 1 - 着色 232"/>
    <w:basedOn w:val="a3"/>
    <w:uiPriority w:val="63"/>
    <w:semiHidden/>
    <w:qFormat/>
    <w:rPr>
      <w:rFonts w:ascii="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32">
    <w:name w:val="彩色列表 - 着色 232"/>
    <w:basedOn w:val="a3"/>
    <w:uiPriority w:val="72"/>
    <w:semiHidden/>
    <w:qFormat/>
    <w:rPr>
      <w:rFonts w:ascii="Calibri" w:hAnsi="Calibri"/>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71">
    <w:name w:val="网格型37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1">
    <w:name w:val="网格型116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网格型215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网格型38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网格型46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10">
    <w:name w:val="网格型56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网格型66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网格型75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0">
    <w:name w:val="网格型85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1">
    <w:name w:val="网格型117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网格型216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1">
    <w:name w:val="网格型315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1">
    <w:name w:val="网格型415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0">
    <w:name w:val="网格型515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1">
    <w:name w:val="网格型615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网格型9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网格型123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网格型22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1">
    <w:name w:val="网格型32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1">
    <w:name w:val="网格型42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1">
    <w:name w:val="网格型623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网格型713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
    <w:name w:val="网格型81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
    <w:name w:val="网格型1113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网格型211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1">
    <w:name w:val="网格型311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1">
    <w:name w:val="网格型411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31">
    <w:name w:val="网格型6113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网格型10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网格型133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网格型23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网格型33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1">
    <w:name w:val="网格型43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31">
    <w:name w:val="网格型633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网格型723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
    <w:name w:val="网格型82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1">
    <w:name w:val="网格型1123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网格型212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1">
    <w:name w:val="网格型312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31">
    <w:name w:val="网格型4123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31">
    <w:name w:val="网格型6123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网格型14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网格型152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网格型24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1">
    <w:name w:val="网格型34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1">
    <w:name w:val="网格型44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21">
    <w:name w:val="网格型642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网格型732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0">
    <w:name w:val="网格型83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10">
    <w:name w:val="网格型1132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网格型213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21">
    <w:name w:val="网格型313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21">
    <w:name w:val="网格型413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21">
    <w:name w:val="网格型6132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网格型9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1">
    <w:name w:val="网格型1212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网格型22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网格型32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1">
    <w:name w:val="网格型42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1">
    <w:name w:val="网格型6212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网格型7112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
    <w:name w:val="网格型81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1">
    <w:name w:val="网格型11112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网格型211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1">
    <w:name w:val="网格型311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21">
    <w:name w:val="网格型411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21">
    <w:name w:val="网格型61112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网格型10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1">
    <w:name w:val="网格型1312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网格型23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1">
    <w:name w:val="网格型33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21">
    <w:name w:val="网格型43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21">
    <w:name w:val="网格型6312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网格型7212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网格型82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1">
    <w:name w:val="网格型11212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网格型212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1">
    <w:name w:val="网格型312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21">
    <w:name w:val="网格型4121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21">
    <w:name w:val="网格型61212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网格型162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1">
    <w:name w:val="网格型1721"/>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网格型1821"/>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21">
    <w:name w:val="grp21"/>
    <w:basedOn w:val="affff"/>
    <w:qFormat/>
    <w:pPr>
      <w:widowControl w:val="0"/>
      <w:jc w:val="both"/>
    </w:p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342">
    <w:name w:val="中等深浅网格 1 - 着色 342"/>
    <w:basedOn w:val="a3"/>
    <w:uiPriority w:val="67"/>
    <w:semiHidden/>
    <w:qFormat/>
    <w:rPr>
      <w:rFonts w:ascii="Calibri" w:hAnsi="Calibri"/>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42">
    <w:name w:val="中等深浅网格 2 - 着色 142"/>
    <w:basedOn w:val="a3"/>
    <w:uiPriority w:val="68"/>
    <w:semiHidden/>
    <w:qFormat/>
    <w:rPr>
      <w:rFonts w:ascii="Cambria" w:hAnsi="Cambria"/>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41">
    <w:name w:val="中等深浅底纹 1 - 着色 241"/>
    <w:basedOn w:val="a3"/>
    <w:uiPriority w:val="63"/>
    <w:semiHidden/>
    <w:qFormat/>
    <w:rPr>
      <w:rFonts w:ascii="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
    <w:name w:val="彩色列表 - 着色 241"/>
    <w:basedOn w:val="a3"/>
    <w:uiPriority w:val="72"/>
    <w:semiHidden/>
    <w:qFormat/>
    <w:rPr>
      <w:rFonts w:ascii="Calibri" w:hAnsi="Calibri"/>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91">
    <w:name w:val="网格型391"/>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网格型401"/>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网格型471"/>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网格型481"/>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c">
    <w:name w:val="简明型 121"/>
    <w:basedOn w:val="a3"/>
    <w:unhideWhenUsed/>
    <w:qFormat/>
    <w:pPr>
      <w:widowControl w:val="0"/>
      <w:jc w:val="both"/>
    </w:p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10">
    <w:name w:val="简明型 241"/>
    <w:basedOn w:val="a3"/>
    <w:unhideWhenUsed/>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10">
    <w:name w:val="简明型 341"/>
    <w:basedOn w:val="a3"/>
    <w:unhideWhenUsed/>
    <w:qFormat/>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customStyle="1" w:styleId="1512">
    <w:name w:val="古典型 151"/>
    <w:basedOn w:val="a3"/>
    <w:unhideWhenUsed/>
    <w:qFormat/>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2">
    <w:name w:val="古典型 241"/>
    <w:basedOn w:val="a3"/>
    <w:unhideWhenUsed/>
    <w:qFormat/>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2">
    <w:name w:val="古典型 341"/>
    <w:basedOn w:val="a3"/>
    <w:unhideWhenUsed/>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0">
    <w:name w:val="古典型 441"/>
    <w:basedOn w:val="a3"/>
    <w:unhideWhenUsed/>
    <w:qFormat/>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d">
    <w:name w:val="彩色型 111"/>
    <w:basedOn w:val="a3"/>
    <w:unhideWhenUsed/>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13">
    <w:name w:val="彩色型 241"/>
    <w:basedOn w:val="a3"/>
    <w:unhideWhenUsed/>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3">
    <w:name w:val="彩色型 341"/>
    <w:basedOn w:val="a3"/>
    <w:unhideWhenUsed/>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14">
    <w:name w:val="竖列型 141"/>
    <w:basedOn w:val="a3"/>
    <w:unhideWhenUsed/>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14">
    <w:name w:val="竖列型 241"/>
    <w:basedOn w:val="a3"/>
    <w:unhideWhenUsed/>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14">
    <w:name w:val="竖列型 341"/>
    <w:basedOn w:val="a3"/>
    <w:unhideWhenUsed/>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12">
    <w:name w:val="竖列型 441"/>
    <w:basedOn w:val="a3"/>
    <w:unhideWhenUsed/>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2">
    <w:name w:val="竖列型 541"/>
    <w:basedOn w:val="a3"/>
    <w:unhideWhenUsed/>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1d">
    <w:name w:val="网格型 121"/>
    <w:basedOn w:val="a3"/>
    <w:unhideWhenUsed/>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e">
    <w:name w:val="网格型 211"/>
    <w:basedOn w:val="a3"/>
    <w:unhideWhenUsed/>
    <w:qFormat/>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f">
    <w:name w:val="网格型 311"/>
    <w:basedOn w:val="a3"/>
    <w:unhideWhenUsed/>
    <w:qFormat/>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13">
    <w:name w:val="网格型 441"/>
    <w:basedOn w:val="a3"/>
    <w:unhideWhenUsed/>
    <w:qFormat/>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611">
    <w:name w:val="网格型 561"/>
    <w:basedOn w:val="a3"/>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10">
    <w:name w:val="网格型 641"/>
    <w:basedOn w:val="a3"/>
    <w:unhideWhenUsed/>
    <w:qFormat/>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4">
    <w:name w:val="网格型 711"/>
    <w:basedOn w:val="a3"/>
    <w:unhideWhenUsed/>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11">
    <w:name w:val="网格型 841"/>
    <w:basedOn w:val="a3"/>
    <w:unhideWhenUsed/>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15">
    <w:name w:val="列表型 141"/>
    <w:basedOn w:val="a3"/>
    <w:unhideWhenUsed/>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15">
    <w:name w:val="列表型 241"/>
    <w:basedOn w:val="a3"/>
    <w:unhideWhenUsed/>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15">
    <w:name w:val="列表型 341"/>
    <w:basedOn w:val="a3"/>
    <w:unhideWhenUsed/>
    <w:qFormat/>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4">
    <w:name w:val="列表型 441"/>
    <w:basedOn w:val="a3"/>
    <w:unhideWhenUsed/>
    <w:qFormat/>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6">
    <w:name w:val="列表型 511"/>
    <w:basedOn w:val="a3"/>
    <w:unhideWhenUsed/>
    <w:qFormat/>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6">
    <w:name w:val="列表型 611"/>
    <w:basedOn w:val="a3"/>
    <w:unhideWhenUsed/>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411">
    <w:name w:val="列表型 741"/>
    <w:basedOn w:val="a3"/>
    <w:unhideWhenUsed/>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2">
    <w:name w:val="列表型 841"/>
    <w:basedOn w:val="a3"/>
    <w:unhideWhenUsed/>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1e">
    <w:name w:val="表三维效果 111"/>
    <w:basedOn w:val="a3"/>
    <w:uiPriority w:val="99"/>
    <w:unhideWhenUsed/>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f">
    <w:name w:val="表三维效果 211"/>
    <w:basedOn w:val="a3"/>
    <w:uiPriority w:val="99"/>
    <w:unhideWhenUsed/>
    <w:qFormat/>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f0">
    <w:name w:val="表三维效果 311"/>
    <w:basedOn w:val="a3"/>
    <w:uiPriority w:val="99"/>
    <w:unhideWhenUsed/>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41b">
    <w:name w:val="流行型41"/>
    <w:basedOn w:val="a3"/>
    <w:unhideWhenUsed/>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618">
    <w:name w:val="典雅型61"/>
    <w:basedOn w:val="a3"/>
    <w:unhideWhenUsed/>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41c">
    <w:name w:val="专业型41"/>
    <w:basedOn w:val="a3"/>
    <w:unhideWhenUsed/>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customStyle="1" w:styleId="111f">
    <w:name w:val="精巧型 111"/>
    <w:basedOn w:val="a3"/>
    <w:unhideWhenUsed/>
    <w:qFormat/>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f0">
    <w:name w:val="精巧型 211"/>
    <w:basedOn w:val="a3"/>
    <w:unhideWhenUsed/>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16">
    <w:name w:val="网页型 141"/>
    <w:basedOn w:val="a3"/>
    <w:unhideWhenUsed/>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416">
    <w:name w:val="网页型 241"/>
    <w:basedOn w:val="a3"/>
    <w:unhideWhenUsed/>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3416">
    <w:name w:val="网页型 341"/>
    <w:basedOn w:val="a3"/>
    <w:unhideWhenUsed/>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111">
    <w:name w:val="中等深浅网格 2 - 着色 111"/>
    <w:basedOn w:val="a3"/>
    <w:uiPriority w:val="68"/>
    <w:unhideWhenUsed/>
    <w:qFormat/>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1-211">
    <w:name w:val="中等深浅底纹 1 - 着色 211"/>
    <w:basedOn w:val="a3"/>
    <w:uiPriority w:val="63"/>
    <w:unhideWhenUsed/>
    <w:qFormat/>
    <w:rPr>
      <w:rFonts w:ascii="Calibri" w:hAnsi="Calibri"/>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100" w:beforeAutospacing="1" w:afterLines="0" w:after="100" w:afterAutospacing="1"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100" w:beforeAutospacing="1" w:afterLines="0" w:after="100" w:afterAutospacing="1"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11">
    <w:name w:val="彩色列表 - 着色 211"/>
    <w:basedOn w:val="a3"/>
    <w:uiPriority w:val="72"/>
    <w:unhideWhenUsed/>
    <w:qFormat/>
    <w:rPr>
      <w:rFonts w:ascii="Calibri" w:hAnsi="Calibri"/>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10">
    <w:name w:val="浅色列表 - 着色 311"/>
    <w:basedOn w:val="a3"/>
    <w:uiPriority w:val="61"/>
    <w:unhideWhenUsed/>
    <w:qFormat/>
    <w:rPr>
      <w:rFonts w:ascii="Calibri" w:hAnsi="Calibri"/>
      <w:sz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11">
    <w:name w:val="中等深浅底纹 2 - 着色 511"/>
    <w:basedOn w:val="a3"/>
    <w:uiPriority w:val="64"/>
    <w:unhideWhenUsed/>
    <w:qFormat/>
    <w:rPr>
      <w:rFonts w:ascii="Calibri" w:hAnsi="Calibri"/>
      <w:sz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b">
    <w:name w:val="招股书格式5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417">
    <w:name w:val="典雅型24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31a">
    <w:name w:val="典雅型33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21b">
    <w:name w:val="招股书格式32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1210">
    <w:name w:val="典雅型212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2171">
    <w:name w:val="网格型2171"/>
    <w:basedOn w:val="a3"/>
    <w:uiPriority w:val="3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0">
    <w:name w:val="网格型 5411"/>
    <w:basedOn w:val="a3"/>
    <w:qFormat/>
    <w:rPr>
      <w:rFonts w:ascii="Calibri" w:hAnsi="Calibri" w:cs="Calibri"/>
    </w:rPr>
    <w:tblPr/>
    <w:tblStylePr w:type="lastCol">
      <w:rPr>
        <w:b/>
        <w:bCs/>
      </w:rPr>
      <w:tblPr/>
      <w:tcPr>
        <w:tcBorders>
          <w:tl2br w:val="nil"/>
          <w:tr2bl w:val="nil"/>
        </w:tcBorders>
      </w:tcPr>
    </w:tblStylePr>
  </w:style>
  <w:style w:type="table" w:customStyle="1" w:styleId="112110">
    <w:name w:val="典雅型112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f0">
    <w:name w:val="预案表格111"/>
    <w:basedOn w:val="a3"/>
    <w:uiPriority w:val="99"/>
    <w:qFormat/>
    <w:rPr>
      <w:rFonts w:ascii="Calibri" w:hAnsi="Calibri"/>
    </w:rPr>
    <w:tblPr>
      <w:tblBorders>
        <w:top w:val="thinThickSmallGap" w:sz="12" w:space="0" w:color="auto"/>
        <w:bottom w:val="thickThinSmallGap" w:sz="12" w:space="0" w:color="auto"/>
        <w:insideH w:val="single" w:sz="4" w:space="0" w:color="auto"/>
        <w:insideV w:val="single" w:sz="4" w:space="0" w:color="auto"/>
      </w:tblBorders>
    </w:tblPr>
    <w:tcPr>
      <w:vAlign w:val="center"/>
    </w:tcPr>
    <w:tblStylePr w:type="firstRow">
      <w:rPr>
        <w:rFonts w:ascii="Times New Roman" w:eastAsia="宋体" w:hAnsi="Times New Roman" w:cs="Times New Roman" w:hint="default"/>
        <w:b w:val="0"/>
        <w:i w:val="0"/>
        <w:caps w:val="0"/>
        <w:smallCaps w:val="0"/>
        <w:strike w:val="0"/>
        <w:dstrike w:val="0"/>
        <w:vanish w:val="0"/>
        <w:sz w:val="21"/>
        <w:szCs w:val="21"/>
        <w:u w:val="none"/>
      </w:rPr>
      <w:tblPr/>
      <w:tcPr>
        <w:vAlign w:val="bottom"/>
      </w:tcPr>
    </w:tblStylePr>
  </w:style>
  <w:style w:type="table" w:customStyle="1" w:styleId="11fb">
    <w:name w:val="附注表格11"/>
    <w:basedOn w:val="a3"/>
    <w:qFormat/>
    <w:pPr>
      <w:jc w:val="center"/>
    </w:pPr>
    <w:rPr>
      <w:szCs w:val="21"/>
    </w:rPr>
    <w:tblPr>
      <w:tblBorders>
        <w:top w:val="single" w:sz="4" w:space="0" w:color="auto"/>
        <w:bottom w:val="single" w:sz="4" w:space="0" w:color="auto"/>
        <w:insideH w:val="dotted" w:sz="4" w:space="0" w:color="auto"/>
        <w:insideV w:val="dotted" w:sz="4" w:space="0" w:color="auto"/>
      </w:tblBorders>
    </w:tblPr>
  </w:style>
  <w:style w:type="table" w:customStyle="1" w:styleId="11117">
    <w:name w:val="简明型 1111"/>
    <w:basedOn w:val="a3"/>
    <w:qFormat/>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5110">
    <w:name w:val="网格型 5511"/>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style>
  <w:style w:type="table" w:customStyle="1" w:styleId="KWTable21">
    <w:name w:val="K&amp;W Table21"/>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hint="default"/>
        <w:b/>
        <w:sz w:val="20"/>
        <w:szCs w:val="20"/>
      </w:rPr>
      <w:tblPr/>
      <w:tcPr>
        <w:shd w:val="clear" w:color="auto" w:fill="E0E0E0"/>
      </w:tcPr>
    </w:tblStylePr>
  </w:style>
  <w:style w:type="table" w:customStyle="1" w:styleId="31114">
    <w:name w:val="彩色型 3111"/>
    <w:basedOn w:val="a3"/>
    <w:semiHidden/>
    <w:qFormat/>
    <w:rPr>
      <w:rFonts w:ascii="Calibri" w:hAnsi="Calibri" w:cs="Calibri"/>
    </w:rPr>
    <w:tblPr/>
    <w:tblStylePr w:type="firstCol">
      <w:tblPr/>
      <w:tcPr>
        <w:tcBorders>
          <w:left w:val="single" w:sz="36" w:space="0" w:color="000000"/>
          <w:right w:val="single" w:sz="6" w:space="0" w:color="000000"/>
          <w:tl2br w:val="nil"/>
          <w:tr2bl w:val="nil"/>
        </w:tcBorders>
        <w:shd w:val="solid" w:color="008080" w:fill="FFFFFF"/>
      </w:tcPr>
    </w:tblStylePr>
  </w:style>
  <w:style w:type="table" w:customStyle="1" w:styleId="11118">
    <w:name w:val="立体型 1111"/>
    <w:basedOn w:val="a3"/>
    <w:semiHidden/>
    <w:qFormat/>
    <w:rPr>
      <w:rFonts w:ascii="Calibri" w:hAnsi="Calibri" w:cs="Calibri"/>
    </w:rPr>
    <w:tblPr/>
    <w:tblStylePr w:type="swCell">
      <w:rPr>
        <w:color w:val="000080"/>
      </w:rPr>
      <w:tblPr/>
      <w:tcPr>
        <w:tcBorders>
          <w:top w:val="nil"/>
          <w:right w:val="nil"/>
          <w:tl2br w:val="nil"/>
          <w:tr2bl w:val="nil"/>
        </w:tcBorders>
      </w:tcPr>
    </w:tblStylePr>
  </w:style>
  <w:style w:type="table" w:customStyle="1" w:styleId="31115">
    <w:name w:val="立体型 3111"/>
    <w:basedOn w:val="a3"/>
    <w:semiHidden/>
    <w:qFormat/>
    <w:tblPr/>
    <w:tblStylePr w:type="firstRow">
      <w:rPr>
        <w:b/>
        <w:bCs/>
      </w:rPr>
      <w:tblPr/>
      <w:tcPr>
        <w:tcBorders>
          <w:tl2br w:val="nil"/>
          <w:tr2bl w:val="nil"/>
        </w:tcBorders>
      </w:tcPr>
    </w:tblStylePr>
  </w:style>
  <w:style w:type="table" w:customStyle="1" w:styleId="71110">
    <w:name w:val="列表型 7111"/>
    <w:basedOn w:val="a3"/>
    <w:semiHidden/>
    <w:qFormat/>
    <w:rPr>
      <w:rFonts w:ascii="Calibri" w:hAnsi="Calibri" w:cs="Calibri"/>
    </w:rPr>
    <w:tbl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11119">
    <w:name w:val="竖列型 1111"/>
    <w:basedOn w:val="a3"/>
    <w:semiHidden/>
    <w:qFormat/>
    <w:rPr>
      <w:rFonts w:ascii="Calibri" w:hAnsi="Calibri" w:cs="Calibri"/>
    </w:rPr>
    <w:tblPr/>
    <w:tblStylePr w:type="swCell">
      <w:rPr>
        <w:b/>
        <w:bCs/>
      </w:rPr>
      <w:tblPr/>
      <w:tcPr>
        <w:tcBorders>
          <w:tl2br w:val="nil"/>
          <w:tr2bl w:val="nil"/>
        </w:tcBorders>
      </w:tcPr>
    </w:tblStylePr>
  </w:style>
  <w:style w:type="table" w:customStyle="1" w:styleId="21116">
    <w:name w:val="竖列型 2111"/>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style>
  <w:style w:type="table" w:customStyle="1" w:styleId="21117">
    <w:name w:val="网页型 2111"/>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12116">
    <w:name w:val="古典型 1211"/>
    <w:basedOn w:val="a3"/>
    <w:qFormat/>
    <w:rPr>
      <w:rFonts w:ascii="Calibri" w:hAnsi="Calibri" w:cs="Calibri"/>
    </w:rPr>
    <w:tblPr/>
    <w:tblStylePr w:type="neCell">
      <w:rPr>
        <w:b/>
        <w:bCs/>
        <w:i w:val="0"/>
        <w:iCs w:val="0"/>
      </w:rPr>
      <w:tblPr/>
      <w:tcPr>
        <w:tcBorders>
          <w:tl2br w:val="nil"/>
          <w:tr2bl w:val="nil"/>
        </w:tcBorders>
      </w:tcPr>
    </w:tblStylePr>
  </w:style>
  <w:style w:type="table" w:customStyle="1" w:styleId="22110">
    <w:name w:val="简明型 2211"/>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2110">
    <w:name w:val="列表型 8211"/>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10">
    <w:name w:val="竖列型 3211"/>
    <w:basedOn w:val="a3"/>
    <w:semiHidden/>
    <w:qFormat/>
    <w:rPr>
      <w:rFonts w:ascii="Calibri" w:hAnsi="Calibri" w:cs="Calibri"/>
    </w:rPr>
    <w:tblPr/>
    <w:tblStylePr w:type="neCell">
      <w:rPr>
        <w:b/>
        <w:bCs/>
      </w:rPr>
      <w:tblPr/>
      <w:tcPr>
        <w:tcBorders>
          <w:tl2br w:val="nil"/>
          <w:tr2bl w:val="nil"/>
        </w:tcBorders>
      </w:tcPr>
    </w:tblStylePr>
  </w:style>
  <w:style w:type="table" w:customStyle="1" w:styleId="62110">
    <w:name w:val="网格型 6211"/>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KWTable111">
    <w:name w:val="K&amp;W Table111"/>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cs="Arial" w:hint="default"/>
        <w:b/>
        <w:sz w:val="20"/>
        <w:szCs w:val="20"/>
      </w:rPr>
      <w:tblPr/>
      <w:tcPr>
        <w:shd w:val="clear" w:color="auto" w:fill="E0E0E0"/>
      </w:tcPr>
    </w:tblStylePr>
  </w:style>
  <w:style w:type="table" w:customStyle="1" w:styleId="23110">
    <w:name w:val="彩色型 2311"/>
    <w:basedOn w:val="a3"/>
    <w:semiHidden/>
    <w:qFormat/>
    <w:rPr>
      <w:rFonts w:ascii="Calibri" w:hAnsi="Calibri" w:cs="Calibri"/>
    </w:rPr>
    <w:tbl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style>
  <w:style w:type="table" w:customStyle="1" w:styleId="23112">
    <w:name w:val="古典型 2311"/>
    <w:basedOn w:val="a3"/>
    <w:semiHidden/>
    <w:qFormat/>
    <w:rPr>
      <w:rFonts w:ascii="Calibri" w:hAnsi="Calibri" w:cs="Calibri"/>
    </w:rPr>
    <w:tblPr/>
    <w:tblStylePr w:type="neCell">
      <w:rPr>
        <w:b/>
        <w:bCs/>
      </w:rPr>
      <w:tblPr/>
      <w:tcPr>
        <w:tcBorders>
          <w:tl2br w:val="nil"/>
          <w:tr2bl w:val="nil"/>
        </w:tcBorders>
      </w:tcPr>
    </w:tblStylePr>
    <w:tblStylePr w:type="nwCell">
      <w:tblPr/>
      <w:tcPr>
        <w:tcBorders>
          <w:tl2br w:val="nil"/>
          <w:tr2bl w:val="nil"/>
        </w:tcBorders>
        <w:shd w:val="solid" w:color="800080" w:fill="FFFFFF"/>
      </w:tcPr>
    </w:tblStylePr>
  </w:style>
  <w:style w:type="table" w:customStyle="1" w:styleId="23113">
    <w:name w:val="简明型 2311"/>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3111">
    <w:name w:val="列表型 8311"/>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10">
    <w:name w:val="竖列型 3311"/>
    <w:basedOn w:val="a3"/>
    <w:semiHidden/>
    <w:qFormat/>
    <w:rPr>
      <w:rFonts w:ascii="Calibri" w:hAnsi="Calibri" w:cs="Calibri"/>
    </w:rPr>
    <w:tblPr/>
    <w:tblStylePr w:type="neCell">
      <w:rPr>
        <w:b/>
        <w:bCs/>
      </w:rPr>
      <w:tblPr/>
      <w:tcPr>
        <w:tcBorders>
          <w:tl2br w:val="nil"/>
          <w:tr2bl w:val="nil"/>
        </w:tcBorders>
      </w:tcPr>
    </w:tblStylePr>
  </w:style>
  <w:style w:type="table" w:customStyle="1" w:styleId="63110">
    <w:name w:val="网格型 6311"/>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1141">
    <w:name w:val="浅色列表 - 强调文字颜色 1141"/>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41">
    <w:name w:val="中等深浅底纹 1 - 强调文字颜色 1141"/>
    <w:basedOn w:val="a3"/>
    <w:uiPriority w:val="63"/>
    <w:qFormat/>
    <w:rPr>
      <w:rFonts w:ascii="Calibri"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1">
    <w:name w:val="浅色列表 - 强调文字颜色 11111"/>
    <w:basedOn w:val="a3"/>
    <w:uiPriority w:val="61"/>
    <w:qFormat/>
    <w:rPr>
      <w:rFonts w:ascii="Calibri" w:hAnsi="Calibri" w:cs="Calibri"/>
    </w:rPr>
    <w:tbl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111">
    <w:name w:val="中等深浅底纹 1 - 强调文字颜色 11111"/>
    <w:basedOn w:val="a3"/>
    <w:uiPriority w:val="63"/>
    <w:qFormat/>
    <w:rPr>
      <w:rFonts w:ascii="Calibri"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1">
    <w:name w:val="浅色列表 - 强调文字颜色 11211"/>
    <w:basedOn w:val="a3"/>
    <w:uiPriority w:val="61"/>
    <w:qFormat/>
    <w:rPr>
      <w:rFonts w:ascii="Calibri" w:hAnsi="Calibri" w:cs="Calibri"/>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10">
    <w:name w:val="典雅型13111"/>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111">
    <w:name w:val="古典型 11311"/>
    <w:basedOn w:val="a3"/>
    <w:qFormat/>
    <w:rPr>
      <w:rFonts w:ascii="Calibri" w:hAnsi="Calibri" w:cs="Calibri"/>
    </w:rPr>
    <w:tblPr/>
    <w:tblStylePr w:type="firstCol">
      <w:tblPr/>
      <w:tcPr>
        <w:tcBorders>
          <w:right w:val="single" w:sz="6" w:space="0" w:color="000000"/>
          <w:tl2br w:val="nil"/>
          <w:tr2bl w:val="nil"/>
        </w:tcBorders>
      </w:tcPr>
    </w:tblStylePr>
  </w:style>
  <w:style w:type="table" w:customStyle="1" w:styleId="1111a">
    <w:name w:val="网格型 1111"/>
    <w:basedOn w:val="a3"/>
    <w:qFormat/>
    <w:rPr>
      <w:rFonts w:ascii="Calibri" w:hAnsi="Calibri" w:cs="Calibri"/>
    </w:rPr>
    <w:tblPr/>
    <w:tblStylePr w:type="nwCell">
      <w:tblPr/>
      <w:tcPr>
        <w:tcBorders>
          <w:tl2br w:val="single" w:sz="6" w:space="0" w:color="000000"/>
          <w:tr2bl w:val="nil"/>
        </w:tcBorders>
      </w:tcPr>
    </w:tblStylePr>
  </w:style>
  <w:style w:type="table" w:customStyle="1" w:styleId="1-2211">
    <w:name w:val="中等深浅底纹 1 - 着色 2211"/>
    <w:basedOn w:val="a3"/>
    <w:uiPriority w:val="63"/>
    <w:semiHidden/>
    <w:qFormat/>
    <w:rPr>
      <w:rFonts w:ascii="Calibri" w:hAnsi="Calibri" w:cs="Calibri"/>
    </w:rPr>
    <w:tbl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2311">
    <w:name w:val="中等深浅底纹 1 - 着色 2311"/>
    <w:basedOn w:val="a3"/>
    <w:uiPriority w:val="63"/>
    <w:semiHidden/>
    <w:qFormat/>
    <w:rPr>
      <w:rFonts w:ascii="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style>
  <w:style w:type="table" w:customStyle="1" w:styleId="-2311">
    <w:name w:val="彩色列表 - 着色 2311"/>
    <w:basedOn w:val="a3"/>
    <w:uiPriority w:val="72"/>
    <w:semiHidden/>
    <w:qFormat/>
    <w:rPr>
      <w:rFonts w:ascii="Calibri" w:hAnsi="Calibri" w:cs="Calibri"/>
    </w:rPr>
    <w:tblPr/>
    <w:tblStylePr w:type="band1Horz">
      <w:tblPr/>
      <w:tcPr>
        <w:shd w:val="clear" w:color="auto" w:fill="F2DBDB"/>
      </w:tcPr>
    </w:tblStylePr>
  </w:style>
  <w:style w:type="table" w:customStyle="1" w:styleId="1-3411">
    <w:name w:val="中等深浅网格 1 - 着色 3411"/>
    <w:basedOn w:val="a3"/>
    <w:uiPriority w:val="67"/>
    <w:semiHidden/>
    <w:qFormat/>
    <w:rPr>
      <w:rFonts w:ascii="Calibri" w:hAnsi="Calibri" w:cs="Calibri"/>
    </w:rPr>
    <w:tbl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style>
  <w:style w:type="table" w:customStyle="1" w:styleId="2-1411">
    <w:name w:val="中等深浅网格 2 - 着色 1411"/>
    <w:basedOn w:val="a3"/>
    <w:uiPriority w:val="68"/>
    <w:semiHidden/>
    <w:qFormat/>
    <w:rPr>
      <w:rFonts w:ascii="Calibri" w:hAnsi="Calibri" w:cs="Calibri"/>
    </w:rPr>
    <w:tblPr/>
    <w:tblStylePr w:type="band1Horz">
      <w:tblPr/>
      <w:tcPr>
        <w:tcBorders>
          <w:insideH w:val="single" w:sz="6" w:space="0" w:color="auto"/>
          <w:insideV w:val="single" w:sz="6" w:space="0" w:color="auto"/>
        </w:tcBorders>
        <w:shd w:val="clear" w:color="auto" w:fill="A7BFDE"/>
      </w:tcPr>
    </w:tblStylePr>
  </w:style>
  <w:style w:type="character" w:customStyle="1" w:styleId="fontstyle11">
    <w:name w:val="fontstyle11"/>
    <w:qFormat/>
    <w:rPr>
      <w:rFonts w:ascii="Times New Roman" w:hAnsi="Times New Roman" w:cs="Times New Roman" w:hint="default"/>
      <w:color w:val="000000"/>
      <w:sz w:val="24"/>
      <w:szCs w:val="24"/>
    </w:rPr>
  </w:style>
  <w:style w:type="paragraph" w:customStyle="1" w:styleId="-33">
    <w:name w:val="自选标题-3"/>
    <w:basedOn w:val="a0"/>
    <w:link w:val="-3Char"/>
    <w:qFormat/>
    <w:pPr>
      <w:keepNext/>
      <w:widowControl w:val="0"/>
      <w:spacing w:beforeLines="50" w:before="163" w:afterLines="50" w:after="163" w:line="480" w:lineRule="auto"/>
      <w:outlineLvl w:val="2"/>
    </w:pPr>
    <w:rPr>
      <w:rFonts w:ascii="黑体" w:eastAsia="黑体" w:hAnsi="Times New Roman" w:cs="Times New Roman"/>
      <w:kern w:val="2"/>
      <w:sz w:val="28"/>
      <w:lang w:val="zh-CN"/>
    </w:rPr>
  </w:style>
  <w:style w:type="character" w:customStyle="1" w:styleId="-3Char">
    <w:name w:val="自选标题-3 Char"/>
    <w:link w:val="-33"/>
    <w:qFormat/>
    <w:rPr>
      <w:rFonts w:ascii="黑体" w:eastAsia="黑体" w:hAnsi="Times New Roman" w:cs="Times New Roman"/>
      <w:sz w:val="28"/>
      <w:szCs w:val="24"/>
      <w:lang w:val="zh-CN" w:eastAsia="zh-CN"/>
    </w:rPr>
  </w:style>
  <w:style w:type="table" w:customStyle="1" w:styleId="500">
    <w:name w:val="网格型50"/>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O">
    <w:name w:val="IPO正文"/>
    <w:basedOn w:val="a0"/>
    <w:link w:val="IPOChar"/>
    <w:uiPriority w:val="99"/>
    <w:qFormat/>
    <w:pPr>
      <w:widowControl w:val="0"/>
      <w:spacing w:beforeLines="50" w:afterLines="50" w:line="360" w:lineRule="auto"/>
      <w:ind w:firstLineChars="200" w:firstLine="200"/>
      <w:jc w:val="both"/>
    </w:pPr>
    <w:rPr>
      <w:rFonts w:ascii="Arial" w:hAnsi="Arial" w:cs="Times New Roman"/>
      <w:color w:val="000000"/>
      <w:kern w:val="2"/>
      <w:szCs w:val="22"/>
      <w:lang w:val="zh-CN"/>
    </w:rPr>
  </w:style>
  <w:style w:type="character" w:customStyle="1" w:styleId="IPOChar">
    <w:name w:val="IPO正文 Char"/>
    <w:link w:val="IPO"/>
    <w:uiPriority w:val="99"/>
    <w:qFormat/>
    <w:rPr>
      <w:rFonts w:ascii="Arial" w:eastAsia="宋体" w:hAnsi="Arial" w:cs="Times New Roman"/>
      <w:color w:val="000000"/>
      <w:sz w:val="24"/>
      <w:lang w:val="zh-CN" w:eastAsia="zh-CN"/>
    </w:rPr>
  </w:style>
  <w:style w:type="table" w:customStyle="1" w:styleId="89">
    <w:name w:val="典雅型8"/>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80">
    <w:name w:val="网格型 58"/>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e">
    <w:name w:val="定制网格型6"/>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
    <w:name w:val="奔奔团招股书格式6"/>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7d">
    <w:name w:val="招股书格式7"/>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64">
    <w:name w:val="典雅型16"/>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61">
    <w:name w:val="网格型 516"/>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00">
    <w:name w:val="网格型120"/>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奔奔团招股书格式15"/>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59">
    <w:name w:val="招股书格式15"/>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62">
    <w:name w:val="典雅型26"/>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40">
    <w:name w:val="网格型 524"/>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49">
    <w:name w:val="定制网格型14"/>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a">
    <w:name w:val="奔奔团招股书格式24"/>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4b">
    <w:name w:val="招股书格式24"/>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52">
    <w:name w:val="典雅型115"/>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40">
    <w:name w:val="网格型 5114"/>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00">
    <w:name w:val="网格型1110"/>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奔奔团招股书格式114"/>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44">
    <w:name w:val="招股书格式114"/>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4c">
    <w:name w:val="定制网格型24"/>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7">
    <w:name w:val="典雅型35"/>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30">
    <w:name w:val="网格型 533"/>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f0">
    <w:name w:val="定制网格型32"/>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a">
    <w:name w:val="奔奔团招股书格式33"/>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4a">
    <w:name w:val="招股书格式34"/>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41">
    <w:name w:val="典雅型124"/>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3">
    <w:name w:val="网格型 5123"/>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50">
    <w:name w:val="网格型125"/>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奔奔团招股书格式123"/>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33">
    <w:name w:val="招股书格式123"/>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42">
    <w:name w:val="典雅型214"/>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30">
    <w:name w:val="网格型 5213"/>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35">
    <w:name w:val="定制网格型113"/>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奔奔团招股书格式213"/>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35">
    <w:name w:val="招股书格式213"/>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32">
    <w:name w:val="典雅型1113"/>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3">
    <w:name w:val="网格型 51113"/>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50">
    <w:name w:val="网格型1115"/>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奔奔团招股书格式1113"/>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34">
    <w:name w:val="招股书格式1113"/>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29">
    <w:name w:val="定制网格型212"/>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网格型220"/>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典雅型43"/>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430">
    <w:name w:val="网格型 543"/>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6">
    <w:name w:val="定制网格型42"/>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奔奔团招股书格式4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428">
    <w:name w:val="招股书格式4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332">
    <w:name w:val="典雅型133"/>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32">
    <w:name w:val="网格型 513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50">
    <w:name w:val="网格型135"/>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奔奔团招股书格式13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323">
    <w:name w:val="招股书格式13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222">
    <w:name w:val="典雅型22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22">
    <w:name w:val="网格型 522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26">
    <w:name w:val="定制网格型122"/>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奔奔团招股书格式22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224">
    <w:name w:val="招股书格式22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232">
    <w:name w:val="典雅型1123"/>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22">
    <w:name w:val="网格型 5112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50">
    <w:name w:val="网格型1125"/>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奔奔团招股书格式112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223">
    <w:name w:val="招股书格式112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3126">
    <w:name w:val="典雅型31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120">
    <w:name w:val="网格型 531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25">
    <w:name w:val="定制网格型222"/>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奔奔团招股书格式31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128">
    <w:name w:val="招股书格式31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122">
    <w:name w:val="典雅型121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12">
    <w:name w:val="网格型 5121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40">
    <w:name w:val="网格型1214"/>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奔奔团招股书格式121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124">
    <w:name w:val="招股书格式121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22">
    <w:name w:val="典雅型211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12">
    <w:name w:val="网格型 5211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25">
    <w:name w:val="定制网格型1112"/>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
    <w:name w:val="奔奔团招股书格式211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124">
    <w:name w:val="招股书格式211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122">
    <w:name w:val="典雅型1111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12">
    <w:name w:val="网格型 51111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40">
    <w:name w:val="网格型11114"/>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奔奔团招股书格式11112"/>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124">
    <w:name w:val="招股书格式1111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3e">
    <w:name w:val="预案表格13"/>
    <w:basedOn w:val="a3"/>
    <w:uiPriority w:val="99"/>
    <w:qFormat/>
    <w:rPr>
      <w:rFonts w:ascii="Calibri" w:hAnsi="Calibri"/>
    </w:rPr>
    <w:tblPr>
      <w:jc w:val="center"/>
      <w:tblBorders>
        <w:top w:val="thinThickSmallGap" w:sz="12" w:space="0" w:color="auto"/>
        <w:bottom w:val="thickThinSmallGap" w:sz="12" w:space="0" w:color="auto"/>
        <w:insideH w:val="single" w:sz="4" w:space="0" w:color="auto"/>
        <w:insideV w:val="single" w:sz="4" w:space="0" w:color="auto"/>
      </w:tblBorders>
    </w:tblPr>
    <w:trPr>
      <w:jc w:val="center"/>
    </w:trPr>
    <w:tcPr>
      <w:vAlign w:val="center"/>
    </w:tcPr>
    <w:tblStylePr w:type="firstRow">
      <w:rPr>
        <w:rFonts w:ascii="Times New Roman" w:eastAsia="PMingLiU" w:hAnsi="Times New Roman"/>
        <w:b w:val="0"/>
        <w:i w:val="0"/>
        <w:caps w:val="0"/>
        <w:smallCaps w:val="0"/>
        <w:strike w:val="0"/>
        <w:dstrike w:val="0"/>
        <w:vanish w:val="0"/>
        <w:sz w:val="21"/>
        <w:vertAlign w:val="baseline"/>
      </w:rPr>
    </w:tblStylePr>
  </w:style>
  <w:style w:type="table" w:customStyle="1" w:styleId="3170">
    <w:name w:val="网格型317"/>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a3"/>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网格型58"/>
    <w:basedOn w:val="a3"/>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网格型318"/>
    <w:basedOn w:val="a3"/>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网格型68"/>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彩色型 26"/>
    <w:basedOn w:val="a3"/>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14a">
    <w:name w:val="简明型 14"/>
    <w:basedOn w:val="a3"/>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861">
    <w:name w:val="网格型 86"/>
    <w:basedOn w:val="a3"/>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3fff6">
    <w:name w:val="附注表格3"/>
    <w:basedOn w:val="a3"/>
    <w:qFormat/>
    <w:pPr>
      <w:jc w:val="center"/>
    </w:pPr>
    <w:rPr>
      <w:szCs w:val="21"/>
    </w:rPr>
    <w:tblPr>
      <w:tblBorders>
        <w:top w:val="single" w:sz="4" w:space="0" w:color="auto"/>
        <w:bottom w:val="single" w:sz="4" w:space="0" w:color="auto"/>
        <w:insideH w:val="dotted" w:sz="4" w:space="0" w:color="auto"/>
        <w:insideV w:val="dotted" w:sz="4" w:space="0" w:color="auto"/>
      </w:tblBorders>
    </w:tblPr>
    <w:trPr>
      <w:tblHeader/>
    </w:trPr>
  </w:style>
  <w:style w:type="table" w:customStyle="1" w:styleId="770">
    <w:name w:val="网格型77"/>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表格主题6"/>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彩色型 13"/>
    <w:basedOn w:val="a3"/>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2a">
    <w:name w:val="彩色型 212"/>
    <w:basedOn w:val="a3"/>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62">
    <w:name w:val="彩色型 36"/>
    <w:basedOn w:val="a3"/>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27">
    <w:name w:val="典雅型52"/>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74">
    <w:name w:val="古典型 17"/>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64">
    <w:name w:val="古典型 26"/>
    <w:basedOn w:val="a3"/>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63">
    <w:name w:val="古典型 36"/>
    <w:basedOn w:val="a3"/>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62">
    <w:name w:val="古典型 46"/>
    <w:basedOn w:val="a3"/>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36">
    <w:name w:val="简明型 113"/>
    <w:basedOn w:val="a3"/>
    <w:qFormat/>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65">
    <w:name w:val="简明型 26"/>
    <w:basedOn w:val="a3"/>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64">
    <w:name w:val="简明型 36"/>
    <w:basedOn w:val="a3"/>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f0">
    <w:name w:val="精巧型 13"/>
    <w:basedOn w:val="a3"/>
    <w:qFormat/>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d">
    <w:name w:val="精巧型 23"/>
    <w:basedOn w:val="a3"/>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f1">
    <w:name w:val="表三维效果 13"/>
    <w:basedOn w:val="a3"/>
    <w:uiPriority w:val="99"/>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e">
    <w:name w:val="表三维效果 23"/>
    <w:basedOn w:val="a3"/>
    <w:uiPriority w:val="99"/>
    <w:semiHidden/>
    <w:qFormat/>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b">
    <w:name w:val="表三维效果 33"/>
    <w:basedOn w:val="a3"/>
    <w:uiPriority w:val="99"/>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65">
    <w:name w:val="列表型 16"/>
    <w:basedOn w:val="a3"/>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66">
    <w:name w:val="列表型 26"/>
    <w:basedOn w:val="a3"/>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65">
    <w:name w:val="列表型 36"/>
    <w:basedOn w:val="a3"/>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63">
    <w:name w:val="列表型 46"/>
    <w:basedOn w:val="a3"/>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5">
    <w:name w:val="列表型 53"/>
    <w:basedOn w:val="a3"/>
    <w:qFormat/>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5">
    <w:name w:val="列表型 63"/>
    <w:basedOn w:val="a3"/>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61">
    <w:name w:val="列表型 76"/>
    <w:basedOn w:val="a3"/>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62">
    <w:name w:val="列表型 86"/>
    <w:basedOn w:val="a3"/>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6f1">
    <w:name w:val="流行型6"/>
    <w:basedOn w:val="a3"/>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66">
    <w:name w:val="竖列型 16"/>
    <w:basedOn w:val="a3"/>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67">
    <w:name w:val="竖列型 26"/>
    <w:basedOn w:val="a3"/>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66">
    <w:name w:val="竖列型 36"/>
    <w:basedOn w:val="a3"/>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64">
    <w:name w:val="竖列型 46"/>
    <w:basedOn w:val="a3"/>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2">
    <w:name w:val="竖列型 56"/>
    <w:basedOn w:val="a3"/>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b">
    <w:name w:val="网格型 14"/>
    <w:basedOn w:val="a3"/>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3f">
    <w:name w:val="网格型 23"/>
    <w:basedOn w:val="a3"/>
    <w:qFormat/>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c">
    <w:name w:val="网格型 33"/>
    <w:basedOn w:val="a3"/>
    <w:qFormat/>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65">
    <w:name w:val="网格型 46"/>
    <w:basedOn w:val="a3"/>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53">
    <w:name w:val="网格型 553"/>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62">
    <w:name w:val="网格型 66"/>
    <w:basedOn w:val="a3"/>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4">
    <w:name w:val="网格型 73"/>
    <w:basedOn w:val="a3"/>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22">
    <w:name w:val="网格型 812"/>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67">
    <w:name w:val="网页型 16"/>
    <w:basedOn w:val="a3"/>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68">
    <w:name w:val="网页型 26"/>
    <w:basedOn w:val="a3"/>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67">
    <w:name w:val="网页型 36"/>
    <w:basedOn w:val="a3"/>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6f2">
    <w:name w:val="专业型6"/>
    <w:basedOn w:val="a3"/>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6">
    <w:name w:val="彩色列表 - 着色 26"/>
    <w:basedOn w:val="a3"/>
    <w:uiPriority w:val="63"/>
    <w:qFormat/>
    <w:rPr>
      <w:rFonts w:ascii="Calibri" w:hAnsi="Calibri"/>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26">
    <w:name w:val="中等深浅底纹 1 - 着色 26"/>
    <w:basedOn w:val="a3"/>
    <w:uiPriority w:val="68"/>
    <w:qFormat/>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1-35">
    <w:name w:val="中等深浅网格 1 - 着色 35"/>
    <w:basedOn w:val="a3"/>
    <w:uiPriority w:val="72"/>
    <w:qFormat/>
    <w:rPr>
      <w:rFonts w:ascii="Calibri" w:hAnsi="Calibri"/>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KWTable4">
    <w:name w:val="K&amp;W Table4"/>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b/>
        <w:sz w:val="20"/>
      </w:rPr>
      <w:tblPr/>
      <w:tcPr>
        <w:shd w:val="clear" w:color="auto" w:fill="E0E0E0"/>
      </w:tcPr>
    </w:tblStylePr>
  </w:style>
  <w:style w:type="table" w:customStyle="1" w:styleId="1440">
    <w:name w:val="网格型144"/>
    <w:basedOn w:val="a3"/>
    <w:uiPriority w:val="59"/>
    <w:qFormat/>
    <w:pPr>
      <w:spacing w:before="120" w:after="120" w:line="240" w:lineRule="atLeast"/>
    </w:pPr>
    <w:rPr>
      <w:rFonts w:ascii="Arial" w:hAnsi="Arial"/>
    </w:rPr>
    <w:tblPr/>
  </w:style>
  <w:style w:type="table" w:customStyle="1" w:styleId="21100">
    <w:name w:val="网格型2110"/>
    <w:basedOn w:val="a3"/>
    <w:qFormat/>
    <w:pPr>
      <w:spacing w:before="120" w:after="120" w:line="240" w:lineRule="atLeast"/>
    </w:pPr>
    <w:rPr>
      <w:rFonts w:ascii="Arial" w:hAnsi="Arial"/>
    </w:rPr>
    <w:tblPr/>
  </w:style>
  <w:style w:type="table" w:customStyle="1" w:styleId="3134">
    <w:name w:val="彩色型 313"/>
    <w:basedOn w:val="a3"/>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22">
    <w:name w:val="典雅型142"/>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53">
    <w:name w:val="古典型 115"/>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2b">
    <w:name w:val="古典型 212"/>
    <w:basedOn w:val="a3"/>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29">
    <w:name w:val="古典型 312"/>
    <w:basedOn w:val="a3"/>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25">
    <w:name w:val="古典型 412"/>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2c">
    <w:name w:val="简明型 212"/>
    <w:basedOn w:val="a3"/>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2a">
    <w:name w:val="简明型 312"/>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37">
    <w:name w:val="立体型 113"/>
    <w:basedOn w:val="a3"/>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135">
    <w:name w:val="立体型 313"/>
    <w:basedOn w:val="a3"/>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2b">
    <w:name w:val="列表型 112"/>
    <w:basedOn w:val="a3"/>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d">
    <w:name w:val="列表型 212"/>
    <w:basedOn w:val="a3"/>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2b">
    <w:name w:val="列表型 312"/>
    <w:basedOn w:val="a3"/>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26">
    <w:name w:val="列表型 412"/>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130">
    <w:name w:val="列表型 713"/>
    <w:basedOn w:val="a3"/>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23">
    <w:name w:val="列表型 812"/>
    <w:basedOn w:val="a3"/>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2f4">
    <w:name w:val="流行型12"/>
    <w:basedOn w:val="a3"/>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38">
    <w:name w:val="竖列型 113"/>
    <w:basedOn w:val="a3"/>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6">
    <w:name w:val="竖列型 213"/>
    <w:basedOn w:val="a3"/>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2c">
    <w:name w:val="竖列型 312"/>
    <w:basedOn w:val="a3"/>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7">
    <w:name w:val="竖列型 412"/>
    <w:basedOn w:val="a3"/>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4">
    <w:name w:val="竖列型 512"/>
    <w:basedOn w:val="a3"/>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128">
    <w:name w:val="网格型 412"/>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5">
    <w:name w:val="网格型 612"/>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c">
    <w:name w:val="网页型 112"/>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37">
    <w:name w:val="网页型 213"/>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2d">
    <w:name w:val="网页型 312"/>
    <w:basedOn w:val="a3"/>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f5">
    <w:name w:val="专业型12"/>
    <w:basedOn w:val="a3"/>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31150">
    <w:name w:val="网格型3115"/>
    <w:basedOn w:val="a3"/>
    <w:qFormat/>
    <w:pPr>
      <w:spacing w:before="120" w:after="120" w:line="240" w:lineRule="atLeast"/>
    </w:pPr>
    <w:rPr>
      <w:rFonts w:ascii="Arial" w:hAnsi="Arial"/>
    </w:rPr>
    <w:tblPr/>
  </w:style>
  <w:style w:type="table" w:customStyle="1" w:styleId="2226">
    <w:name w:val="彩色型 222"/>
    <w:basedOn w:val="a3"/>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22">
    <w:name w:val="彩色型 322"/>
    <w:basedOn w:val="a3"/>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324">
    <w:name w:val="典雅型232"/>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234">
    <w:name w:val="古典型 123"/>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27">
    <w:name w:val="古典型 222"/>
    <w:basedOn w:val="a3"/>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23">
    <w:name w:val="古典型 322"/>
    <w:basedOn w:val="a3"/>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22">
    <w:name w:val="古典型 422"/>
    <w:basedOn w:val="a3"/>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32">
    <w:name w:val="简明型 223"/>
    <w:basedOn w:val="a3"/>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24">
    <w:name w:val="简明型 322"/>
    <w:basedOn w:val="a3"/>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27">
    <w:name w:val="立体型 122"/>
    <w:basedOn w:val="a3"/>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225">
    <w:name w:val="立体型 322"/>
    <w:basedOn w:val="a3"/>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28">
    <w:name w:val="列表型 122"/>
    <w:basedOn w:val="a3"/>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28">
    <w:name w:val="列表型 222"/>
    <w:basedOn w:val="a3"/>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26">
    <w:name w:val="列表型 322"/>
    <w:basedOn w:val="a3"/>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23">
    <w:name w:val="列表型 422"/>
    <w:basedOn w:val="a3"/>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220">
    <w:name w:val="列表型 722"/>
    <w:basedOn w:val="a3"/>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30">
    <w:name w:val="列表型 823"/>
    <w:basedOn w:val="a3"/>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22f1">
    <w:name w:val="流行型22"/>
    <w:basedOn w:val="a3"/>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29">
    <w:name w:val="竖列型 122"/>
    <w:basedOn w:val="a3"/>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9">
    <w:name w:val="竖列型 222"/>
    <w:basedOn w:val="a3"/>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32">
    <w:name w:val="竖列型 323"/>
    <w:basedOn w:val="a3"/>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24">
    <w:name w:val="竖列型 422"/>
    <w:basedOn w:val="a3"/>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竖列型 522"/>
    <w:basedOn w:val="a3"/>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225">
    <w:name w:val="网格型 422"/>
    <w:basedOn w:val="a3"/>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30">
    <w:name w:val="网格型 623"/>
    <w:basedOn w:val="a3"/>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222">
    <w:name w:val="网格型 822"/>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2a">
    <w:name w:val="网页型 122"/>
    <w:basedOn w:val="a3"/>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2a">
    <w:name w:val="网页型 222"/>
    <w:basedOn w:val="a3"/>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27">
    <w:name w:val="网页型 322"/>
    <w:basedOn w:val="a3"/>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f2">
    <w:name w:val="专业型22"/>
    <w:basedOn w:val="a3"/>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Normal12">
    <w:name w:val="Table Normal12"/>
    <w:uiPriority w:val="2"/>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KWTable13">
    <w:name w:val="K&amp;W Table13"/>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b/>
        <w:sz w:val="20"/>
      </w:rPr>
      <w:tblPr/>
      <w:tcPr>
        <w:shd w:val="clear" w:color="auto" w:fill="E0E0E0"/>
      </w:tcPr>
    </w:tblStylePr>
  </w:style>
  <w:style w:type="table" w:customStyle="1" w:styleId="2332">
    <w:name w:val="彩色型 233"/>
    <w:basedOn w:val="a3"/>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22">
    <w:name w:val="彩色型 332"/>
    <w:basedOn w:val="a3"/>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28">
    <w:name w:val="典雅型322"/>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324">
    <w:name w:val="古典型 132"/>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33">
    <w:name w:val="古典型 233"/>
    <w:basedOn w:val="a3"/>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23">
    <w:name w:val="古典型 332"/>
    <w:basedOn w:val="a3"/>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22">
    <w:name w:val="古典型 432"/>
    <w:basedOn w:val="a3"/>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334">
    <w:name w:val="简明型 233"/>
    <w:basedOn w:val="a3"/>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24">
    <w:name w:val="简明型 332"/>
    <w:basedOn w:val="a3"/>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25">
    <w:name w:val="立体型 132"/>
    <w:basedOn w:val="a3"/>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325">
    <w:name w:val="立体型 332"/>
    <w:basedOn w:val="a3"/>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26">
    <w:name w:val="列表型 132"/>
    <w:basedOn w:val="a3"/>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25">
    <w:name w:val="列表型 232"/>
    <w:basedOn w:val="a3"/>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326">
    <w:name w:val="列表型 332"/>
    <w:basedOn w:val="a3"/>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23">
    <w:name w:val="列表型 432"/>
    <w:basedOn w:val="a3"/>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320">
    <w:name w:val="列表型 732"/>
    <w:basedOn w:val="a3"/>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30">
    <w:name w:val="列表型 833"/>
    <w:basedOn w:val="a3"/>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32f1">
    <w:name w:val="流行型32"/>
    <w:basedOn w:val="a3"/>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27">
    <w:name w:val="竖列型 132"/>
    <w:basedOn w:val="a3"/>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6">
    <w:name w:val="竖列型 232"/>
    <w:basedOn w:val="a3"/>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32">
    <w:name w:val="竖列型 333"/>
    <w:basedOn w:val="a3"/>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4">
    <w:name w:val="竖列型 432"/>
    <w:basedOn w:val="a3"/>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2">
    <w:name w:val="竖列型 532"/>
    <w:basedOn w:val="a3"/>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325">
    <w:name w:val="网格型 432"/>
    <w:basedOn w:val="a3"/>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30">
    <w:name w:val="网格型 633"/>
    <w:basedOn w:val="a3"/>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322">
    <w:name w:val="网格型 832"/>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28">
    <w:name w:val="网页型 132"/>
    <w:basedOn w:val="a3"/>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27">
    <w:name w:val="网页型 232"/>
    <w:basedOn w:val="a3"/>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27">
    <w:name w:val="网页型 332"/>
    <w:basedOn w:val="a3"/>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f2">
    <w:name w:val="专业型32"/>
    <w:basedOn w:val="a3"/>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6">
    <w:name w:val="浅色列表 - 强调文字颜色 116"/>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6">
    <w:name w:val="中等深浅底纹 1 - 强调文字颜色 116"/>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40">
    <w:name w:val="网格型1134"/>
    <w:basedOn w:val="a3"/>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4">
    <w:name w:val="样式55"/>
    <w:basedOn w:val="a3"/>
    <w:uiPriority w:val="99"/>
    <w:qFormat/>
    <w:rPr>
      <w:rFonts w:ascii="Calibri" w:hAnsi="Calibri"/>
    </w:rPr>
    <w:tblPr/>
  </w:style>
  <w:style w:type="table" w:customStyle="1" w:styleId="21150">
    <w:name w:val="网格型2115"/>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d">
    <w:name w:val="表格模式5"/>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4170">
    <w:name w:val="网格型417"/>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网格型1223"/>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浅色列表 - 强调文字颜色 1113"/>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3">
    <w:name w:val="中等深浅底纹 1 - 强调文字颜色 1113"/>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50">
    <w:name w:val="网格型225"/>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0">
    <w:name w:val="网格型31114"/>
    <w:basedOn w:val="a3"/>
    <w:uiPriority w:val="59"/>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典雅型1132"/>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26">
    <w:name w:val="古典型 1112"/>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30">
    <w:name w:val="网格型11123"/>
    <w:basedOn w:val="a3"/>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5">
    <w:name w:val="样式512"/>
    <w:basedOn w:val="a3"/>
    <w:uiPriority w:val="99"/>
    <w:qFormat/>
    <w:rPr>
      <w:rFonts w:ascii="Calibri" w:hAnsi="Calibri"/>
    </w:rPr>
    <w:tblPr/>
  </w:style>
  <w:style w:type="table" w:customStyle="1" w:styleId="6126">
    <w:name w:val="样式612"/>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12f6">
    <w:name w:val="表格模式12"/>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5170">
    <w:name w:val="网格型517"/>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网格型1314"/>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浅色列表 - 强调文字颜色 1123"/>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2">
    <w:name w:val="中等深浅底纹 1 - 强调文字颜色 1122"/>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50">
    <w:name w:val="网格型235"/>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网格型325"/>
    <w:basedOn w:val="a3"/>
    <w:uiPriority w:val="59"/>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典雅型1222"/>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224">
    <w:name w:val="古典型 1122"/>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40">
    <w:name w:val="网格型11214"/>
    <w:basedOn w:val="a3"/>
    <w:uiPriority w:val="59"/>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4">
    <w:name w:val="样式522"/>
    <w:basedOn w:val="a3"/>
    <w:uiPriority w:val="99"/>
    <w:qFormat/>
    <w:rPr>
      <w:rFonts w:ascii="Calibri" w:hAnsi="Calibri"/>
    </w:rPr>
    <w:tblPr/>
  </w:style>
  <w:style w:type="table" w:customStyle="1" w:styleId="21250">
    <w:name w:val="网格型2125"/>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2">
    <w:name w:val="样式622"/>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22f3">
    <w:name w:val="表格模式22"/>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6170">
    <w:name w:val="网格型617"/>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9">
    <w:name w:val="典雅型41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423">
    <w:name w:val="古典型 142"/>
    <w:basedOn w:val="a3"/>
    <w:qFormat/>
    <w:pPr>
      <w:widowControl w:val="0"/>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30">
    <w:name w:val="网格型1413"/>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浅色列表 - 强调文字颜色 1132"/>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2">
    <w:name w:val="中等深浅底纹 1 - 强调文字颜色 1132"/>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440">
    <w:name w:val="网格型244"/>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网格型335"/>
    <w:basedOn w:val="a3"/>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典雅型1313"/>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31">
    <w:name w:val="古典型 1133"/>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323">
    <w:name w:val="样式532"/>
    <w:basedOn w:val="a3"/>
    <w:uiPriority w:val="99"/>
    <w:qFormat/>
    <w:rPr>
      <w:rFonts w:ascii="Calibri" w:hAnsi="Calibri"/>
    </w:rPr>
    <w:tblPr/>
  </w:style>
  <w:style w:type="table" w:customStyle="1" w:styleId="21340">
    <w:name w:val="网格型2134"/>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2">
    <w:name w:val="样式632"/>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32f3">
    <w:name w:val="表格模式32"/>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7150">
    <w:name w:val="网格型715"/>
    <w:basedOn w:val="a3"/>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网格型87"/>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网格型95"/>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网格型105"/>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网格型154"/>
    <w:basedOn w:val="a3"/>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网格型16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网格型174"/>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网格型815"/>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网格型184"/>
    <w:basedOn w:val="a3"/>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2"/>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网格型202"/>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网格型252"/>
    <w:basedOn w:val="a3"/>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网格型262"/>
    <w:basedOn w:val="a3"/>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网格型272"/>
    <w:basedOn w:val="a3"/>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62">
    <w:name w:val="Table Normal62"/>
    <w:uiPriority w:val="2"/>
    <w:semiHidden/>
    <w:qFormat/>
    <w:pPr>
      <w:widowControl w:val="0"/>
    </w:pPr>
    <w:rPr>
      <w:rFonts w:ascii="Calibri" w:eastAsia="Times New Roman" w:hAnsi="Calibri"/>
      <w:sz w:val="22"/>
      <w:lang w:eastAsia="en-US"/>
    </w:rPr>
    <w:tblPr>
      <w:tblCellMar>
        <w:top w:w="0" w:type="dxa"/>
        <w:left w:w="0" w:type="dxa"/>
        <w:bottom w:w="0" w:type="dxa"/>
        <w:right w:w="0" w:type="dxa"/>
      </w:tblCellMar>
    </w:tblPr>
  </w:style>
  <w:style w:type="table" w:customStyle="1" w:styleId="TableNormal22">
    <w:name w:val="Table Normal22"/>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32">
    <w:name w:val="Table Normal32"/>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42">
    <w:name w:val="Table Normal42"/>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284">
    <w:name w:val="网格型284"/>
    <w:basedOn w:val="a3"/>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网格型1102"/>
    <w:basedOn w:val="a3"/>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网格型344"/>
    <w:basedOn w:val="a3"/>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网格型4115"/>
    <w:basedOn w:val="a3"/>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网格型5113"/>
    <w:basedOn w:val="a3"/>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网格型292"/>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网格型302"/>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网格型2812"/>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2">
    <w:name w:val="网格型2822"/>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50">
    <w:name w:val="网格型6115"/>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a">
    <w:name w:val="表格主题15"/>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250">
    <w:name w:val="网格型425"/>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1">
    <w:name w:val="网格型523"/>
    <w:basedOn w:val="a3"/>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网格型625"/>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f0">
    <w:name w:val="表格主题23"/>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1140">
    <w:name w:val="网格型7114"/>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3">
    <w:name w:val="网格型311113"/>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4">
    <w:name w:val="网格型411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20">
    <w:name w:val="网格型5111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表格主题113"/>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350">
    <w:name w:val="网格型435"/>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31">
    <w:name w:val="网格型533"/>
    <w:basedOn w:val="a3"/>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0">
    <w:name w:val="网格型635"/>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d">
    <w:name w:val="表格主题33"/>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50">
    <w:name w:val="网格型725"/>
    <w:basedOn w:val="a3"/>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
    <w:name w:val="网格型825"/>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50">
    <w:name w:val="网格型3125"/>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50">
    <w:name w:val="网格型4125"/>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30">
    <w:name w:val="网格型5123"/>
    <w:basedOn w:val="a3"/>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50">
    <w:name w:val="网格型6125"/>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
    <w:name w:val="表格主题123"/>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440">
    <w:name w:val="网格型444"/>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21">
    <w:name w:val="网格型542"/>
    <w:basedOn w:val="a3"/>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
    <w:name w:val="网格型644"/>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表格主题4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340">
    <w:name w:val="网格型734"/>
    <w:basedOn w:val="a3"/>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网格型83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40">
    <w:name w:val="网格型3134"/>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4">
    <w:name w:val="网格型4134"/>
    <w:basedOn w:val="a3"/>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20">
    <w:name w:val="网格型5132"/>
    <w:basedOn w:val="a3"/>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4">
    <w:name w:val="网格型6134"/>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9">
    <w:name w:val="表格主题13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914">
    <w:name w:val="网格型9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30">
    <w:name w:val="网格型1211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网格型22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40">
    <w:name w:val="网格型32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40">
    <w:name w:val="网格型42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20">
    <w:name w:val="网格型521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0">
    <w:name w:val="网格型6214"/>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e">
    <w:name w:val="表格主题21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81140">
    <w:name w:val="网格型81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30">
    <w:name w:val="网格型11111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网格型211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4">
    <w:name w:val="网格型61114"/>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7">
    <w:name w:val="表格主题111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1014">
    <w:name w:val="网格型10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3">
    <w:name w:val="网格型1311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0">
    <w:name w:val="网格型2314"/>
    <w:basedOn w:val="a3"/>
    <w:uiPriority w:val="3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0">
    <w:name w:val="网格型33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40">
    <w:name w:val="网格型43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21">
    <w:name w:val="网格型531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40">
    <w:name w:val="网格型6314"/>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e">
    <w:name w:val="表格主题31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14">
    <w:name w:val="网格型7214"/>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0">
    <w:name w:val="网格型82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3">
    <w:name w:val="网格型112113"/>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
    <w:name w:val="网格型212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4">
    <w:name w:val="网格型312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4">
    <w:name w:val="网格型41214"/>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20">
    <w:name w:val="网格型5121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4">
    <w:name w:val="网格型61214"/>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5">
    <w:name w:val="表格主题1212"/>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grp4">
    <w:name w:val="grp4"/>
    <w:basedOn w:val="affff"/>
    <w:qFormat/>
    <w:pPr>
      <w:widowControl w:val="0"/>
      <w:jc w:val="both"/>
    </w:p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13a">
    <w:name w:val="网格型 113"/>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142">
    <w:name w:val="网格型 5142"/>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520">
    <w:name w:val="网格型352"/>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20">
    <w:name w:val="网格型1142"/>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网格型2102"/>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0">
    <w:name w:val="网格型362"/>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20">
    <w:name w:val="网格型452"/>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21">
    <w:name w:val="网格型552"/>
    <w:basedOn w:val="a3"/>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网格型65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网格型74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0">
    <w:name w:val="网格型84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0">
    <w:name w:val="网格型1152"/>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网格型214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2">
    <w:name w:val="网格型314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2">
    <w:name w:val="网格型414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20">
    <w:name w:val="网格型514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2">
    <w:name w:val="网格型614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网格型9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2">
    <w:name w:val="网格型1221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网格型22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20">
    <w:name w:val="网格型32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20">
    <w:name w:val="网格型42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20">
    <w:name w:val="网格型62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网格型712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0">
    <w:name w:val="网格型8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2">
    <w:name w:val="网格型11121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0">
    <w:name w:val="网格型21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2">
    <w:name w:val="网格型31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2">
    <w:name w:val="网格型41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2">
    <w:name w:val="网格型611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网格型10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20">
    <w:name w:val="网格型132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0">
    <w:name w:val="网格型2322"/>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0">
    <w:name w:val="网格型33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20">
    <w:name w:val="网格型43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20">
    <w:name w:val="网格型63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网格型722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0">
    <w:name w:val="网格型82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20">
    <w:name w:val="网格型1122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网格型212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2">
    <w:name w:val="网格型312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22">
    <w:name w:val="网格型412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2">
    <w:name w:val="网格型612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网格型14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0">
    <w:name w:val="网格型1512"/>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网格型2412"/>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20">
    <w:name w:val="网格型34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20">
    <w:name w:val="网格型44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2">
    <w:name w:val="网格型641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网格型731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0">
    <w:name w:val="网格型83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20">
    <w:name w:val="网格型1131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网格型213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2">
    <w:name w:val="网格型313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2">
    <w:name w:val="网格型413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2">
    <w:name w:val="网格型6131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网格型9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2">
    <w:name w:val="网格型12111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网格型22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2">
    <w:name w:val="网格型32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2">
    <w:name w:val="网格型42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2">
    <w:name w:val="网格型6211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网格型7111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网格型81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2">
    <w:name w:val="网格型111111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网格型211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2">
    <w:name w:val="网格型3111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2">
    <w:name w:val="网格型411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2">
    <w:name w:val="网格型61111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网格型10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2">
    <w:name w:val="网格型13111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0">
    <w:name w:val="网格型23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2">
    <w:name w:val="网格型33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2">
    <w:name w:val="网格型43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2">
    <w:name w:val="网格型6311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网格型7211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网格型82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12">
    <w:name w:val="网格型112111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网格型212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2">
    <w:name w:val="网格型312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2">
    <w:name w:val="网格型4121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2">
    <w:name w:val="网格型61211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网格型161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2">
    <w:name w:val="网格型1712"/>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网格型1812"/>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12">
    <w:name w:val="grp12"/>
    <w:basedOn w:val="affff"/>
    <w:qFormat/>
    <w:pPr>
      <w:widowControl w:val="0"/>
      <w:jc w:val="both"/>
    </w:p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2-122">
    <w:name w:val="中等深浅网格 2 - 着色 122"/>
    <w:basedOn w:val="a3"/>
    <w:uiPriority w:val="68"/>
    <w:semiHidden/>
    <w:qFormat/>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7C6"/>
      </w:tcPr>
    </w:tblStylePr>
  </w:style>
  <w:style w:type="table" w:customStyle="1" w:styleId="1-223">
    <w:name w:val="中等深浅底纹 1 - 着色 223"/>
    <w:basedOn w:val="a3"/>
    <w:uiPriority w:val="63"/>
    <w:semiHidden/>
    <w:qFormat/>
    <w:rPr>
      <w:rFonts w:ascii="Calibri" w:hAnsi="Calibri"/>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7C6"/>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22">
    <w:name w:val="彩色列表 - 着色 222"/>
    <w:basedOn w:val="a3"/>
    <w:uiPriority w:val="72"/>
    <w:semiHidden/>
    <w:qFormat/>
    <w:rPr>
      <w:rFonts w:ascii="Calibri" w:hAnsi="Calibri"/>
      <w:color w:val="000000"/>
    </w:rPr>
    <w:tblPr/>
    <w:tcPr>
      <w:shd w:val="clear" w:color="auto" w:fill="FDF2EA"/>
    </w:tcPr>
    <w:tblStylePr w:type="firstRow">
      <w:rPr>
        <w:b/>
        <w:bCs/>
        <w:color w:val="FFF7C6"/>
      </w:rPr>
      <w:tblPr/>
      <w:tcPr>
        <w:tcBorders>
          <w:bottom w:val="single" w:sz="12" w:space="0" w:color="FFF7C6"/>
        </w:tcBorders>
        <w:shd w:val="clear" w:color="auto" w:fill="D25F12"/>
      </w:tcPr>
    </w:tblStylePr>
    <w:tblStylePr w:type="lastRow">
      <w:rPr>
        <w:b/>
        <w:bCs/>
        <w:color w:val="D25F12"/>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1-322">
    <w:name w:val="中等深浅网格 1 - 着色 322"/>
    <w:basedOn w:val="a3"/>
    <w:uiPriority w:val="67"/>
    <w:semiHidden/>
    <w:qFormat/>
    <w:rPr>
      <w:rFonts w:ascii="Calibri" w:hAnsi="Calibri"/>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332">
    <w:name w:val="中等深浅网格 1 - 着色 332"/>
    <w:basedOn w:val="a3"/>
    <w:uiPriority w:val="67"/>
    <w:semiHidden/>
    <w:qFormat/>
    <w:rPr>
      <w:rFonts w:ascii="Calibri" w:hAnsi="Calibri"/>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32">
    <w:name w:val="中等深浅网格 2 - 着色 132"/>
    <w:basedOn w:val="a3"/>
    <w:uiPriority w:val="68"/>
    <w:semiHidden/>
    <w:qFormat/>
    <w:rPr>
      <w:rFonts w:ascii="Cambria" w:hAnsi="Cambria"/>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33">
    <w:name w:val="中等深浅底纹 1 - 着色 233"/>
    <w:basedOn w:val="a3"/>
    <w:uiPriority w:val="63"/>
    <w:semiHidden/>
    <w:qFormat/>
    <w:rPr>
      <w:rFonts w:ascii="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33">
    <w:name w:val="彩色列表 - 着色 233"/>
    <w:basedOn w:val="a3"/>
    <w:uiPriority w:val="72"/>
    <w:semiHidden/>
    <w:qFormat/>
    <w:rPr>
      <w:rFonts w:ascii="Calibri" w:hAnsi="Calibri"/>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72">
    <w:name w:val="网格型372"/>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2">
    <w:name w:val="网格型1162"/>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网格型215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2">
    <w:name w:val="网格型38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20">
    <w:name w:val="网格型46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20">
    <w:name w:val="网格型56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0">
    <w:name w:val="网格型66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网格型75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0">
    <w:name w:val="网格型85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2">
    <w:name w:val="网格型117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网格型216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网格型315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2">
    <w:name w:val="网格型415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2">
    <w:name w:val="网格型5152"/>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2">
    <w:name w:val="网格型615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网格型9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网格型123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0">
    <w:name w:val="网格型22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20">
    <w:name w:val="网格型32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2">
    <w:name w:val="网格型42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2">
    <w:name w:val="网格型623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网格型713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2">
    <w:name w:val="网格型81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20">
    <w:name w:val="网格型11132"/>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网格型211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2">
    <w:name w:val="网格型311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2">
    <w:name w:val="网格型411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32">
    <w:name w:val="网格型6113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网格型10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20">
    <w:name w:val="网格型133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0">
    <w:name w:val="网格型2332"/>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0">
    <w:name w:val="网格型33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2">
    <w:name w:val="网格型43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32">
    <w:name w:val="网格型633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2">
    <w:name w:val="网格型723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
    <w:name w:val="网格型82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20">
    <w:name w:val="网格型1123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网格型212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2">
    <w:name w:val="网格型312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32">
    <w:name w:val="网格型4123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32">
    <w:name w:val="网格型6123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网格型14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2">
    <w:name w:val="网格型1522"/>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网格型2422"/>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2">
    <w:name w:val="网格型34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2">
    <w:name w:val="网格型44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22">
    <w:name w:val="网格型64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2">
    <w:name w:val="网格型732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0">
    <w:name w:val="网格型83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20">
    <w:name w:val="网格型1132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网格型213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22">
    <w:name w:val="网格型313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22">
    <w:name w:val="网格型413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22">
    <w:name w:val="网格型613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2">
    <w:name w:val="网格型9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20">
    <w:name w:val="网格型1212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网格型22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2">
    <w:name w:val="网格型32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2">
    <w:name w:val="网格型42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2">
    <w:name w:val="网格型621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网格型7112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网格型81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20">
    <w:name w:val="网格型11112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网格型211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2">
    <w:name w:val="网格型311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22">
    <w:name w:val="网格型411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22">
    <w:name w:val="网格型6111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
    <w:name w:val="网格型10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2">
    <w:name w:val="网格型1312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网格型23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2">
    <w:name w:val="网格型33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22">
    <w:name w:val="网格型43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22">
    <w:name w:val="网格型631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2">
    <w:name w:val="网格型72122"/>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2">
    <w:name w:val="网格型82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2">
    <w:name w:val="网格型112122"/>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2">
    <w:name w:val="网格型212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2">
    <w:name w:val="网格型312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22">
    <w:name w:val="网格型4121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22">
    <w:name w:val="网格型612122"/>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网格型1622"/>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2">
    <w:name w:val="网格型1722"/>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网格型1822"/>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22">
    <w:name w:val="grp22"/>
    <w:basedOn w:val="affff"/>
    <w:qFormat/>
    <w:pPr>
      <w:widowControl w:val="0"/>
      <w:jc w:val="both"/>
    </w:p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343">
    <w:name w:val="中等深浅网格 1 - 着色 343"/>
    <w:basedOn w:val="a3"/>
    <w:uiPriority w:val="67"/>
    <w:semiHidden/>
    <w:qFormat/>
    <w:rPr>
      <w:rFonts w:ascii="Calibri" w:hAnsi="Calibri"/>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43">
    <w:name w:val="中等深浅网格 2 - 着色 143"/>
    <w:basedOn w:val="a3"/>
    <w:uiPriority w:val="68"/>
    <w:semiHidden/>
    <w:qFormat/>
    <w:rPr>
      <w:rFonts w:ascii="Cambria" w:hAnsi="Cambria"/>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42">
    <w:name w:val="中等深浅底纹 1 - 着色 242"/>
    <w:basedOn w:val="a3"/>
    <w:uiPriority w:val="63"/>
    <w:semiHidden/>
    <w:qFormat/>
    <w:rPr>
      <w:rFonts w:ascii="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2">
    <w:name w:val="彩色列表 - 着色 242"/>
    <w:basedOn w:val="a3"/>
    <w:uiPriority w:val="72"/>
    <w:semiHidden/>
    <w:qFormat/>
    <w:rPr>
      <w:rFonts w:ascii="Calibri" w:hAnsi="Calibri"/>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92">
    <w:name w:val="网格型392"/>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网格型402"/>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网格型472"/>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网格型482"/>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彩色列表 - 着色 1 字符"/>
    <w:uiPriority w:val="1"/>
    <w:qFormat/>
    <w:locked/>
    <w:rPr>
      <w:rFonts w:ascii="等线" w:eastAsia="等线" w:hAnsi="等线"/>
      <w:kern w:val="2"/>
      <w:sz w:val="21"/>
      <w:szCs w:val="21"/>
    </w:rPr>
  </w:style>
  <w:style w:type="table" w:customStyle="1" w:styleId="122b">
    <w:name w:val="简明型 122"/>
    <w:basedOn w:val="a3"/>
    <w:unhideWhenUsed/>
    <w:qFormat/>
    <w:pPr>
      <w:widowControl w:val="0"/>
      <w:jc w:val="both"/>
    </w:p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20">
    <w:name w:val="简明型 242"/>
    <w:basedOn w:val="a3"/>
    <w:unhideWhenUsed/>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20">
    <w:name w:val="简明型 342"/>
    <w:basedOn w:val="a3"/>
    <w:unhideWhenUsed/>
    <w:qFormat/>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customStyle="1" w:styleId="1523">
    <w:name w:val="古典型 152"/>
    <w:basedOn w:val="a3"/>
    <w:unhideWhenUsed/>
    <w:qFormat/>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23">
    <w:name w:val="古典型 242"/>
    <w:basedOn w:val="a3"/>
    <w:unhideWhenUsed/>
    <w:qFormat/>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23">
    <w:name w:val="古典型 342"/>
    <w:basedOn w:val="a3"/>
    <w:unhideWhenUsed/>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20">
    <w:name w:val="古典型 442"/>
    <w:basedOn w:val="a3"/>
    <w:unhideWhenUsed/>
    <w:qFormat/>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d">
    <w:name w:val="彩色型 112"/>
    <w:basedOn w:val="a3"/>
    <w:unhideWhenUsed/>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24">
    <w:name w:val="彩色型 242"/>
    <w:basedOn w:val="a3"/>
    <w:unhideWhenUsed/>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24">
    <w:name w:val="彩色型 342"/>
    <w:basedOn w:val="a3"/>
    <w:unhideWhenUsed/>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24">
    <w:name w:val="竖列型 142"/>
    <w:basedOn w:val="a3"/>
    <w:unhideWhenUsed/>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25">
    <w:name w:val="竖列型 242"/>
    <w:basedOn w:val="a3"/>
    <w:unhideWhenUsed/>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25">
    <w:name w:val="竖列型 342"/>
    <w:basedOn w:val="a3"/>
    <w:unhideWhenUsed/>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23">
    <w:name w:val="竖列型 442"/>
    <w:basedOn w:val="a3"/>
    <w:unhideWhenUsed/>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2">
    <w:name w:val="竖列型 542"/>
    <w:basedOn w:val="a3"/>
    <w:unhideWhenUsed/>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2c">
    <w:name w:val="网格型 122"/>
    <w:basedOn w:val="a3"/>
    <w:unhideWhenUsed/>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2f">
    <w:name w:val="网格型 212"/>
    <w:basedOn w:val="a3"/>
    <w:unhideWhenUsed/>
    <w:qFormat/>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2f">
    <w:name w:val="网格型 312"/>
    <w:basedOn w:val="a3"/>
    <w:unhideWhenUsed/>
    <w:qFormat/>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24">
    <w:name w:val="网格型 442"/>
    <w:basedOn w:val="a3"/>
    <w:unhideWhenUsed/>
    <w:qFormat/>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621">
    <w:name w:val="网格型 562"/>
    <w:basedOn w:val="a3"/>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20">
    <w:name w:val="网格型 642"/>
    <w:basedOn w:val="a3"/>
    <w:unhideWhenUsed/>
    <w:qFormat/>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23">
    <w:name w:val="网格型 712"/>
    <w:basedOn w:val="a3"/>
    <w:unhideWhenUsed/>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21">
    <w:name w:val="网格型 842"/>
    <w:basedOn w:val="a3"/>
    <w:unhideWhenUsed/>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25">
    <w:name w:val="列表型 142"/>
    <w:basedOn w:val="a3"/>
    <w:unhideWhenUsed/>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26">
    <w:name w:val="列表型 242"/>
    <w:basedOn w:val="a3"/>
    <w:unhideWhenUsed/>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26">
    <w:name w:val="列表型 342"/>
    <w:basedOn w:val="a3"/>
    <w:unhideWhenUsed/>
    <w:qFormat/>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25">
    <w:name w:val="列表型 442"/>
    <w:basedOn w:val="a3"/>
    <w:unhideWhenUsed/>
    <w:qFormat/>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26">
    <w:name w:val="列表型 512"/>
    <w:basedOn w:val="a3"/>
    <w:unhideWhenUsed/>
    <w:qFormat/>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27">
    <w:name w:val="列表型 612"/>
    <w:basedOn w:val="a3"/>
    <w:unhideWhenUsed/>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420">
    <w:name w:val="列表型 742"/>
    <w:basedOn w:val="a3"/>
    <w:unhideWhenUsed/>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22">
    <w:name w:val="列表型 842"/>
    <w:basedOn w:val="a3"/>
    <w:unhideWhenUsed/>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2e">
    <w:name w:val="表三维效果 112"/>
    <w:basedOn w:val="a3"/>
    <w:uiPriority w:val="99"/>
    <w:unhideWhenUsed/>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2f0">
    <w:name w:val="表三维效果 212"/>
    <w:basedOn w:val="a3"/>
    <w:uiPriority w:val="99"/>
    <w:unhideWhenUsed/>
    <w:qFormat/>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2f0">
    <w:name w:val="表三维效果 312"/>
    <w:basedOn w:val="a3"/>
    <w:uiPriority w:val="99"/>
    <w:unhideWhenUsed/>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42a">
    <w:name w:val="流行型42"/>
    <w:basedOn w:val="a3"/>
    <w:unhideWhenUsed/>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626">
    <w:name w:val="典雅型62"/>
    <w:basedOn w:val="a3"/>
    <w:unhideWhenUsed/>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42b">
    <w:name w:val="专业型42"/>
    <w:basedOn w:val="a3"/>
    <w:unhideWhenUsed/>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customStyle="1" w:styleId="112f">
    <w:name w:val="精巧型 112"/>
    <w:basedOn w:val="a3"/>
    <w:unhideWhenUsed/>
    <w:qFormat/>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f1">
    <w:name w:val="精巧型 212"/>
    <w:basedOn w:val="a3"/>
    <w:unhideWhenUsed/>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26">
    <w:name w:val="网页型 142"/>
    <w:basedOn w:val="a3"/>
    <w:unhideWhenUsed/>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427">
    <w:name w:val="网页型 242"/>
    <w:basedOn w:val="a3"/>
    <w:unhideWhenUsed/>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3427">
    <w:name w:val="网页型 342"/>
    <w:basedOn w:val="a3"/>
    <w:unhideWhenUsed/>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112">
    <w:name w:val="中等深浅网格 2 - 着色 112"/>
    <w:basedOn w:val="a3"/>
    <w:uiPriority w:val="68"/>
    <w:unhideWhenUsed/>
    <w:qFormat/>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1-212">
    <w:name w:val="中等深浅底纹 1 - 着色 212"/>
    <w:basedOn w:val="a3"/>
    <w:uiPriority w:val="63"/>
    <w:unhideWhenUsed/>
    <w:qFormat/>
    <w:rPr>
      <w:rFonts w:ascii="Calibri" w:hAnsi="Calibri"/>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100" w:beforeAutospacing="1" w:afterLines="0" w:after="100" w:afterAutospacing="1"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100" w:beforeAutospacing="1" w:afterLines="0" w:after="100" w:afterAutospacing="1"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12">
    <w:name w:val="彩色列表 - 着色 212"/>
    <w:basedOn w:val="a3"/>
    <w:uiPriority w:val="72"/>
    <w:unhideWhenUsed/>
    <w:qFormat/>
    <w:rPr>
      <w:rFonts w:ascii="Calibri" w:hAnsi="Calibri"/>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20">
    <w:name w:val="浅色列表 - 着色 312"/>
    <w:basedOn w:val="a3"/>
    <w:uiPriority w:val="61"/>
    <w:unhideWhenUsed/>
    <w:qFormat/>
    <w:rPr>
      <w:rFonts w:ascii="Calibri" w:hAnsi="Calibri"/>
      <w:sz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12">
    <w:name w:val="中等深浅底纹 2 - 着色 512"/>
    <w:basedOn w:val="a3"/>
    <w:uiPriority w:val="64"/>
    <w:unhideWhenUsed/>
    <w:qFormat/>
    <w:rPr>
      <w:rFonts w:ascii="Calibri" w:hAnsi="Calibri"/>
      <w:sz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8">
    <w:name w:val="招股书格式5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428">
    <w:name w:val="典雅型24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328">
    <w:name w:val="典雅型33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229">
    <w:name w:val="招股书格式322"/>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1220">
    <w:name w:val="典雅型212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2172">
    <w:name w:val="网格型2172"/>
    <w:basedOn w:val="a3"/>
    <w:uiPriority w:val="3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20">
    <w:name w:val="网格型 5412"/>
    <w:basedOn w:val="a3"/>
    <w:qFormat/>
    <w:rPr>
      <w:rFonts w:ascii="Calibri" w:hAnsi="Calibri" w:cs="Calibri"/>
    </w:rPr>
    <w:tblPr/>
    <w:tblStylePr w:type="lastCol">
      <w:rPr>
        <w:b/>
        <w:bCs/>
      </w:rPr>
      <w:tblPr/>
      <w:tcPr>
        <w:tcBorders>
          <w:tl2br w:val="nil"/>
          <w:tr2bl w:val="nil"/>
        </w:tcBorders>
      </w:tcPr>
    </w:tblStylePr>
  </w:style>
  <w:style w:type="table" w:customStyle="1" w:styleId="112120">
    <w:name w:val="典雅型11212"/>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2f0">
    <w:name w:val="预案表格112"/>
    <w:basedOn w:val="a3"/>
    <w:uiPriority w:val="99"/>
    <w:qFormat/>
    <w:rPr>
      <w:rFonts w:ascii="Calibri" w:hAnsi="Calibri"/>
    </w:rPr>
    <w:tblPr>
      <w:tblBorders>
        <w:top w:val="thinThickSmallGap" w:sz="12" w:space="0" w:color="auto"/>
        <w:bottom w:val="thickThinSmallGap" w:sz="12" w:space="0" w:color="auto"/>
        <w:insideH w:val="single" w:sz="4" w:space="0" w:color="auto"/>
        <w:insideV w:val="single" w:sz="4" w:space="0" w:color="auto"/>
      </w:tblBorders>
    </w:tblPr>
    <w:tcPr>
      <w:vAlign w:val="center"/>
    </w:tcPr>
    <w:tblStylePr w:type="firstRow">
      <w:rPr>
        <w:rFonts w:ascii="Times New Roman" w:eastAsia="PMingLiU" w:hAnsi="Times New Roman" w:cs="Times New Roman" w:hint="default"/>
        <w:b w:val="0"/>
        <w:i w:val="0"/>
        <w:caps w:val="0"/>
        <w:smallCaps w:val="0"/>
        <w:strike w:val="0"/>
        <w:dstrike w:val="0"/>
        <w:vanish w:val="0"/>
        <w:sz w:val="21"/>
        <w:szCs w:val="21"/>
        <w:u w:val="none"/>
      </w:rPr>
      <w:tblPr/>
      <w:tcPr>
        <w:vAlign w:val="bottom"/>
      </w:tcPr>
    </w:tblStylePr>
  </w:style>
  <w:style w:type="table" w:customStyle="1" w:styleId="12f7">
    <w:name w:val="附注表格12"/>
    <w:basedOn w:val="a3"/>
    <w:qFormat/>
    <w:pPr>
      <w:jc w:val="center"/>
    </w:pPr>
    <w:rPr>
      <w:szCs w:val="21"/>
    </w:rPr>
    <w:tblPr>
      <w:tblBorders>
        <w:top w:val="single" w:sz="4" w:space="0" w:color="auto"/>
        <w:bottom w:val="single" w:sz="4" w:space="0" w:color="auto"/>
        <w:insideH w:val="dotted" w:sz="4" w:space="0" w:color="auto"/>
        <w:insideV w:val="dotted" w:sz="4" w:space="0" w:color="auto"/>
      </w:tblBorders>
    </w:tblPr>
  </w:style>
  <w:style w:type="table" w:customStyle="1" w:styleId="11128">
    <w:name w:val="简明型 1112"/>
    <w:basedOn w:val="a3"/>
    <w:qFormat/>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512">
    <w:name w:val="网格型 5512"/>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style>
  <w:style w:type="table" w:customStyle="1" w:styleId="KWTable22">
    <w:name w:val="K&amp;W Table22"/>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hint="default"/>
        <w:b/>
        <w:sz w:val="20"/>
        <w:szCs w:val="20"/>
      </w:rPr>
      <w:tblPr/>
      <w:tcPr>
        <w:shd w:val="clear" w:color="auto" w:fill="E0E0E0"/>
      </w:tcPr>
    </w:tblStylePr>
  </w:style>
  <w:style w:type="table" w:customStyle="1" w:styleId="31120">
    <w:name w:val="彩色型 3112"/>
    <w:basedOn w:val="a3"/>
    <w:semiHidden/>
    <w:qFormat/>
    <w:rPr>
      <w:rFonts w:ascii="Calibri" w:hAnsi="Calibri" w:cs="Calibri"/>
    </w:rPr>
    <w:tblPr/>
    <w:tblStylePr w:type="firstCol">
      <w:tblPr/>
      <w:tcPr>
        <w:tcBorders>
          <w:left w:val="single" w:sz="36" w:space="0" w:color="000000"/>
          <w:right w:val="single" w:sz="6" w:space="0" w:color="000000"/>
          <w:tl2br w:val="nil"/>
          <w:tr2bl w:val="nil"/>
        </w:tcBorders>
        <w:shd w:val="solid" w:color="008080" w:fill="FFFFFF"/>
      </w:tcPr>
    </w:tblStylePr>
  </w:style>
  <w:style w:type="table" w:customStyle="1" w:styleId="11129">
    <w:name w:val="立体型 1112"/>
    <w:basedOn w:val="a3"/>
    <w:semiHidden/>
    <w:qFormat/>
    <w:rPr>
      <w:rFonts w:ascii="Calibri" w:hAnsi="Calibri" w:cs="Calibri"/>
    </w:rPr>
    <w:tblPr/>
    <w:tblStylePr w:type="swCell">
      <w:rPr>
        <w:color w:val="000080"/>
      </w:rPr>
      <w:tblPr/>
      <w:tcPr>
        <w:tcBorders>
          <w:top w:val="nil"/>
          <w:right w:val="nil"/>
          <w:tl2br w:val="nil"/>
          <w:tr2bl w:val="nil"/>
        </w:tcBorders>
      </w:tcPr>
    </w:tblStylePr>
  </w:style>
  <w:style w:type="table" w:customStyle="1" w:styleId="31123">
    <w:name w:val="立体型 3112"/>
    <w:basedOn w:val="a3"/>
    <w:semiHidden/>
    <w:qFormat/>
    <w:tblPr/>
    <w:tblStylePr w:type="firstRow">
      <w:rPr>
        <w:b/>
        <w:bCs/>
      </w:rPr>
      <w:tblPr/>
      <w:tcPr>
        <w:tcBorders>
          <w:tl2br w:val="nil"/>
          <w:tr2bl w:val="nil"/>
        </w:tcBorders>
      </w:tcPr>
    </w:tblStylePr>
  </w:style>
  <w:style w:type="table" w:customStyle="1" w:styleId="71120">
    <w:name w:val="列表型 7112"/>
    <w:basedOn w:val="a3"/>
    <w:semiHidden/>
    <w:qFormat/>
    <w:rPr>
      <w:rFonts w:ascii="Calibri" w:hAnsi="Calibri" w:cs="Calibri"/>
    </w:rPr>
    <w:tbl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1112a">
    <w:name w:val="竖列型 1112"/>
    <w:basedOn w:val="a3"/>
    <w:semiHidden/>
    <w:qFormat/>
    <w:rPr>
      <w:rFonts w:ascii="Calibri" w:hAnsi="Calibri" w:cs="Calibri"/>
    </w:rPr>
    <w:tblPr/>
    <w:tblStylePr w:type="swCell">
      <w:rPr>
        <w:b/>
        <w:bCs/>
      </w:rPr>
      <w:tblPr/>
      <w:tcPr>
        <w:tcBorders>
          <w:tl2br w:val="nil"/>
          <w:tr2bl w:val="nil"/>
        </w:tcBorders>
      </w:tcPr>
    </w:tblStylePr>
  </w:style>
  <w:style w:type="table" w:customStyle="1" w:styleId="21125">
    <w:name w:val="竖列型 2112"/>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style>
  <w:style w:type="table" w:customStyle="1" w:styleId="21126">
    <w:name w:val="网页型 2112"/>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12126">
    <w:name w:val="古典型 1212"/>
    <w:basedOn w:val="a3"/>
    <w:qFormat/>
    <w:rPr>
      <w:rFonts w:ascii="Calibri" w:hAnsi="Calibri" w:cs="Calibri"/>
    </w:rPr>
    <w:tblPr/>
    <w:tblStylePr w:type="neCell">
      <w:rPr>
        <w:b/>
        <w:bCs/>
        <w:i w:val="0"/>
        <w:iCs w:val="0"/>
      </w:rPr>
      <w:tblPr/>
      <w:tcPr>
        <w:tcBorders>
          <w:tl2br w:val="nil"/>
          <w:tr2bl w:val="nil"/>
        </w:tcBorders>
      </w:tcPr>
    </w:tblStylePr>
  </w:style>
  <w:style w:type="table" w:customStyle="1" w:styleId="22120">
    <w:name w:val="简明型 2212"/>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2120">
    <w:name w:val="列表型 8212"/>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20">
    <w:name w:val="竖列型 3212"/>
    <w:basedOn w:val="a3"/>
    <w:semiHidden/>
    <w:qFormat/>
    <w:rPr>
      <w:rFonts w:ascii="Calibri" w:hAnsi="Calibri" w:cs="Calibri"/>
    </w:rPr>
    <w:tblPr/>
    <w:tblStylePr w:type="neCell">
      <w:rPr>
        <w:b/>
        <w:bCs/>
      </w:rPr>
      <w:tblPr/>
      <w:tcPr>
        <w:tcBorders>
          <w:tl2br w:val="nil"/>
          <w:tr2bl w:val="nil"/>
        </w:tcBorders>
      </w:tcPr>
    </w:tblStylePr>
  </w:style>
  <w:style w:type="table" w:customStyle="1" w:styleId="62120">
    <w:name w:val="网格型 6212"/>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KWTable112">
    <w:name w:val="K&amp;W Table112"/>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cs="Arial" w:hint="default"/>
        <w:b/>
        <w:sz w:val="20"/>
        <w:szCs w:val="20"/>
      </w:rPr>
      <w:tblPr/>
      <w:tcPr>
        <w:shd w:val="clear" w:color="auto" w:fill="E0E0E0"/>
      </w:tcPr>
    </w:tblStylePr>
  </w:style>
  <w:style w:type="table" w:customStyle="1" w:styleId="23120">
    <w:name w:val="彩色型 2312"/>
    <w:basedOn w:val="a3"/>
    <w:semiHidden/>
    <w:qFormat/>
    <w:rPr>
      <w:rFonts w:ascii="Calibri" w:hAnsi="Calibri" w:cs="Calibri"/>
    </w:rPr>
    <w:tbl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style>
  <w:style w:type="table" w:customStyle="1" w:styleId="23123">
    <w:name w:val="古典型 2312"/>
    <w:basedOn w:val="a3"/>
    <w:semiHidden/>
    <w:qFormat/>
    <w:rPr>
      <w:rFonts w:ascii="Calibri" w:hAnsi="Calibri" w:cs="Calibri"/>
    </w:rPr>
    <w:tblPr/>
    <w:tblStylePr w:type="neCell">
      <w:rPr>
        <w:b/>
        <w:bCs/>
      </w:rPr>
      <w:tblPr/>
      <w:tcPr>
        <w:tcBorders>
          <w:tl2br w:val="nil"/>
          <w:tr2bl w:val="nil"/>
        </w:tcBorders>
      </w:tcPr>
    </w:tblStylePr>
    <w:tblStylePr w:type="nwCell">
      <w:tblPr/>
      <w:tcPr>
        <w:tcBorders>
          <w:tl2br w:val="nil"/>
          <w:tr2bl w:val="nil"/>
        </w:tcBorders>
        <w:shd w:val="solid" w:color="800080" w:fill="FFFFFF"/>
      </w:tcPr>
    </w:tblStylePr>
  </w:style>
  <w:style w:type="table" w:customStyle="1" w:styleId="23124">
    <w:name w:val="简明型 2312"/>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3121">
    <w:name w:val="列表型 8312"/>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20">
    <w:name w:val="竖列型 3312"/>
    <w:basedOn w:val="a3"/>
    <w:semiHidden/>
    <w:qFormat/>
    <w:rPr>
      <w:rFonts w:ascii="Calibri" w:hAnsi="Calibri" w:cs="Calibri"/>
    </w:rPr>
    <w:tblPr/>
    <w:tblStylePr w:type="neCell">
      <w:rPr>
        <w:b/>
        <w:bCs/>
      </w:rPr>
      <w:tblPr/>
      <w:tcPr>
        <w:tcBorders>
          <w:tl2br w:val="nil"/>
          <w:tr2bl w:val="nil"/>
        </w:tcBorders>
      </w:tcPr>
    </w:tblStylePr>
  </w:style>
  <w:style w:type="table" w:customStyle="1" w:styleId="63120">
    <w:name w:val="网格型 6312"/>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1142">
    <w:name w:val="浅色列表 - 强调文字颜色 1142"/>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42">
    <w:name w:val="中等深浅底纹 1 - 强调文字颜色 1142"/>
    <w:basedOn w:val="a3"/>
    <w:uiPriority w:val="63"/>
    <w:qFormat/>
    <w:rPr>
      <w:rFonts w:ascii="Calibri"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2">
    <w:name w:val="浅色列表 - 强调文字颜色 11112"/>
    <w:basedOn w:val="a3"/>
    <w:uiPriority w:val="61"/>
    <w:qFormat/>
    <w:rPr>
      <w:rFonts w:ascii="Calibri" w:hAnsi="Calibri" w:cs="Calibri"/>
    </w:rPr>
    <w:tbl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112">
    <w:name w:val="中等深浅底纹 1 - 强调文字颜色 11112"/>
    <w:basedOn w:val="a3"/>
    <w:uiPriority w:val="63"/>
    <w:qFormat/>
    <w:rPr>
      <w:rFonts w:ascii="Calibri"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2">
    <w:name w:val="浅色列表 - 强调文字颜色 11212"/>
    <w:basedOn w:val="a3"/>
    <w:uiPriority w:val="61"/>
    <w:qFormat/>
    <w:rPr>
      <w:rFonts w:ascii="Calibri" w:hAnsi="Calibri" w:cs="Calibri"/>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21">
    <w:name w:val="典雅型13112"/>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121">
    <w:name w:val="古典型 11312"/>
    <w:basedOn w:val="a3"/>
    <w:qFormat/>
    <w:rPr>
      <w:rFonts w:ascii="Calibri" w:hAnsi="Calibri" w:cs="Calibri"/>
    </w:rPr>
    <w:tblPr/>
    <w:tblStylePr w:type="firstCol">
      <w:tblPr/>
      <w:tcPr>
        <w:tcBorders>
          <w:right w:val="single" w:sz="6" w:space="0" w:color="000000"/>
          <w:tl2br w:val="nil"/>
          <w:tr2bl w:val="nil"/>
        </w:tcBorders>
      </w:tcPr>
    </w:tblStylePr>
  </w:style>
  <w:style w:type="table" w:customStyle="1" w:styleId="1112b">
    <w:name w:val="网格型 1112"/>
    <w:basedOn w:val="a3"/>
    <w:qFormat/>
    <w:rPr>
      <w:rFonts w:ascii="Calibri" w:hAnsi="Calibri" w:cs="Calibri"/>
    </w:rPr>
    <w:tblPr/>
    <w:tblStylePr w:type="nwCell">
      <w:tblPr/>
      <w:tcPr>
        <w:tcBorders>
          <w:tl2br w:val="single" w:sz="6" w:space="0" w:color="000000"/>
          <w:tr2bl w:val="nil"/>
        </w:tcBorders>
      </w:tcPr>
    </w:tblStylePr>
  </w:style>
  <w:style w:type="table" w:customStyle="1" w:styleId="1-2212">
    <w:name w:val="中等深浅底纹 1 - 着色 2212"/>
    <w:basedOn w:val="a3"/>
    <w:uiPriority w:val="63"/>
    <w:semiHidden/>
    <w:qFormat/>
    <w:rPr>
      <w:rFonts w:ascii="Calibri" w:hAnsi="Calibri" w:cs="Calibri"/>
    </w:rPr>
    <w:tbl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2312">
    <w:name w:val="中等深浅底纹 1 - 着色 2312"/>
    <w:basedOn w:val="a3"/>
    <w:uiPriority w:val="63"/>
    <w:semiHidden/>
    <w:qFormat/>
    <w:rPr>
      <w:rFonts w:ascii="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style>
  <w:style w:type="table" w:customStyle="1" w:styleId="-2312">
    <w:name w:val="彩色列表 - 着色 2312"/>
    <w:basedOn w:val="a3"/>
    <w:uiPriority w:val="72"/>
    <w:semiHidden/>
    <w:qFormat/>
    <w:rPr>
      <w:rFonts w:ascii="Calibri" w:hAnsi="Calibri" w:cs="Calibri"/>
    </w:rPr>
    <w:tblPr/>
    <w:tblStylePr w:type="band1Horz">
      <w:tblPr/>
      <w:tcPr>
        <w:shd w:val="clear" w:color="auto" w:fill="F2DBDB"/>
      </w:tcPr>
    </w:tblStylePr>
  </w:style>
  <w:style w:type="table" w:customStyle="1" w:styleId="1-3412">
    <w:name w:val="中等深浅网格 1 - 着色 3412"/>
    <w:basedOn w:val="a3"/>
    <w:uiPriority w:val="67"/>
    <w:semiHidden/>
    <w:qFormat/>
    <w:rPr>
      <w:rFonts w:ascii="Calibri" w:hAnsi="Calibri" w:cs="Calibri"/>
    </w:rPr>
    <w:tbl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style>
  <w:style w:type="table" w:customStyle="1" w:styleId="2-1412">
    <w:name w:val="中等深浅网格 2 - 着色 1412"/>
    <w:basedOn w:val="a3"/>
    <w:uiPriority w:val="68"/>
    <w:semiHidden/>
    <w:qFormat/>
    <w:rPr>
      <w:rFonts w:ascii="Calibri" w:hAnsi="Calibri" w:cs="Calibri"/>
    </w:rPr>
    <w:tblPr/>
    <w:tblStylePr w:type="band1Horz">
      <w:tblPr/>
      <w:tcPr>
        <w:tcBorders>
          <w:insideH w:val="single" w:sz="6" w:space="0" w:color="auto"/>
          <w:insideV w:val="single" w:sz="6" w:space="0" w:color="auto"/>
        </w:tcBorders>
        <w:shd w:val="clear" w:color="auto" w:fill="A7BFDE"/>
      </w:tcPr>
    </w:tblStylePr>
  </w:style>
  <w:style w:type="table" w:customStyle="1" w:styleId="716">
    <w:name w:val="典雅型7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710">
    <w:name w:val="网格型 57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c">
    <w:name w:val="定制网格型51"/>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d">
    <w:name w:val="奔奔团招股书格式5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619">
    <w:name w:val="招股书格式6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513">
    <w:name w:val="典雅型15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511">
    <w:name w:val="网格型 515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81">
    <w:name w:val="网格型118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7">
    <w:name w:val="奔奔团招股书格式14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418">
    <w:name w:val="招股书格式14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511">
    <w:name w:val="典雅型25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310">
    <w:name w:val="网格型 523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1b">
    <w:name w:val="定制网格型13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a">
    <w:name w:val="奔奔团招股书格式23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31b">
    <w:name w:val="招股书格式23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411">
    <w:name w:val="典雅型114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31">
    <w:name w:val="网格型 5113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91">
    <w:name w:val="网格型119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奔奔团招股书格式113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314">
    <w:name w:val="招股书格式113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31c">
    <w:name w:val="定制网格型23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7">
    <w:name w:val="典雅型34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210">
    <w:name w:val="网格型 532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f1">
    <w:name w:val="定制网格型31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c">
    <w:name w:val="奔奔团招股书格式32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31b">
    <w:name w:val="招股书格式33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311">
    <w:name w:val="典雅型123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21">
    <w:name w:val="网格型 5122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410">
    <w:name w:val="网格型124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奔奔团招股书格式122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214">
    <w:name w:val="招股书格式122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310">
    <w:name w:val="典雅型213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21">
    <w:name w:val="网格型 5212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17">
    <w:name w:val="定制网格型112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5">
    <w:name w:val="奔奔团招股书格式212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216">
    <w:name w:val="招股书格式212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210">
    <w:name w:val="典雅型1112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21">
    <w:name w:val="网格型 51112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41">
    <w:name w:val="网格型1114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奔奔团招股书格式1112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214">
    <w:name w:val="招股书格式1112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18">
    <w:name w:val="定制网格型211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网格型2181"/>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7">
    <w:name w:val="典雅型42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4210">
    <w:name w:val="网格型 542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9">
    <w:name w:val="定制网格型41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a">
    <w:name w:val="奔奔团招股书格式4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411b">
    <w:name w:val="招股书格式4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3211">
    <w:name w:val="典雅型132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311">
    <w:name w:val="网格型 513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41">
    <w:name w:val="网格型134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奔奔团招股书格式13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3115">
    <w:name w:val="招股书格式13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2113">
    <w:name w:val="典雅型22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211">
    <w:name w:val="网格型 522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17">
    <w:name w:val="定制网格型121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奔奔团招股书格式22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2115">
    <w:name w:val="招股书格式22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2211">
    <w:name w:val="典雅型1122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211">
    <w:name w:val="网格型 5112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41">
    <w:name w:val="网格型1124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奔奔团招股书格式112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2115">
    <w:name w:val="招股书格式112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31116">
    <w:name w:val="典雅型31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111">
    <w:name w:val="网格型 531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116">
    <w:name w:val="定制网格型221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7">
    <w:name w:val="奔奔团招股书格式31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1118">
    <w:name w:val="招股书格式31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1110">
    <w:name w:val="典雅型121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111">
    <w:name w:val="网格型 5121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31">
    <w:name w:val="网格型1213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奔奔团招股书格式121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1114">
    <w:name w:val="招股书格式121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110">
    <w:name w:val="典雅型211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111">
    <w:name w:val="网格型 5211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15">
    <w:name w:val="定制网格型1111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
    <w:name w:val="奔奔团招股书格式211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1114">
    <w:name w:val="招股书格式211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1110">
    <w:name w:val="典雅型1111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111">
    <w:name w:val="网格型 51111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31">
    <w:name w:val="网格型11113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奔奔团招股书格式111111"/>
    <w:basedOn w:val="a3"/>
    <w:qFormat/>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1114">
    <w:name w:val="招股书格式111111"/>
    <w:basedOn w:val="affff"/>
    <w:uiPriority w:val="99"/>
    <w:qFormat/>
    <w:pPr>
      <w:jc w:val="both"/>
    </w:pPr>
    <w:rPr>
      <w:rFonts w:ascii="Calibri" w:hAnsi="Calibri"/>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1e">
    <w:name w:val="预案表格121"/>
    <w:basedOn w:val="a3"/>
    <w:uiPriority w:val="99"/>
    <w:qFormat/>
    <w:rPr>
      <w:rFonts w:ascii="Calibri" w:hAnsi="Calibri"/>
    </w:rPr>
    <w:tblPr>
      <w:jc w:val="center"/>
      <w:tblBorders>
        <w:top w:val="thinThickSmallGap" w:sz="12" w:space="0" w:color="auto"/>
        <w:bottom w:val="thickThinSmallGap" w:sz="12" w:space="0" w:color="auto"/>
        <w:insideH w:val="single" w:sz="4" w:space="0" w:color="auto"/>
        <w:insideV w:val="single" w:sz="4" w:space="0" w:color="auto"/>
      </w:tblBorders>
    </w:tblPr>
    <w:trPr>
      <w:jc w:val="center"/>
    </w:trPr>
    <w:tcPr>
      <w:vAlign w:val="center"/>
    </w:tcPr>
    <w:tblStylePr w:type="firstRow">
      <w:rPr>
        <w:rFonts w:ascii="Times New Roman" w:eastAsia="PMingLiU" w:hAnsi="Times New Roman"/>
        <w:b w:val="0"/>
        <w:i w:val="0"/>
        <w:caps w:val="0"/>
        <w:smallCaps w:val="0"/>
        <w:strike w:val="0"/>
        <w:dstrike w:val="0"/>
        <w:vanish w:val="0"/>
        <w:sz w:val="21"/>
        <w:vertAlign w:val="baseline"/>
      </w:rPr>
    </w:tblStylePr>
  </w:style>
  <w:style w:type="table" w:customStyle="1" w:styleId="3101">
    <w:name w:val="网格型310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网格型491"/>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
    <w:name w:val="网格型571"/>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网格型3161"/>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网格型671"/>
    <w:basedOn w:val="a3"/>
    <w:uiPriority w:val="59"/>
    <w:qFormat/>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彩色型 251"/>
    <w:basedOn w:val="a3"/>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131c">
    <w:name w:val="简明型 131"/>
    <w:basedOn w:val="a3"/>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8511">
    <w:name w:val="网格型 851"/>
    <w:basedOn w:val="a3"/>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321">
    <w:name w:val="浅色列表 - 着色 321"/>
    <w:basedOn w:val="a3"/>
    <w:uiPriority w:val="61"/>
    <w:qFormat/>
    <w:rPr>
      <w:rFonts w:ascii="Calibri" w:hAnsi="Calibri"/>
      <w:sz w:val="22"/>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21">
    <w:name w:val="中等深浅底纹 2 - 着色 521"/>
    <w:basedOn w:val="a3"/>
    <w:uiPriority w:val="64"/>
    <w:qFormat/>
    <w:rPr>
      <w:rFonts w:ascii="Calibri" w:hAnsi="Calibri"/>
      <w:sz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e">
    <w:name w:val="附注表格21"/>
    <w:basedOn w:val="a3"/>
    <w:qFormat/>
    <w:pPr>
      <w:jc w:val="center"/>
    </w:pPr>
    <w:rPr>
      <w:szCs w:val="21"/>
    </w:rPr>
    <w:tblPr>
      <w:tblBorders>
        <w:top w:val="single" w:sz="4" w:space="0" w:color="auto"/>
        <w:bottom w:val="single" w:sz="4" w:space="0" w:color="auto"/>
        <w:insideH w:val="dotted" w:sz="4" w:space="0" w:color="auto"/>
        <w:insideV w:val="dotted" w:sz="4" w:space="0" w:color="auto"/>
      </w:tblBorders>
    </w:tblPr>
    <w:trPr>
      <w:tblHeader/>
    </w:trPr>
  </w:style>
  <w:style w:type="table" w:customStyle="1" w:styleId="7610">
    <w:name w:val="网格型761"/>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e">
    <w:name w:val="表格主题5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f">
    <w:name w:val="彩色型 121"/>
    <w:basedOn w:val="a3"/>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19">
    <w:name w:val="彩色型 2111"/>
    <w:basedOn w:val="a3"/>
    <w:semiHidden/>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11">
    <w:name w:val="彩色型 351"/>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117">
    <w:name w:val="典雅型511"/>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610">
    <w:name w:val="古典型 161"/>
    <w:basedOn w:val="a3"/>
    <w:semiHidden/>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13">
    <w:name w:val="古典型 251"/>
    <w:basedOn w:val="a3"/>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12">
    <w:name w:val="古典型 351"/>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11">
    <w:name w:val="古典型 451"/>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18">
    <w:name w:val="简明型 1121"/>
    <w:basedOn w:val="a3"/>
    <w:qFormat/>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14">
    <w:name w:val="简明型 251"/>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13">
    <w:name w:val="简明型 351"/>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f0">
    <w:name w:val="精巧型 121"/>
    <w:basedOn w:val="a3"/>
    <w:qFormat/>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d">
    <w:name w:val="精巧型 221"/>
    <w:basedOn w:val="a3"/>
    <w:qFormat/>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f1">
    <w:name w:val="表三维效果 121"/>
    <w:basedOn w:val="a3"/>
    <w:uiPriority w:val="99"/>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e">
    <w:name w:val="表三维效果 221"/>
    <w:basedOn w:val="a3"/>
    <w:uiPriority w:val="99"/>
    <w:semiHidden/>
    <w:qFormat/>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d">
    <w:name w:val="表三维效果 321"/>
    <w:basedOn w:val="a3"/>
    <w:uiPriority w:val="99"/>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14">
    <w:name w:val="列表型 151"/>
    <w:basedOn w:val="a3"/>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515">
    <w:name w:val="列表型 251"/>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14">
    <w:name w:val="列表型 351"/>
    <w:basedOn w:val="a3"/>
    <w:semiHidden/>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12">
    <w:name w:val="列表型 451"/>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5">
    <w:name w:val="列表型 521"/>
    <w:basedOn w:val="a3"/>
    <w:qFormat/>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5">
    <w:name w:val="列表型 621"/>
    <w:basedOn w:val="a3"/>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11">
    <w:name w:val="列表型 751"/>
    <w:basedOn w:val="a3"/>
    <w:semiHidden/>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12">
    <w:name w:val="列表型 851"/>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1f">
    <w:name w:val="流行型51"/>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515">
    <w:name w:val="竖列型 151"/>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16">
    <w:name w:val="竖列型 251"/>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515">
    <w:name w:val="竖列型 351"/>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513">
    <w:name w:val="竖列型 451"/>
    <w:basedOn w:val="a3"/>
    <w:semiHidden/>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3">
    <w:name w:val="竖列型 551"/>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31d">
    <w:name w:val="网格型 131"/>
    <w:basedOn w:val="a3"/>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1f">
    <w:name w:val="网格型 221"/>
    <w:basedOn w:val="a3"/>
    <w:qFormat/>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e">
    <w:name w:val="网格型 321"/>
    <w:basedOn w:val="a3"/>
    <w:qFormat/>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514">
    <w:name w:val="网格型 451"/>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5210">
    <w:name w:val="网格型 5521"/>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511">
    <w:name w:val="网格型 651"/>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5">
    <w:name w:val="网格型 721"/>
    <w:basedOn w:val="a3"/>
    <w:semiHidden/>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0">
    <w:name w:val="网格型 8111"/>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516">
    <w:name w:val="网页型 151"/>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17">
    <w:name w:val="网页型 251"/>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16">
    <w:name w:val="网页型 351"/>
    <w:basedOn w:val="a3"/>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51f0">
    <w:name w:val="专业型51"/>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51">
    <w:name w:val="中等深浅底纹 1 - 着色 251"/>
    <w:basedOn w:val="a3"/>
    <w:uiPriority w:val="63"/>
    <w:qFormat/>
    <w:rPr>
      <w:rFonts w:ascii="Calibri" w:hAnsi="Calibri"/>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1">
    <w:name w:val="中等深浅网格 1 - 着色 311"/>
    <w:basedOn w:val="a3"/>
    <w:uiPriority w:val="67"/>
    <w:qFormat/>
    <w:rPr>
      <w:rFonts w:ascii="Calibri" w:hAnsi="Calibri"/>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2-151">
    <w:name w:val="中等深浅网格 2 - 着色 151"/>
    <w:basedOn w:val="a3"/>
    <w:uiPriority w:val="68"/>
    <w:qFormat/>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251">
    <w:name w:val="彩色列表 - 着色 251"/>
    <w:basedOn w:val="a3"/>
    <w:uiPriority w:val="72"/>
    <w:qFormat/>
    <w:rPr>
      <w:rFonts w:ascii="Calibri" w:hAnsi="Calibri"/>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KWTable31">
    <w:name w:val="K&amp;W Table31"/>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b/>
        <w:sz w:val="20"/>
      </w:rPr>
      <w:tblPr/>
      <w:tcPr>
        <w:shd w:val="clear" w:color="auto" w:fill="E0E0E0"/>
      </w:tcPr>
    </w:tblStylePr>
  </w:style>
  <w:style w:type="table" w:customStyle="1" w:styleId="1431">
    <w:name w:val="网格型1431"/>
    <w:basedOn w:val="a3"/>
    <w:uiPriority w:val="59"/>
    <w:qFormat/>
    <w:pPr>
      <w:spacing w:before="120" w:after="120" w:line="240" w:lineRule="atLeast"/>
    </w:pPr>
    <w:rPr>
      <w:rFonts w:ascii="Arial" w:hAnsi="Arial"/>
    </w:rPr>
    <w:tblPr/>
  </w:style>
  <w:style w:type="table" w:customStyle="1" w:styleId="2191">
    <w:name w:val="网格型2191"/>
    <w:basedOn w:val="a3"/>
    <w:uiPriority w:val="59"/>
    <w:qFormat/>
    <w:pPr>
      <w:spacing w:before="120" w:after="120" w:line="240" w:lineRule="atLeast"/>
    </w:pPr>
    <w:rPr>
      <w:rFonts w:ascii="Arial" w:hAnsi="Arial"/>
    </w:rPr>
    <w:tblPr/>
  </w:style>
  <w:style w:type="table" w:customStyle="1" w:styleId="31210">
    <w:name w:val="彩色型 3121"/>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110">
    <w:name w:val="典雅型1411"/>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412">
    <w:name w:val="古典型 1141"/>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1a">
    <w:name w:val="古典型 2111"/>
    <w:basedOn w:val="a3"/>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9">
    <w:name w:val="古典型 3111"/>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0">
    <w:name w:val="古典型 4111"/>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1b">
    <w:name w:val="简明型 2111"/>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1a">
    <w:name w:val="简明型 3111"/>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219">
    <w:name w:val="立体型 1121"/>
    <w:basedOn w:val="a3"/>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1215">
    <w:name w:val="立体型 3121"/>
    <w:basedOn w:val="a3"/>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1b">
    <w:name w:val="列表型 1111"/>
    <w:basedOn w:val="a3"/>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1c">
    <w:name w:val="列表型 2111"/>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1b">
    <w:name w:val="列表型 3111"/>
    <w:basedOn w:val="a3"/>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15">
    <w:name w:val="列表型 4111"/>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1210">
    <w:name w:val="列表型 7121"/>
    <w:basedOn w:val="a3"/>
    <w:semiHidden/>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3">
    <w:name w:val="列表型 8111"/>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11f1">
    <w:name w:val="流行型111"/>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1a">
    <w:name w:val="竖列型 1121"/>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17">
    <w:name w:val="竖列型 2121"/>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1c">
    <w:name w:val="竖列型 3111"/>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16">
    <w:name w:val="竖列型 4111"/>
    <w:basedOn w:val="a3"/>
    <w:semiHidden/>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4">
    <w:name w:val="竖列型 5111"/>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1117">
    <w:name w:val="网格型 4111"/>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10">
    <w:name w:val="网格型 6111"/>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c">
    <w:name w:val="网页型 1111"/>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18">
    <w:name w:val="网页型 2121"/>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1d">
    <w:name w:val="网页型 3111"/>
    <w:basedOn w:val="a3"/>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f2">
    <w:name w:val="专业型111"/>
    <w:basedOn w:val="a3"/>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31141">
    <w:name w:val="网格型31141"/>
    <w:basedOn w:val="a3"/>
    <w:uiPriority w:val="59"/>
    <w:qFormat/>
    <w:pPr>
      <w:spacing w:before="120" w:after="120" w:line="240" w:lineRule="atLeast"/>
    </w:pPr>
    <w:rPr>
      <w:rFonts w:ascii="Arial" w:hAnsi="Arial"/>
    </w:rPr>
    <w:tblPr/>
  </w:style>
  <w:style w:type="table" w:customStyle="1" w:styleId="22117">
    <w:name w:val="彩色型 2211"/>
    <w:basedOn w:val="a3"/>
    <w:semiHidden/>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13">
    <w:name w:val="彩色型 3211"/>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3114">
    <w:name w:val="典雅型2311"/>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2215">
    <w:name w:val="古典型 1221"/>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18">
    <w:name w:val="古典型 2211"/>
    <w:basedOn w:val="a3"/>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14">
    <w:name w:val="古典型 3211"/>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10">
    <w:name w:val="古典型 4211"/>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211">
    <w:name w:val="简明型 2221"/>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15">
    <w:name w:val="简明型 3211"/>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18">
    <w:name w:val="立体型 1211"/>
    <w:basedOn w:val="a3"/>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2116">
    <w:name w:val="立体型 3211"/>
    <w:basedOn w:val="a3"/>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19">
    <w:name w:val="列表型 1211"/>
    <w:basedOn w:val="a3"/>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19">
    <w:name w:val="列表型 2211"/>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117">
    <w:name w:val="列表型 3211"/>
    <w:basedOn w:val="a3"/>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13">
    <w:name w:val="列表型 4211"/>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2110">
    <w:name w:val="列表型 7211"/>
    <w:basedOn w:val="a3"/>
    <w:semiHidden/>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211">
    <w:name w:val="列表型 8221"/>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211f1">
    <w:name w:val="流行型211"/>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1a">
    <w:name w:val="竖列型 1211"/>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1a">
    <w:name w:val="竖列型 2211"/>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211">
    <w:name w:val="竖列型 3221"/>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14">
    <w:name w:val="竖列型 4211"/>
    <w:basedOn w:val="a3"/>
    <w:semiHidden/>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3">
    <w:name w:val="竖列型 5211"/>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2115">
    <w:name w:val="网格型 4211"/>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211">
    <w:name w:val="网格型 6221"/>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2113">
    <w:name w:val="网格型 8211"/>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1b">
    <w:name w:val="网页型 1211"/>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1b">
    <w:name w:val="网页型 2211"/>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18">
    <w:name w:val="网页型 3211"/>
    <w:basedOn w:val="a3"/>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f2">
    <w:name w:val="专业型211"/>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Normal111">
    <w:name w:val="Table Normal111"/>
    <w:uiPriority w:val="2"/>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KWTable121">
    <w:name w:val="K&amp;W Table121"/>
    <w:basedOn w:val="affff"/>
    <w:qFormat/>
    <w:pPr>
      <w:spacing w:before="60" w:after="60"/>
      <w:contextualSpacing/>
    </w:pPr>
    <w:rPr>
      <w:rFonts w:ascii="Arial" w:eastAsia="楷体_GB2312"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b/>
        <w:sz w:val="20"/>
      </w:rPr>
      <w:tblPr/>
      <w:tcPr>
        <w:shd w:val="clear" w:color="auto" w:fill="E0E0E0"/>
      </w:tcPr>
    </w:tblStylePr>
  </w:style>
  <w:style w:type="table" w:customStyle="1" w:styleId="23211">
    <w:name w:val="彩色型 2321"/>
    <w:basedOn w:val="a3"/>
    <w:semiHidden/>
    <w:qFormat/>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13">
    <w:name w:val="彩色型 3311"/>
    <w:basedOn w:val="a3"/>
    <w:semiHidden/>
    <w:qFormat/>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119">
    <w:name w:val="典雅型3211"/>
    <w:basedOn w:val="a3"/>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3116">
    <w:name w:val="古典型 1311"/>
    <w:basedOn w:val="a3"/>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212">
    <w:name w:val="古典型 2321"/>
    <w:basedOn w:val="a3"/>
    <w:semiHidden/>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14">
    <w:name w:val="古典型 3311"/>
    <w:basedOn w:val="a3"/>
    <w:semiHidden/>
    <w:qFormat/>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10">
    <w:name w:val="古典型 4311"/>
    <w:basedOn w:val="a3"/>
    <w:semiHidden/>
    <w:qFormat/>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3213">
    <w:name w:val="简明型 2321"/>
    <w:basedOn w:val="a3"/>
    <w:semiHidden/>
    <w:qFormat/>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15">
    <w:name w:val="简明型 3311"/>
    <w:basedOn w:val="a3"/>
    <w:semiHidden/>
    <w:qFormat/>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17">
    <w:name w:val="立体型 1311"/>
    <w:basedOn w:val="a3"/>
    <w:semiHidden/>
    <w:qFormat/>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3116">
    <w:name w:val="立体型 3311"/>
    <w:basedOn w:val="a3"/>
    <w:semiHidden/>
    <w:qFormat/>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18">
    <w:name w:val="列表型 1311"/>
    <w:basedOn w:val="a3"/>
    <w:semiHidden/>
    <w:qFormat/>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15">
    <w:name w:val="列表型 2311"/>
    <w:basedOn w:val="a3"/>
    <w:semiHidden/>
    <w:qFormat/>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3117">
    <w:name w:val="列表型 3311"/>
    <w:basedOn w:val="a3"/>
    <w:qFormat/>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13">
    <w:name w:val="列表型 4311"/>
    <w:basedOn w:val="a3"/>
    <w:semiHidden/>
    <w:qFormat/>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3111">
    <w:name w:val="列表型 7311"/>
    <w:basedOn w:val="a3"/>
    <w:semiHidden/>
    <w:qFormat/>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211">
    <w:name w:val="列表型 8321"/>
    <w:basedOn w:val="a3"/>
    <w:semiHidden/>
    <w:qFormat/>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311f2">
    <w:name w:val="流行型311"/>
    <w:basedOn w:val="a3"/>
    <w:semiHidden/>
    <w:qFormat/>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19">
    <w:name w:val="竖列型 1311"/>
    <w:basedOn w:val="a3"/>
    <w:semiHidden/>
    <w:qFormat/>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16">
    <w:name w:val="竖列型 2311"/>
    <w:basedOn w:val="a3"/>
    <w:semiHidden/>
    <w:qFormat/>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211">
    <w:name w:val="竖列型 3321"/>
    <w:basedOn w:val="a3"/>
    <w:semiHidden/>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14">
    <w:name w:val="竖列型 4311"/>
    <w:basedOn w:val="a3"/>
    <w:semiHidden/>
    <w:qFormat/>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2">
    <w:name w:val="竖列型 5311"/>
    <w:basedOn w:val="a3"/>
    <w:semiHidden/>
    <w:qFormat/>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3115">
    <w:name w:val="网格型 4311"/>
    <w:basedOn w:val="a3"/>
    <w:semiHidden/>
    <w:qFormat/>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211">
    <w:name w:val="网格型 6321"/>
    <w:basedOn w:val="a3"/>
    <w:semiHidden/>
    <w:qFormat/>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3112">
    <w:name w:val="网格型 8311"/>
    <w:basedOn w:val="a3"/>
    <w:semiHidden/>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1a">
    <w:name w:val="网页型 1311"/>
    <w:basedOn w:val="a3"/>
    <w:semiHidden/>
    <w:qFormat/>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17">
    <w:name w:val="网页型 2311"/>
    <w:basedOn w:val="a3"/>
    <w:semiHidden/>
    <w:qFormat/>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18">
    <w:name w:val="网页型 3311"/>
    <w:basedOn w:val="a3"/>
    <w:semiHidden/>
    <w:qFormat/>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f3">
    <w:name w:val="专业型311"/>
    <w:basedOn w:val="a3"/>
    <w:semiHidden/>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51">
    <w:name w:val="浅色列表 - 强调文字颜色 1151"/>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51">
    <w:name w:val="中等深浅底纹 1 - 强调文字颜色 1151"/>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310">
    <w:name w:val="网格型11331"/>
    <w:basedOn w:val="a3"/>
    <w:uiPriority w:val="59"/>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3">
    <w:name w:val="样式541"/>
    <w:basedOn w:val="a3"/>
    <w:uiPriority w:val="99"/>
    <w:qFormat/>
    <w:rPr>
      <w:rFonts w:ascii="Calibri" w:hAnsi="Calibri"/>
    </w:rPr>
    <w:tblPr/>
  </w:style>
  <w:style w:type="table" w:customStyle="1" w:styleId="21141">
    <w:name w:val="网格型2114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d">
    <w:name w:val="表格模式41"/>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4161">
    <w:name w:val="网格型416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0">
    <w:name w:val="网格型12221"/>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浅色列表 - 强调文字颜色 11121"/>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21">
    <w:name w:val="中等深浅底纹 1 - 强调文字颜色 11121"/>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41">
    <w:name w:val="网格型224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网格型311131"/>
    <w:basedOn w:val="a3"/>
    <w:uiPriority w:val="59"/>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典雅型11311"/>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116">
    <w:name w:val="古典型 11111"/>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21">
    <w:name w:val="网格型111221"/>
    <w:basedOn w:val="a3"/>
    <w:uiPriority w:val="59"/>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5">
    <w:name w:val="样式5111"/>
    <w:basedOn w:val="a3"/>
    <w:uiPriority w:val="99"/>
    <w:qFormat/>
    <w:rPr>
      <w:rFonts w:ascii="Calibri" w:hAnsi="Calibri"/>
    </w:rPr>
    <w:tblPr/>
  </w:style>
  <w:style w:type="table" w:customStyle="1" w:styleId="61115">
    <w:name w:val="样式6111"/>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111f3">
    <w:name w:val="表格模式111"/>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51610">
    <w:name w:val="网格型516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0">
    <w:name w:val="网格型13131"/>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浅色列表 - 强调文字颜色 11221"/>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11">
    <w:name w:val="中等深浅底纹 1 - 强调文字颜色 11211"/>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41">
    <w:name w:val="网格型234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网格型3241"/>
    <w:basedOn w:val="a3"/>
    <w:uiPriority w:val="59"/>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典雅型12211"/>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2116">
    <w:name w:val="古典型 11211"/>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31">
    <w:name w:val="网格型112131"/>
    <w:basedOn w:val="a3"/>
    <w:uiPriority w:val="59"/>
    <w:qFormat/>
    <w:pPr>
      <w:widowControl w:val="0"/>
      <w:spacing w:beforeLines="50" w:line="360" w:lineRule="auto"/>
      <w:ind w:firstLine="482"/>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4">
    <w:name w:val="样式5211"/>
    <w:basedOn w:val="a3"/>
    <w:uiPriority w:val="99"/>
    <w:qFormat/>
    <w:rPr>
      <w:rFonts w:ascii="Calibri" w:hAnsi="Calibri"/>
    </w:rPr>
    <w:tblPr/>
  </w:style>
  <w:style w:type="table" w:customStyle="1" w:styleId="21241">
    <w:name w:val="网格型2124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3">
    <w:name w:val="样式6211"/>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211f3">
    <w:name w:val="表格模式211"/>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6161">
    <w:name w:val="网格型6161"/>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8">
    <w:name w:val="典雅型4111"/>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4113">
    <w:name w:val="古典型 1411"/>
    <w:basedOn w:val="a3"/>
    <w:qFormat/>
    <w:pPr>
      <w:widowControl w:val="0"/>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21">
    <w:name w:val="网格型14121"/>
    <w:basedOn w:val="a3"/>
    <w:uiPriority w:val="59"/>
    <w:qFormat/>
    <w:pPr>
      <w:widowControl w:val="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浅色列表 - 强调文字颜色 11311"/>
    <w:basedOn w:val="a3"/>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11">
    <w:name w:val="中等深浅底纹 1 - 强调文字颜色 11311"/>
    <w:basedOn w:val="a3"/>
    <w:uiPriority w:val="6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431">
    <w:name w:val="网格型2431"/>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网格型3341"/>
    <w:basedOn w:val="a3"/>
    <w:uiPriority w:val="59"/>
    <w:qFormat/>
    <w:pPr>
      <w:widowControl w:val="0"/>
      <w:spacing w:beforeLines="50" w:line="360" w:lineRule="auto"/>
      <w:ind w:firstLine="48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典雅型13121"/>
    <w:basedOn w:val="a3"/>
    <w:qFormat/>
    <w:pPr>
      <w:widowControl w:val="0"/>
      <w:spacing w:beforeLines="50" w:line="360" w:lineRule="auto"/>
      <w:ind w:firstLine="482"/>
      <w:jc w:val="both"/>
    </w:p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211">
    <w:name w:val="古典型 11321"/>
    <w:basedOn w:val="a3"/>
    <w:qFormat/>
    <w:pPr>
      <w:widowControl w:val="0"/>
      <w:spacing w:beforeLines="50" w:line="360" w:lineRule="auto"/>
      <w:ind w:firstLine="482"/>
      <w:jc w:val="both"/>
    </w:p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3113">
    <w:name w:val="样式5311"/>
    <w:basedOn w:val="a3"/>
    <w:uiPriority w:val="99"/>
    <w:qFormat/>
    <w:rPr>
      <w:rFonts w:ascii="Calibri" w:hAnsi="Calibri"/>
    </w:rPr>
    <w:tblPr/>
  </w:style>
  <w:style w:type="table" w:customStyle="1" w:styleId="21331">
    <w:name w:val="网格型213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3">
    <w:name w:val="样式6311"/>
    <w:basedOn w:val="a3"/>
    <w:uiPriority w:val="99"/>
    <w:qFormat/>
    <w:rPr>
      <w:rFonts w:ascii="Calibri" w:hAnsi="Calibri"/>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311f4">
    <w:name w:val="表格模式311"/>
    <w:basedOn w:val="a3"/>
    <w:uiPriority w:val="99"/>
    <w:qFormat/>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7141">
    <w:name w:val="网格型714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0">
    <w:name w:val="网格型86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网格型94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网格型104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网格型1531"/>
    <w:basedOn w:val="a3"/>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网格型163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网格型173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1">
    <w:name w:val="网格型814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网格型1831"/>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网格型1911"/>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网格型2011"/>
    <w:basedOn w:val="a3"/>
    <w:uiPriority w:val="5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网格型2511"/>
    <w:basedOn w:val="a3"/>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网格型261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网格型2711"/>
    <w:basedOn w:val="a3"/>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611">
    <w:name w:val="Table Normal611"/>
    <w:uiPriority w:val="2"/>
    <w:semiHidden/>
    <w:qFormat/>
    <w:pPr>
      <w:widowControl w:val="0"/>
    </w:pPr>
    <w:rPr>
      <w:rFonts w:ascii="Calibri" w:eastAsia="Times New Roman" w:hAnsi="Calibri"/>
      <w:sz w:val="22"/>
      <w:lang w:eastAsia="en-US"/>
    </w:rPr>
    <w:tblPr>
      <w:tblCellMar>
        <w:top w:w="0" w:type="dxa"/>
        <w:left w:w="0" w:type="dxa"/>
        <w:bottom w:w="0" w:type="dxa"/>
        <w:right w:w="0" w:type="dxa"/>
      </w:tblCellMar>
    </w:tblPr>
  </w:style>
  <w:style w:type="table" w:customStyle="1" w:styleId="TableNormal211">
    <w:name w:val="Table Normal211"/>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311">
    <w:name w:val="Table Normal311"/>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TableNormal411">
    <w:name w:val="Table Normal411"/>
    <w:uiPriority w:val="2"/>
    <w:semiHidden/>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2831">
    <w:name w:val="网格型283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网格型1101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网格型343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网格型4114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网格型5112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网格型291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网格型301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网格型2811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11">
    <w:name w:val="网格型2821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41">
    <w:name w:val="网格型6114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9">
    <w:name w:val="表格主题14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241">
    <w:name w:val="网格型424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10">
    <w:name w:val="网格型522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1">
    <w:name w:val="网格型624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f0">
    <w:name w:val="表格主题22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1131">
    <w:name w:val="网格型71131"/>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1">
    <w:name w:val="网格型311112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31">
    <w:name w:val="网格型411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10">
    <w:name w:val="网格型5111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b">
    <w:name w:val="表格主题112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341">
    <w:name w:val="网格型434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11">
    <w:name w:val="网格型532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网格型634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f">
    <w:name w:val="表格主题32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41">
    <w:name w:val="网格型7241"/>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1">
    <w:name w:val="网格型824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41">
    <w:name w:val="网格型3124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41">
    <w:name w:val="网格型4124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10">
    <w:name w:val="网格型5122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1">
    <w:name w:val="网格型6124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6">
    <w:name w:val="表格主题122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431">
    <w:name w:val="网格型44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111">
    <w:name w:val="网格型54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1">
    <w:name w:val="网格型643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c">
    <w:name w:val="表格主题4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331">
    <w:name w:val="网格型7331"/>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1">
    <w:name w:val="网格型83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1">
    <w:name w:val="网格型313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31">
    <w:name w:val="网格型413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10">
    <w:name w:val="网格型513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31">
    <w:name w:val="网格型6133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b">
    <w:name w:val="表格主题13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9131">
    <w:name w:val="网格型9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21">
    <w:name w:val="网格型12112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网格型22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1">
    <w:name w:val="网格型32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31">
    <w:name w:val="网格型42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10">
    <w:name w:val="网格型521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1">
    <w:name w:val="网格型6213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d">
    <w:name w:val="表格主题21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81131">
    <w:name w:val="网格型81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1">
    <w:name w:val="网格型111112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1">
    <w:name w:val="网格型211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31">
    <w:name w:val="网格型61113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
    <w:name w:val="表格主题111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10131">
    <w:name w:val="网格型10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210">
    <w:name w:val="网格型13112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1">
    <w:name w:val="网格型23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31">
    <w:name w:val="网格型33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31">
    <w:name w:val="网格型43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110">
    <w:name w:val="网格型531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1">
    <w:name w:val="网格型6313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e">
    <w:name w:val="表格主题31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131">
    <w:name w:val="网格型72131"/>
    <w:basedOn w:val="a3"/>
    <w:uiPriority w:val="59"/>
    <w:qFormat/>
    <w:rPr>
      <w:rFonts w:ascii="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1">
    <w:name w:val="网格型82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21">
    <w:name w:val="网格型1121121"/>
    <w:basedOn w:val="a3"/>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1">
    <w:name w:val="网格型212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31">
    <w:name w:val="网格型312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31">
    <w:name w:val="网格型412131"/>
    <w:basedOn w:val="a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110">
    <w:name w:val="网格型5121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31">
    <w:name w:val="网格型612131"/>
    <w:basedOn w:val="a3"/>
    <w:uiPriority w:val="59"/>
    <w:qFormat/>
    <w:rPr>
      <w:rFonts w:ascii="Calibri"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5">
    <w:name w:val="表格主题12111"/>
    <w:basedOn w:val="a3"/>
    <w:qFormat/>
    <w:pPr>
      <w:widowControl w:val="0"/>
      <w:jc w:val="center"/>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grp31">
    <w:name w:val="grp31"/>
    <w:basedOn w:val="affff"/>
    <w:qFormat/>
    <w:pPr>
      <w:widowControl w:val="0"/>
      <w:jc w:val="both"/>
    </w:p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121c">
    <w:name w:val="网格型 1121"/>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14110">
    <w:name w:val="网格型 51411"/>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5110">
    <w:name w:val="网格型35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10">
    <w:name w:val="网格型114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网格型210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
    <w:name w:val="网格型36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10">
    <w:name w:val="网格型45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11">
    <w:name w:val="网格型55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0">
    <w:name w:val="网格型65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0">
    <w:name w:val="网格型741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0">
    <w:name w:val="网格型84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1">
    <w:name w:val="网格型115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网格型214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11">
    <w:name w:val="网格型314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11">
    <w:name w:val="网格型414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111">
    <w:name w:val="网格型51411"/>
    <w:basedOn w:val="a3"/>
    <w:uiPriority w:val="59"/>
    <w:qFormat/>
    <w:rPr>
      <w:rFonts w:ascii="Cambria"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1">
    <w:name w:val="网格型614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网格型9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10">
    <w:name w:val="网格型122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0">
    <w:name w:val="网格型22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10">
    <w:name w:val="网格型32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11">
    <w:name w:val="网格型42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10">
    <w:name w:val="网格型622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网格型7121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网格型81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1">
    <w:name w:val="网格型1112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网格型211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11">
    <w:name w:val="网格型311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1">
    <w:name w:val="网格型411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11">
    <w:name w:val="网格型6112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网格型10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10">
    <w:name w:val="网格型132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0">
    <w:name w:val="网格型23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10">
    <w:name w:val="网格型33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11">
    <w:name w:val="网格型43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110">
    <w:name w:val="网格型632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1">
    <w:name w:val="网格型7221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0">
    <w:name w:val="网格型82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10">
    <w:name w:val="网格型1122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1">
    <w:name w:val="网格型212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11">
    <w:name w:val="网格型312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211">
    <w:name w:val="网格型4122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11">
    <w:name w:val="网格型6122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网格型14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1">
    <w:name w:val="网格型1511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网格型24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1">
    <w:name w:val="网格型34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1">
    <w:name w:val="网格型44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11">
    <w:name w:val="网格型641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0">
    <w:name w:val="网格型7311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0">
    <w:name w:val="网格型83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10">
    <w:name w:val="网格型113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网格型213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11">
    <w:name w:val="网格型313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11">
    <w:name w:val="网格型413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11">
    <w:name w:val="网格型6131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网格型9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11">
    <w:name w:val="网格型1211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网格型22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11">
    <w:name w:val="网格型32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11">
    <w:name w:val="网格型42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11">
    <w:name w:val="网格型6211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网格型71111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网格型81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
    <w:name w:val="网格型11111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网格型211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11">
    <w:name w:val="网格型3111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11">
    <w:name w:val="网格型411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11">
    <w:name w:val="网格型61111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网格型10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1">
    <w:name w:val="网格型1311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网格型23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11">
    <w:name w:val="网格型33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11">
    <w:name w:val="网格型43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11">
    <w:name w:val="网格型6311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网格型721111"/>
    <w:basedOn w:val="a3"/>
    <w:uiPriority w:val="59"/>
    <w:qFormat/>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网格型82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111">
    <w:name w:val="网格型112111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网格型212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11">
    <w:name w:val="网格型312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11">
    <w:name w:val="网格型4121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11">
    <w:name w:val="网格型6121111"/>
    <w:basedOn w:val="a3"/>
    <w:uiPriority w:val="59"/>
    <w:qFormat/>
    <w:rPr>
      <w:rFonts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网格型161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1">
    <w:name w:val="网格型17111"/>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网格型18111"/>
    <w:basedOn w:val="a3"/>
    <w:uiPriority w:val="59"/>
    <w:qFormat/>
    <w:rPr>
      <w:rFonts w:ascii="Cambria"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111">
    <w:name w:val="grp111"/>
    <w:basedOn w:val="affff"/>
    <w:qFormat/>
    <w:pPr>
      <w:widowControl w:val="0"/>
      <w:jc w:val="both"/>
    </w:p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2-1211">
    <w:name w:val="中等深浅网格 2 - 着色 1211"/>
    <w:basedOn w:val="a3"/>
    <w:uiPriority w:val="68"/>
    <w:semiHidden/>
    <w:qFormat/>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7C6"/>
      </w:tcPr>
    </w:tblStylePr>
  </w:style>
  <w:style w:type="table" w:customStyle="1" w:styleId="1-2221">
    <w:name w:val="中等深浅底纹 1 - 着色 2221"/>
    <w:basedOn w:val="a3"/>
    <w:uiPriority w:val="63"/>
    <w:semiHidden/>
    <w:qFormat/>
    <w:rPr>
      <w:rFonts w:ascii="Calibri" w:hAnsi="Calibri"/>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7C6"/>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211">
    <w:name w:val="彩色列表 - 着色 2211"/>
    <w:basedOn w:val="a3"/>
    <w:uiPriority w:val="72"/>
    <w:semiHidden/>
    <w:qFormat/>
    <w:rPr>
      <w:rFonts w:ascii="Calibri" w:hAnsi="Calibri"/>
      <w:color w:val="000000"/>
    </w:rPr>
    <w:tblPr/>
    <w:tcPr>
      <w:shd w:val="clear" w:color="auto" w:fill="FDF2EA"/>
    </w:tcPr>
    <w:tblStylePr w:type="firstRow">
      <w:rPr>
        <w:b/>
        <w:bCs/>
        <w:color w:val="FFF7C6"/>
      </w:rPr>
      <w:tblPr/>
      <w:tcPr>
        <w:tcBorders>
          <w:bottom w:val="single" w:sz="12" w:space="0" w:color="FFF7C6"/>
        </w:tcBorders>
        <w:shd w:val="clear" w:color="auto" w:fill="D25F12"/>
      </w:tcPr>
    </w:tblStylePr>
    <w:tblStylePr w:type="lastRow">
      <w:rPr>
        <w:b/>
        <w:bCs/>
        <w:color w:val="D25F12"/>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1-3211">
    <w:name w:val="中等深浅网格 1 - 着色 3211"/>
    <w:basedOn w:val="a3"/>
    <w:uiPriority w:val="67"/>
    <w:semiHidden/>
    <w:qFormat/>
    <w:rPr>
      <w:rFonts w:ascii="Calibri" w:hAnsi="Calibri"/>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3311">
    <w:name w:val="中等深浅网格 1 - 着色 3311"/>
    <w:basedOn w:val="a3"/>
    <w:uiPriority w:val="67"/>
    <w:semiHidden/>
    <w:qFormat/>
    <w:rPr>
      <w:rFonts w:ascii="Calibri" w:hAnsi="Calibri"/>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311">
    <w:name w:val="中等深浅网格 2 - 着色 1311"/>
    <w:basedOn w:val="a3"/>
    <w:uiPriority w:val="68"/>
    <w:semiHidden/>
    <w:qFormat/>
    <w:rPr>
      <w:rFonts w:ascii="Cambria" w:hAnsi="Cambria"/>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321">
    <w:name w:val="中等深浅底纹 1 - 着色 2321"/>
    <w:basedOn w:val="a3"/>
    <w:uiPriority w:val="63"/>
    <w:semiHidden/>
    <w:qFormat/>
    <w:rPr>
      <w:rFonts w:ascii="Calibri" w:hAnsi="Calibri"/>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321">
    <w:name w:val="彩色列表 - 着色 2321"/>
    <w:basedOn w:val="a3"/>
    <w:uiPriority w:val="72"/>
    <w:semiHidden/>
    <w:qFormat/>
    <w:rPr>
      <w:rFonts w:ascii="Calibri" w:hAnsi="Calibri"/>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711">
    <w:name w:val="网格型3711"/>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11">
    <w:name w:val="网格型11611"/>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00">
    <w:name w:val="TOC 标题10"/>
    <w:basedOn w:val="1"/>
    <w:next w:val="a0"/>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13f2">
    <w:name w:val="未处理的提及13"/>
    <w:basedOn w:val="a2"/>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21" Type="http://schemas.openxmlformats.org/officeDocument/2006/relationships/image" Target="media/image12.emf"/><Relationship Id="rId34"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42"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47" Type="http://schemas.openxmlformats.org/officeDocument/2006/relationships/image" Target="media/image25.wmf"/><Relationship Id="rId50" Type="http://schemas.openxmlformats.org/officeDocument/2006/relationships/oleObject" Target="embeddings/oleObject3.bin"/><Relationship Id="rId55" Type="http://schemas.openxmlformats.org/officeDocument/2006/relationships/image" Target="media/image29.w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37" Type="http://schemas.openxmlformats.org/officeDocument/2006/relationships/image" Target="media/image22.wmf"/><Relationship Id="rId40"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35" Type="http://schemas.openxmlformats.org/officeDocument/2006/relationships/image" Target="media/image20.wmf"/><Relationship Id="rId43"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48" Type="http://schemas.openxmlformats.org/officeDocument/2006/relationships/oleObject" Target="embeddings/oleObject2.bin"/><Relationship Id="rId56" Type="http://schemas.openxmlformats.org/officeDocument/2006/relationships/oleObject" Target="embeddings/oleObject6.bin"/><Relationship Id="rId8" Type="http://schemas.openxmlformats.org/officeDocument/2006/relationships/endnotes" Target="endnotes.xml"/><Relationship Id="rId51" Type="http://schemas.openxmlformats.org/officeDocument/2006/relationships/image" Target="media/image27.wmf"/><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38" Type="http://schemas.openxmlformats.org/officeDocument/2006/relationships/image" Target="media/image23.wmf"/><Relationship Id="rId46" Type="http://schemas.openxmlformats.org/officeDocument/2006/relationships/oleObject" Target="embeddings/oleObject1.bin"/><Relationship Id="rId20" Type="http://schemas.openxmlformats.org/officeDocument/2006/relationships/image" Target="media/image11.jpeg"/><Relationship Id="rId41"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54"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1.wmf"/><Relationship Id="rId49" Type="http://schemas.openxmlformats.org/officeDocument/2006/relationships/image" Target="media/image26.wmf"/><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44"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52"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85A25A6B-F608-4973-BE45-3FFBC32D98C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19</Pages>
  <Words>18690</Words>
  <Characters>106538</Characters>
  <Application>Microsoft Office Word</Application>
  <DocSecurity>0</DocSecurity>
  <Lines>887</Lines>
  <Paragraphs>249</Paragraphs>
  <ScaleCrop>false</ScaleCrop>
  <Company>中信建投证券股份有限公司</Company>
  <LinksUpToDate>false</LinksUpToDate>
  <CharactersWithSpaces>124979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邱 一粟</dc:creator>
  <cp:lastModifiedBy>L Y</cp:lastModifiedBy>
  <cp:revision>62</cp:revision>
  <dcterms:created xsi:type="dcterms:W3CDTF">2021-04-14T08:49:00Z</dcterms:created>
  <dcterms:modified xsi:type="dcterms:W3CDTF">2021-04-20T09:13:00Z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2A74A6A872F1420B9085F8F14C06FD73</vt:lpwstr>
  </property>
</Properties>
</file>