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4221" w14:textId="77777777" w:rsidR="00327E08" w:rsidRDefault="00327E08" w:rsidP="00327E08">
      <w:pPr>
        <w:adjustRightInd w:val="0"/>
        <w:snapToGrid w:val="0"/>
        <w:spacing w:beforeLines="50" w:before="156" w:afterLines="50" w:after="156" w:line="440" w:lineRule="exact"/>
        <w:ind w:firstLineChars="200" w:firstLine="482"/>
        <w:jc w:val="center"/>
        <w:outlineLvl w:val="0"/>
        <w:rPr>
          <w:rFonts w:asciiTheme="minorHAnsi" w:eastAsiaTheme="minorEastAsia" w:hAnsiTheme="minorHAnsi" w:hint="eastAsia"/>
          <w:b/>
          <w:bCs/>
          <w:sz w:val="24"/>
          <w:szCs w:val="24"/>
        </w:rPr>
      </w:pPr>
      <w:r>
        <w:rPr>
          <w:rFonts w:hint="eastAsia"/>
          <w:b/>
          <w:bCs/>
          <w:sz w:val="24"/>
        </w:rPr>
        <w:t>第一章</w:t>
      </w:r>
      <w:r>
        <w:rPr>
          <w:b/>
          <w:bCs/>
          <w:sz w:val="24"/>
        </w:rPr>
        <w:t xml:space="preserve"> </w:t>
      </w:r>
      <w:r>
        <w:rPr>
          <w:rFonts w:hint="eastAsia"/>
          <w:b/>
          <w:bCs/>
          <w:sz w:val="24"/>
        </w:rPr>
        <w:t>总</w:t>
      </w:r>
      <w:r>
        <w:rPr>
          <w:b/>
          <w:bCs/>
          <w:sz w:val="24"/>
        </w:rPr>
        <w:t xml:space="preserve"> </w:t>
      </w:r>
      <w:r>
        <w:rPr>
          <w:rFonts w:hint="eastAsia"/>
          <w:b/>
          <w:bCs/>
          <w:sz w:val="24"/>
        </w:rPr>
        <w:t>则</w:t>
      </w:r>
    </w:p>
    <w:p w14:paraId="4EF2B4BE" w14:textId="4B61AEF1"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第一条</w:t>
      </w:r>
      <w:r>
        <w:rPr>
          <w:sz w:val="24"/>
        </w:rPr>
        <w:t xml:space="preserve"> </w:t>
      </w:r>
      <w:r>
        <w:rPr>
          <w:rFonts w:hint="eastAsia"/>
          <w:sz w:val="24"/>
        </w:rPr>
        <w:t>为进一步建立和完善北京京城机电股份有限公司（以下简称“公司”）董事、高级管理人员的薪酬体系，建立科学有效的激励和约束机制，充分调动董事、高级管理人员的积极性，提升公司经营管理效益，实现薪酬分配、绩效考核与公司业绩和股东价值的有机结合，根据《中华人民共和国公司法》</w:t>
      </w:r>
      <w:r w:rsidR="0096519D">
        <w:rPr>
          <w:rFonts w:hint="eastAsia"/>
          <w:sz w:val="24"/>
        </w:rPr>
        <w:t>、</w:t>
      </w:r>
      <w:r>
        <w:rPr>
          <w:rFonts w:hint="eastAsia"/>
          <w:sz w:val="24"/>
        </w:rPr>
        <w:t>《中华人民共和国证券法》</w:t>
      </w:r>
      <w:r w:rsidR="006A2E89">
        <w:rPr>
          <w:rFonts w:hint="eastAsia"/>
          <w:sz w:val="24"/>
        </w:rPr>
        <w:t>及</w:t>
      </w:r>
      <w:r>
        <w:rPr>
          <w:rFonts w:hint="eastAsia"/>
          <w:sz w:val="24"/>
        </w:rPr>
        <w:t>《上市公司治理准则》等有关法律、法规和规范性文件以及《北京京城机电股份有限公司章程》（以下简称《公司章程》）的规定，制定本制度。</w:t>
      </w:r>
    </w:p>
    <w:p w14:paraId="500CC52C"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第二条</w:t>
      </w:r>
      <w:r>
        <w:rPr>
          <w:sz w:val="24"/>
        </w:rPr>
        <w:t xml:space="preserve"> </w:t>
      </w:r>
      <w:r>
        <w:rPr>
          <w:rFonts w:hint="eastAsia"/>
          <w:sz w:val="24"/>
        </w:rPr>
        <w:t>本制度适用于以下人员：</w:t>
      </w:r>
    </w:p>
    <w:p w14:paraId="14F51542" w14:textId="2C37A05B"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（一）公司在任董事，包括非独立董事与独立董事；</w:t>
      </w:r>
      <w:r w:rsidR="006A2E89">
        <w:rPr>
          <w:rFonts w:hint="eastAsia"/>
          <w:sz w:val="24"/>
        </w:rPr>
        <w:t>及</w:t>
      </w:r>
    </w:p>
    <w:p w14:paraId="193D4A83"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（二）公司在任高级管理人员，包括经理、副经理、董事会秘书、财务负责人、总工程师、总法律顾问。</w:t>
      </w:r>
    </w:p>
    <w:p w14:paraId="5F604CA5"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第三条</w:t>
      </w:r>
      <w:r>
        <w:rPr>
          <w:sz w:val="24"/>
        </w:rPr>
        <w:t xml:space="preserve"> </w:t>
      </w:r>
      <w:r>
        <w:rPr>
          <w:rFonts w:hint="eastAsia"/>
          <w:sz w:val="24"/>
        </w:rPr>
        <w:t>公司董事、高级管理人员薪酬管理制度应遵循以下原则：</w:t>
      </w:r>
    </w:p>
    <w:p w14:paraId="0C69339B"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（一）公开、公平、公正的原则：定量管理和定性管理相结合，结果考核和过程控制相结合；</w:t>
      </w:r>
    </w:p>
    <w:p w14:paraId="3AED76BC"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（二）按劳分配与责、权、利相结合的原则：薪酬水平要与承担的经营管理责任、权限相对应，激励与约束并重；</w:t>
      </w:r>
    </w:p>
    <w:p w14:paraId="42F0D154" w14:textId="5EEE4251"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（三）个人收入水平与公司效益及工作目标挂钩的原则：</w:t>
      </w:r>
      <w:proofErr w:type="gramStart"/>
      <w:r>
        <w:rPr>
          <w:rFonts w:hint="eastAsia"/>
          <w:sz w:val="24"/>
        </w:rPr>
        <w:t>薪</w:t>
      </w:r>
      <w:proofErr w:type="gramEnd"/>
      <w:r>
        <w:rPr>
          <w:rFonts w:hint="eastAsia"/>
          <w:sz w:val="24"/>
        </w:rPr>
        <w:t>酬应当与公司经营业绩、个人业绩相匹配，与公司可持续发展相协调；</w:t>
      </w:r>
      <w:r w:rsidR="006A2E89">
        <w:rPr>
          <w:rFonts w:hint="eastAsia"/>
          <w:sz w:val="24"/>
        </w:rPr>
        <w:t>及</w:t>
      </w:r>
    </w:p>
    <w:p w14:paraId="2B9B64D9" w14:textId="3F78BEC1"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（四）战略导向性和目标明确性的原则：薪酬与公司长远利益相结合</w:t>
      </w:r>
      <w:r w:rsidR="006A2E89">
        <w:rPr>
          <w:rFonts w:hint="eastAsia"/>
          <w:sz w:val="24"/>
        </w:rPr>
        <w:t>。</w:t>
      </w:r>
    </w:p>
    <w:p w14:paraId="0378B0C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第四条</w:t>
      </w:r>
      <w:r>
        <w:rPr>
          <w:sz w:val="24"/>
        </w:rPr>
        <w:t xml:space="preserve"> </w:t>
      </w:r>
      <w:r>
        <w:rPr>
          <w:rFonts w:hint="eastAsia"/>
          <w:sz w:val="24"/>
        </w:rPr>
        <w:t>公司应当按照《公开发行证券的公司信息披露内容与格式准则第</w:t>
      </w:r>
      <w:r>
        <w:rPr>
          <w:sz w:val="24"/>
        </w:rPr>
        <w:t xml:space="preserve">2 </w:t>
      </w:r>
      <w:r>
        <w:rPr>
          <w:rFonts w:hint="eastAsia"/>
          <w:sz w:val="24"/>
        </w:rPr>
        <w:t>号——年度报告的内容与格式》的规定，披露董事和高级管理人员的年度薪酬情况，包括董事和高级管理人员薪酬的决策程序、薪酬确定依据以及实际支付情况。披露每一位现任及报告期内离任董事和高级管理人员在报告期内从公司获得的税前薪酬总额（包括基本工资、奖金、津贴、补贴、职工福利费和各项保险费、</w:t>
      </w:r>
      <w:r>
        <w:rPr>
          <w:rFonts w:hint="eastAsia"/>
          <w:sz w:val="24"/>
        </w:rPr>
        <w:lastRenderedPageBreak/>
        <w:t>公积金、年金以及其他形式从公司获得的报酬）、考核依据和完成情况、递</w:t>
      </w:r>
      <w:proofErr w:type="gramStart"/>
      <w:r>
        <w:rPr>
          <w:rFonts w:hint="eastAsia"/>
          <w:sz w:val="24"/>
        </w:rPr>
        <w:t>延支付</w:t>
      </w:r>
      <w:proofErr w:type="gramEnd"/>
      <w:r>
        <w:rPr>
          <w:rFonts w:hint="eastAsia"/>
          <w:sz w:val="24"/>
        </w:rPr>
        <w:t>安排、止付追索情况等，并说明是否在公司关联方获取报酬，披露全体董事、高级管理人员合计</w:t>
      </w:r>
      <w:proofErr w:type="gramStart"/>
      <w:r>
        <w:rPr>
          <w:rFonts w:hint="eastAsia"/>
          <w:sz w:val="24"/>
        </w:rPr>
        <w:t>薪</w:t>
      </w:r>
      <w:proofErr w:type="gramEnd"/>
      <w:r>
        <w:rPr>
          <w:rFonts w:hint="eastAsia"/>
          <w:sz w:val="24"/>
        </w:rPr>
        <w:t>酬金额。</w:t>
      </w:r>
      <w:r>
        <w:rPr>
          <w:sz w:val="24"/>
        </w:rPr>
        <w:t xml:space="preserve"> </w:t>
      </w:r>
    </w:p>
    <w:p w14:paraId="48236564"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第二章</w:t>
      </w:r>
      <w:r>
        <w:rPr>
          <w:b/>
          <w:bCs/>
          <w:sz w:val="24"/>
        </w:rPr>
        <w:t xml:space="preserve"> </w:t>
      </w:r>
      <w:r>
        <w:rPr>
          <w:rFonts w:hint="eastAsia"/>
          <w:b/>
          <w:bCs/>
          <w:sz w:val="24"/>
        </w:rPr>
        <w:t>薪酬管理机构</w:t>
      </w:r>
    </w:p>
    <w:p w14:paraId="10F57AA8"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第五条</w:t>
      </w:r>
      <w:r>
        <w:rPr>
          <w:sz w:val="24"/>
        </w:rPr>
        <w:t xml:space="preserve"> </w:t>
      </w:r>
      <w:r>
        <w:rPr>
          <w:rFonts w:hint="eastAsia"/>
          <w:sz w:val="24"/>
        </w:rPr>
        <w:t>董事会薪酬与考核委员会负责制定董事、高级管理人员的考核标准并进行考核，制定、审查董事、高级管理人员的薪酬政策与方案，并就下列事项向董事会提出建议：</w:t>
      </w:r>
    </w:p>
    <w:p w14:paraId="346F43E4"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（一）董事、高级管理人员的薪酬；</w:t>
      </w:r>
    </w:p>
    <w:p w14:paraId="2B8C58E5"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（二）制定或变更股权激励计划、员工持股计划，激励</w:t>
      </w:r>
      <w:proofErr w:type="gramStart"/>
      <w:r>
        <w:rPr>
          <w:rFonts w:hint="eastAsia"/>
          <w:sz w:val="24"/>
        </w:rPr>
        <w:t>对象获</w:t>
      </w:r>
      <w:proofErr w:type="gramEnd"/>
      <w:r>
        <w:rPr>
          <w:rFonts w:hint="eastAsia"/>
          <w:sz w:val="24"/>
        </w:rPr>
        <w:t>授权益、行使权益条件成就；</w:t>
      </w:r>
    </w:p>
    <w:p w14:paraId="423B2594" w14:textId="5CA9F21C"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（三）董事、高级管理人员在拟分拆所属子公司安排持股计划；</w:t>
      </w:r>
      <w:r w:rsidR="006A2E89">
        <w:rPr>
          <w:rFonts w:hint="eastAsia"/>
          <w:sz w:val="24"/>
        </w:rPr>
        <w:t>及</w:t>
      </w:r>
    </w:p>
    <w:p w14:paraId="721D772E" w14:textId="66BAF7D0"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（四）法律法规、证券交易所相关规定及</w:t>
      </w:r>
      <w:r w:rsidR="006A2E89">
        <w:rPr>
          <w:rFonts w:hint="eastAsia"/>
          <w:sz w:val="24"/>
        </w:rPr>
        <w:t>《</w:t>
      </w:r>
      <w:r>
        <w:rPr>
          <w:rFonts w:hint="eastAsia"/>
          <w:sz w:val="24"/>
        </w:rPr>
        <w:t>公司章程</w:t>
      </w:r>
      <w:r w:rsidR="006A2E89">
        <w:rPr>
          <w:rFonts w:hint="eastAsia"/>
          <w:sz w:val="24"/>
        </w:rPr>
        <w:t>》</w:t>
      </w:r>
      <w:r>
        <w:rPr>
          <w:rFonts w:hint="eastAsia"/>
          <w:sz w:val="24"/>
        </w:rPr>
        <w:t>规定的其他事项。</w:t>
      </w:r>
    </w:p>
    <w:p w14:paraId="6F72066F"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董事会对薪酬与考核委员会的建议未采纳或未完全采纳的，应当在董事会决议中记载薪酬与考核委员会的意见及未采纳的具体理由，并进行披露。</w:t>
      </w:r>
    </w:p>
    <w:p w14:paraId="046DD1BB"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薪酬与考核委员会履行职责的有关费用由公司承担。</w:t>
      </w:r>
    </w:p>
    <w:p w14:paraId="04139AB9"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第六条</w:t>
      </w:r>
      <w:r>
        <w:rPr>
          <w:sz w:val="24"/>
        </w:rPr>
        <w:t xml:space="preserve"> </w:t>
      </w:r>
      <w:r>
        <w:rPr>
          <w:rFonts w:hint="eastAsia"/>
          <w:sz w:val="24"/>
        </w:rPr>
        <w:t>董事薪酬方案由股东会决定，并予以披露。高级管理人员薪酬方案由董事会批准，向股东会说明，并予以充分披露。</w:t>
      </w:r>
    </w:p>
    <w:p w14:paraId="7F236FF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第七条</w:t>
      </w:r>
      <w:r>
        <w:rPr>
          <w:sz w:val="24"/>
        </w:rPr>
        <w:t xml:space="preserve"> </w:t>
      </w:r>
      <w:r>
        <w:rPr>
          <w:rFonts w:hint="eastAsia"/>
          <w:sz w:val="24"/>
        </w:rPr>
        <w:t>公司应当建立公正透明的董事、高级管理人员绩效与履职评价标准和程序。</w:t>
      </w:r>
    </w:p>
    <w:p w14:paraId="0D8C3360"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董事和高级管理人员的绩效评价由薪酬与考核委员会负责组织。在董事会或者薪酬与考核委员会对董事个人进行评价或者讨论其报酬时，该董事应当回避。独立董事的履职评价采取自我评价、相互评价等方式进行。</w:t>
      </w:r>
    </w:p>
    <w:p w14:paraId="569BA418"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董事会应当向股东会报告董事履行职责的情况、绩效评价结果及其薪酬情况，并由公司予以披露。相关内容可以通过董事会工作报告予以披露。</w:t>
      </w:r>
    </w:p>
    <w:p w14:paraId="2BF30BBB"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lastRenderedPageBreak/>
        <w:t>第八条</w:t>
      </w:r>
      <w:r>
        <w:rPr>
          <w:sz w:val="24"/>
        </w:rPr>
        <w:t xml:space="preserve"> </w:t>
      </w:r>
      <w:r>
        <w:rPr>
          <w:rFonts w:hint="eastAsia"/>
          <w:sz w:val="24"/>
        </w:rPr>
        <w:t>公司业绩如果发生亏损，公司应当在董事、高级管理人员薪酬审议各环节特别说明董事、高级管理人员薪酬变化是否符合业绩联动要求。</w:t>
      </w:r>
    </w:p>
    <w:p w14:paraId="2615C4B3"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公司较上一会计年度由盈利转为亏损或者亏损扩大，董事、高级管理人员平均绩效薪酬未相应下降的，应当披露原因。</w:t>
      </w:r>
    </w:p>
    <w:p w14:paraId="2C27D09C"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公司聘请的会计师事务所在实施内部控制审计时应当重点关注绩效考评控制的有效性以及薪酬发放是否符合内部控制要求。</w:t>
      </w:r>
      <w:r>
        <w:rPr>
          <w:sz w:val="24"/>
        </w:rPr>
        <w:t xml:space="preserve"> </w:t>
      </w:r>
    </w:p>
    <w:p w14:paraId="0E7AB263"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第三章</w:t>
      </w:r>
      <w:r>
        <w:rPr>
          <w:b/>
          <w:bCs/>
          <w:sz w:val="24"/>
        </w:rPr>
        <w:t xml:space="preserve"> </w:t>
      </w:r>
      <w:r>
        <w:rPr>
          <w:rFonts w:hint="eastAsia"/>
          <w:b/>
          <w:bCs/>
          <w:sz w:val="24"/>
        </w:rPr>
        <w:t>薪酬的构成与标准</w:t>
      </w:r>
    </w:p>
    <w:p w14:paraId="141A3EE8"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第九条</w:t>
      </w:r>
      <w:r>
        <w:rPr>
          <w:sz w:val="24"/>
        </w:rPr>
        <w:t xml:space="preserve"> </w:t>
      </w:r>
      <w:r>
        <w:rPr>
          <w:rFonts w:hint="eastAsia"/>
          <w:sz w:val="24"/>
        </w:rPr>
        <w:t>董事薪酬：</w:t>
      </w:r>
    </w:p>
    <w:p w14:paraId="4DEC13EF"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（一）在公司任职的非独立董事的薪酬总额由基本薪酬、绩效</w:t>
      </w:r>
      <w:proofErr w:type="gramStart"/>
      <w:r>
        <w:rPr>
          <w:rFonts w:hint="eastAsia"/>
          <w:sz w:val="24"/>
        </w:rPr>
        <w:t>薪</w:t>
      </w:r>
      <w:proofErr w:type="gramEnd"/>
      <w:r>
        <w:rPr>
          <w:rFonts w:hint="eastAsia"/>
          <w:sz w:val="24"/>
        </w:rPr>
        <w:t>酬和中长期激励收入等组成，其中绩效薪酬占比原则上不低于基本薪酬与绩效薪酬总额的百分之五十。</w:t>
      </w:r>
    </w:p>
    <w:p w14:paraId="74C5A6D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（二）在公司任职的非独立董事根据其在公司内部所任具体管理职务，严格依照公司既定的薪酬管理体系与业绩考核标准，领取相应薪资待遇，不再额外领取董事津贴。</w:t>
      </w:r>
    </w:p>
    <w:p w14:paraId="5D9F73D4" w14:textId="2B1F0914"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（三）未在公司任职的非独立董事原则上不在公司领取薪酬。</w:t>
      </w:r>
    </w:p>
    <w:p w14:paraId="492B7C7C"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（四）公司独立非执行董事领取固定津贴，具体标准由股东会审议批准。独立董事不参与公司内部的与薪酬挂钩的绩效考核。</w:t>
      </w:r>
    </w:p>
    <w:p w14:paraId="24536D2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第十条</w:t>
      </w:r>
      <w:r>
        <w:rPr>
          <w:sz w:val="24"/>
        </w:rPr>
        <w:t xml:space="preserve"> </w:t>
      </w:r>
      <w:r>
        <w:rPr>
          <w:rFonts w:hint="eastAsia"/>
          <w:sz w:val="24"/>
        </w:rPr>
        <w:t>高级管理人员薪酬：</w:t>
      </w:r>
    </w:p>
    <w:p w14:paraId="2F901FCE"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高级管理人员实行年薪制，其薪酬总额由基本薪酬、绩效</w:t>
      </w:r>
      <w:proofErr w:type="gramStart"/>
      <w:r>
        <w:rPr>
          <w:rFonts w:hint="eastAsia"/>
          <w:sz w:val="24"/>
        </w:rPr>
        <w:t>薪</w:t>
      </w:r>
      <w:proofErr w:type="gramEnd"/>
      <w:r>
        <w:rPr>
          <w:rFonts w:hint="eastAsia"/>
          <w:sz w:val="24"/>
        </w:rPr>
        <w:t>酬和中长期激励收入等构成，其中绩效薪酬占比原则上不低于基本薪酬与绩效薪酬总额的百分之五十。其基本薪酬结合其教育背景、从业经验、工作年限、岗位责任、行业薪酬水平等固定指标给定，按固定薪资逐月发放；绩效薪酬以年度经营目标为考核基础，根据每年实现效益情况以及高级管理人员工作业绩完成情况核定。</w:t>
      </w:r>
    </w:p>
    <w:p w14:paraId="4720EE1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第十一条</w:t>
      </w:r>
      <w:r>
        <w:rPr>
          <w:sz w:val="24"/>
        </w:rPr>
        <w:t xml:space="preserve"> </w:t>
      </w:r>
      <w:r>
        <w:rPr>
          <w:rFonts w:hint="eastAsia"/>
          <w:sz w:val="24"/>
        </w:rPr>
        <w:t>公司董事和高级管理人员</w:t>
      </w:r>
      <w:proofErr w:type="gramStart"/>
      <w:r>
        <w:rPr>
          <w:rFonts w:hint="eastAsia"/>
          <w:sz w:val="24"/>
        </w:rPr>
        <w:t>薪</w:t>
      </w:r>
      <w:proofErr w:type="gramEnd"/>
      <w:r>
        <w:rPr>
          <w:rFonts w:hint="eastAsia"/>
          <w:sz w:val="24"/>
        </w:rPr>
        <w:t>酬应当与市场发展相适应，与公司经</w:t>
      </w:r>
      <w:r>
        <w:rPr>
          <w:rFonts w:hint="eastAsia"/>
          <w:sz w:val="24"/>
        </w:rPr>
        <w:lastRenderedPageBreak/>
        <w:t>营业绩、个人业绩相匹配，与公司可持续发展相协调。</w:t>
      </w:r>
    </w:p>
    <w:p w14:paraId="555BA4ED"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第十二条</w:t>
      </w:r>
      <w:r>
        <w:rPr>
          <w:sz w:val="24"/>
        </w:rPr>
        <w:t xml:space="preserve"> </w:t>
      </w:r>
      <w:r>
        <w:rPr>
          <w:rFonts w:hint="eastAsia"/>
          <w:sz w:val="24"/>
        </w:rPr>
        <w:t>董事、高级管理人员的绩效</w:t>
      </w:r>
      <w:proofErr w:type="gramStart"/>
      <w:r>
        <w:rPr>
          <w:rFonts w:hint="eastAsia"/>
          <w:sz w:val="24"/>
        </w:rPr>
        <w:t>薪</w:t>
      </w:r>
      <w:proofErr w:type="gramEnd"/>
      <w:r>
        <w:rPr>
          <w:rFonts w:hint="eastAsia"/>
          <w:sz w:val="24"/>
        </w:rPr>
        <w:t>酬和中长期激励收入的确定和支付应当以绩效评价为重要依据。</w:t>
      </w:r>
    </w:p>
    <w:p w14:paraId="37D3027F"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公司应当确定董事、高级管理人员一定比例的绩效薪酬在年度报告披露和绩效评价后支付，绩效评价应当依据经审计的财务数据开展。</w:t>
      </w:r>
    </w:p>
    <w:p w14:paraId="35139948"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第四章</w:t>
      </w:r>
      <w:r>
        <w:rPr>
          <w:b/>
          <w:bCs/>
          <w:sz w:val="24"/>
        </w:rPr>
        <w:t xml:space="preserve"> </w:t>
      </w:r>
      <w:r>
        <w:rPr>
          <w:rFonts w:hint="eastAsia"/>
          <w:b/>
          <w:bCs/>
          <w:sz w:val="24"/>
        </w:rPr>
        <w:t>薪酬发放</w:t>
      </w:r>
    </w:p>
    <w:p w14:paraId="4BEC1C26"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第十三条</w:t>
      </w:r>
      <w:r>
        <w:rPr>
          <w:sz w:val="24"/>
        </w:rPr>
        <w:t xml:space="preserve"> </w:t>
      </w:r>
      <w:r>
        <w:rPr>
          <w:rFonts w:hint="eastAsia"/>
          <w:sz w:val="24"/>
        </w:rPr>
        <w:t>公司高级管理人员、在公司领取薪酬的董事的薪酬及津贴的发放按照公司内部的薪酬相关制度执行。</w:t>
      </w:r>
    </w:p>
    <w:p w14:paraId="3C00B219"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第十四条</w:t>
      </w:r>
      <w:r>
        <w:rPr>
          <w:sz w:val="24"/>
        </w:rPr>
        <w:t xml:space="preserve"> </w:t>
      </w:r>
      <w:r>
        <w:rPr>
          <w:rFonts w:hint="eastAsia"/>
          <w:sz w:val="24"/>
        </w:rPr>
        <w:t>公司发放的薪酬及津贴均为税前金额。公司按照国家和公司有关规定，从工资奖金中代扣代缴个人所得税、各类社会保险费用、其他国家或公司规定的款项等个人应承担缴纳的部分，剩余部分发放给个人。</w:t>
      </w:r>
    </w:p>
    <w:p w14:paraId="01BD5030"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第十五条</w:t>
      </w:r>
      <w:r>
        <w:rPr>
          <w:sz w:val="24"/>
        </w:rPr>
        <w:t xml:space="preserve"> </w:t>
      </w:r>
      <w:r>
        <w:rPr>
          <w:rFonts w:hint="eastAsia"/>
          <w:sz w:val="24"/>
        </w:rPr>
        <w:t>公司董事、高级管理人员因换届、改选、任期内辞职等原因离任的，按其实际任期和实际绩效计算薪酬并予以发放。</w:t>
      </w:r>
    </w:p>
    <w:p w14:paraId="56B9F284" w14:textId="00E7541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第十六条</w:t>
      </w:r>
      <w:r>
        <w:rPr>
          <w:sz w:val="24"/>
        </w:rPr>
        <w:t xml:space="preserve"> </w:t>
      </w:r>
      <w:r w:rsidR="006A2E89">
        <w:rPr>
          <w:rFonts w:hint="eastAsia"/>
          <w:sz w:val="24"/>
        </w:rPr>
        <w:t>《</w:t>
      </w:r>
      <w:r>
        <w:rPr>
          <w:rFonts w:hint="eastAsia"/>
          <w:sz w:val="24"/>
        </w:rPr>
        <w:t>公司章程</w:t>
      </w:r>
      <w:r w:rsidR="006A2E89">
        <w:rPr>
          <w:rFonts w:hint="eastAsia"/>
          <w:sz w:val="24"/>
        </w:rPr>
        <w:t>》</w:t>
      </w:r>
      <w:r>
        <w:rPr>
          <w:rFonts w:hint="eastAsia"/>
          <w:sz w:val="24"/>
        </w:rPr>
        <w:t>或者相关合同中涉及提前解除董事、高级管理人员任职的补偿内容应当符合公平原则，不得损害公司合法权益，不得进行利益输送。</w:t>
      </w:r>
    </w:p>
    <w:p w14:paraId="36998AD2"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第五章</w:t>
      </w:r>
      <w:r>
        <w:rPr>
          <w:b/>
          <w:bCs/>
          <w:sz w:val="24"/>
        </w:rPr>
        <w:t xml:space="preserve"> </w:t>
      </w:r>
      <w:r>
        <w:rPr>
          <w:rFonts w:hint="eastAsia"/>
          <w:b/>
          <w:bCs/>
          <w:sz w:val="24"/>
        </w:rPr>
        <w:t>支付追索</w:t>
      </w:r>
    </w:p>
    <w:p w14:paraId="3B6F751A"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第十七条</w:t>
      </w:r>
      <w:r>
        <w:rPr>
          <w:sz w:val="24"/>
        </w:rPr>
        <w:t xml:space="preserve"> </w:t>
      </w:r>
      <w:r>
        <w:rPr>
          <w:rFonts w:hint="eastAsia"/>
          <w:sz w:val="24"/>
        </w:rPr>
        <w:t>公司因财务造假等错报对财务报告进行追溯重述时，应及时对董事、高级管理人员绩效</w:t>
      </w:r>
      <w:proofErr w:type="gramStart"/>
      <w:r>
        <w:rPr>
          <w:rFonts w:hint="eastAsia"/>
          <w:sz w:val="24"/>
        </w:rPr>
        <w:t>薪</w:t>
      </w:r>
      <w:proofErr w:type="gramEnd"/>
      <w:r>
        <w:rPr>
          <w:rFonts w:hint="eastAsia"/>
          <w:sz w:val="24"/>
        </w:rPr>
        <w:t>酬和中长期激励收入予以重新考核并相应追回超额发放部分。</w:t>
      </w:r>
    </w:p>
    <w:p w14:paraId="3DEC45FB"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第十八条</w:t>
      </w:r>
      <w:r>
        <w:rPr>
          <w:sz w:val="24"/>
        </w:rPr>
        <w:t xml:space="preserve"> </w:t>
      </w:r>
      <w:r>
        <w:rPr>
          <w:rFonts w:hint="eastAsia"/>
          <w:sz w:val="24"/>
        </w:rPr>
        <w:t>公司董事、高级管理人员违反义务给公司造成损失，或者对财务造假、资金占用、违规担保等违法违规行为负有过错的，公司应当根据情节轻重减少、停止支付未支付的绩效</w:t>
      </w:r>
      <w:proofErr w:type="gramStart"/>
      <w:r>
        <w:rPr>
          <w:rFonts w:hint="eastAsia"/>
          <w:sz w:val="24"/>
        </w:rPr>
        <w:t>薪</w:t>
      </w:r>
      <w:proofErr w:type="gramEnd"/>
      <w:r>
        <w:rPr>
          <w:rFonts w:hint="eastAsia"/>
          <w:sz w:val="24"/>
        </w:rPr>
        <w:t>酬和中长期激励收入，并对相关行为发生期间已经支付的绩效</w:t>
      </w:r>
      <w:proofErr w:type="gramStart"/>
      <w:r>
        <w:rPr>
          <w:rFonts w:hint="eastAsia"/>
          <w:sz w:val="24"/>
        </w:rPr>
        <w:t>薪</w:t>
      </w:r>
      <w:proofErr w:type="gramEnd"/>
      <w:r>
        <w:rPr>
          <w:rFonts w:hint="eastAsia"/>
          <w:sz w:val="24"/>
        </w:rPr>
        <w:t>酬和中长期激励收入进行全额或部分追回。</w:t>
      </w:r>
    </w:p>
    <w:p w14:paraId="2C45785D"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第六章</w:t>
      </w:r>
      <w:r>
        <w:rPr>
          <w:b/>
          <w:bCs/>
          <w:sz w:val="24"/>
        </w:rPr>
        <w:t xml:space="preserve"> </w:t>
      </w:r>
      <w:r>
        <w:rPr>
          <w:rFonts w:hint="eastAsia"/>
          <w:b/>
          <w:bCs/>
          <w:sz w:val="24"/>
        </w:rPr>
        <w:t>薪酬考核与调整</w:t>
      </w:r>
    </w:p>
    <w:p w14:paraId="00275AE3"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lastRenderedPageBreak/>
        <w:t>第十九条</w:t>
      </w:r>
      <w:r>
        <w:rPr>
          <w:sz w:val="24"/>
        </w:rPr>
        <w:t xml:space="preserve"> </w:t>
      </w:r>
      <w:r>
        <w:rPr>
          <w:rFonts w:hint="eastAsia"/>
          <w:sz w:val="24"/>
        </w:rPr>
        <w:t>公司董事、高级管理人员的考核评价采取定量管理和定性管理相结合、结果考核和过程控制相结合的方法，对董事、高级管理人员进行多维</w:t>
      </w:r>
      <w:proofErr w:type="gramStart"/>
      <w:r>
        <w:rPr>
          <w:rFonts w:hint="eastAsia"/>
          <w:sz w:val="24"/>
        </w:rPr>
        <w:t>度综合</w:t>
      </w:r>
      <w:proofErr w:type="gramEnd"/>
      <w:r>
        <w:rPr>
          <w:rFonts w:hint="eastAsia"/>
          <w:sz w:val="24"/>
        </w:rPr>
        <w:t>考核评价。</w:t>
      </w:r>
    </w:p>
    <w:p w14:paraId="00D65471"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第二十条</w:t>
      </w:r>
      <w:r>
        <w:rPr>
          <w:sz w:val="24"/>
        </w:rPr>
        <w:t xml:space="preserve"> </w:t>
      </w:r>
      <w:r>
        <w:rPr>
          <w:rFonts w:hint="eastAsia"/>
          <w:sz w:val="24"/>
        </w:rPr>
        <w:t>公司董事、高级管理人员薪酬体系应当为公司经营战略服务，并随着公司经营状况的不断变化而进行相应的调整以适应公司的进一步发展需要。</w:t>
      </w:r>
    </w:p>
    <w:p w14:paraId="39721957"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第二十一条</w:t>
      </w:r>
      <w:r>
        <w:rPr>
          <w:sz w:val="24"/>
        </w:rPr>
        <w:t xml:space="preserve"> </w:t>
      </w:r>
      <w:r>
        <w:rPr>
          <w:rFonts w:hint="eastAsia"/>
          <w:sz w:val="24"/>
        </w:rPr>
        <w:t>董事薪酬方案的调整由公司董事会审议并经股东会审议通过后实施。高级管理人员薪酬方案的调整由公司董事会审议通过后实施。</w:t>
      </w:r>
    </w:p>
    <w:p w14:paraId="6942FFD9" w14:textId="77777777"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第二十二条</w:t>
      </w:r>
      <w:r>
        <w:rPr>
          <w:sz w:val="24"/>
        </w:rPr>
        <w:t xml:space="preserve"> </w:t>
      </w:r>
      <w:r>
        <w:rPr>
          <w:rFonts w:hint="eastAsia"/>
          <w:sz w:val="24"/>
        </w:rPr>
        <w:t>公司董事、高级管理人员的薪酬调整依据为：</w:t>
      </w:r>
    </w:p>
    <w:p w14:paraId="4A5E13CE" w14:textId="77777777"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（一）同行业薪酬增幅水平；</w:t>
      </w:r>
    </w:p>
    <w:p w14:paraId="162A95DD" w14:textId="77777777"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（二）通胀水平；</w:t>
      </w:r>
    </w:p>
    <w:p w14:paraId="7AC3F275" w14:textId="77777777"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（三）公司盈利状况；</w:t>
      </w:r>
    </w:p>
    <w:p w14:paraId="4A397507" w14:textId="57C1694B"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（四）公司发展战略或组织结构调整；</w:t>
      </w:r>
      <w:r w:rsidR="009A754B">
        <w:rPr>
          <w:sz w:val="24"/>
        </w:rPr>
        <w:t xml:space="preserve"> </w:t>
      </w:r>
    </w:p>
    <w:p w14:paraId="194B7792" w14:textId="77777777" w:rsidR="00327E08" w:rsidRDefault="00327E08" w:rsidP="00227498">
      <w:pPr>
        <w:adjustRightInd w:val="0"/>
        <w:snapToGrid w:val="0"/>
        <w:spacing w:beforeLines="50" w:before="156" w:afterLines="50" w:after="156" w:line="400" w:lineRule="exact"/>
        <w:ind w:firstLineChars="200" w:firstLine="480"/>
        <w:rPr>
          <w:sz w:val="24"/>
        </w:rPr>
      </w:pPr>
      <w:r>
        <w:rPr>
          <w:rFonts w:hint="eastAsia"/>
          <w:sz w:val="24"/>
        </w:rPr>
        <w:t>（五）岗位发生变动的个别调整。</w:t>
      </w:r>
      <w:r>
        <w:rPr>
          <w:sz w:val="24"/>
        </w:rPr>
        <w:t xml:space="preserve"> </w:t>
      </w:r>
    </w:p>
    <w:p w14:paraId="7F36D056" w14:textId="77777777" w:rsidR="00327E08" w:rsidRDefault="00327E08" w:rsidP="00327E08">
      <w:pPr>
        <w:adjustRightInd w:val="0"/>
        <w:snapToGrid w:val="0"/>
        <w:spacing w:beforeLines="50" w:before="156" w:afterLines="50" w:after="156" w:line="440" w:lineRule="exact"/>
        <w:ind w:firstLineChars="200" w:firstLine="482"/>
        <w:jc w:val="center"/>
        <w:outlineLvl w:val="0"/>
        <w:rPr>
          <w:b/>
          <w:bCs/>
          <w:sz w:val="24"/>
        </w:rPr>
      </w:pPr>
      <w:r>
        <w:rPr>
          <w:rFonts w:hint="eastAsia"/>
          <w:b/>
          <w:bCs/>
          <w:sz w:val="24"/>
        </w:rPr>
        <w:t>第七章</w:t>
      </w:r>
      <w:r>
        <w:rPr>
          <w:b/>
          <w:bCs/>
          <w:sz w:val="24"/>
        </w:rPr>
        <w:t xml:space="preserve"> </w:t>
      </w:r>
      <w:r>
        <w:rPr>
          <w:rFonts w:hint="eastAsia"/>
          <w:b/>
          <w:bCs/>
          <w:sz w:val="24"/>
        </w:rPr>
        <w:t>附</w:t>
      </w:r>
      <w:r>
        <w:rPr>
          <w:b/>
          <w:bCs/>
          <w:sz w:val="24"/>
        </w:rPr>
        <w:t xml:space="preserve"> </w:t>
      </w:r>
      <w:r>
        <w:rPr>
          <w:rFonts w:hint="eastAsia"/>
          <w:b/>
          <w:bCs/>
          <w:sz w:val="24"/>
        </w:rPr>
        <w:t>则</w:t>
      </w:r>
    </w:p>
    <w:p w14:paraId="74E36B33"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第二十三条</w:t>
      </w:r>
      <w:r>
        <w:rPr>
          <w:sz w:val="24"/>
        </w:rPr>
        <w:t xml:space="preserve"> </w:t>
      </w:r>
      <w:r>
        <w:rPr>
          <w:rFonts w:hint="eastAsia"/>
          <w:sz w:val="24"/>
        </w:rPr>
        <w:t>本制度未尽事宜，依照有关法律、行政法规和规范性文件以及《公司章程》的有关规定执行。本制度与有关法律、行政法规、规范性文件或</w:t>
      </w:r>
      <w:r>
        <w:rPr>
          <w:sz w:val="24"/>
        </w:rPr>
        <w:t xml:space="preserve"> </w:t>
      </w:r>
      <w:r>
        <w:rPr>
          <w:rFonts w:hint="eastAsia"/>
          <w:sz w:val="24"/>
        </w:rPr>
        <w:t>《公司章程》的有关规定不一致的，以有关法律、行政法规、规范性文件以及《公司章程》的规定为准。</w:t>
      </w:r>
    </w:p>
    <w:p w14:paraId="53947C63"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第二十四条</w:t>
      </w:r>
      <w:r>
        <w:rPr>
          <w:sz w:val="24"/>
        </w:rPr>
        <w:t xml:space="preserve"> </w:t>
      </w:r>
      <w:r>
        <w:rPr>
          <w:rFonts w:hint="eastAsia"/>
          <w:sz w:val="24"/>
        </w:rPr>
        <w:t>本制度经董事会提出报股东会审议通过后生效实施，修订时亦同。</w:t>
      </w:r>
    </w:p>
    <w:p w14:paraId="0274BB5C" w14:textId="77777777" w:rsidR="00327E08" w:rsidRDefault="00327E08" w:rsidP="00327E08">
      <w:pPr>
        <w:adjustRightInd w:val="0"/>
        <w:snapToGrid w:val="0"/>
        <w:spacing w:beforeLines="50" w:before="156" w:afterLines="50" w:after="156" w:line="440" w:lineRule="exact"/>
        <w:ind w:firstLineChars="200" w:firstLine="480"/>
        <w:rPr>
          <w:sz w:val="24"/>
        </w:rPr>
      </w:pPr>
      <w:r>
        <w:rPr>
          <w:rFonts w:hint="eastAsia"/>
          <w:sz w:val="24"/>
        </w:rPr>
        <w:t>第二十五条</w:t>
      </w:r>
      <w:r>
        <w:rPr>
          <w:sz w:val="24"/>
        </w:rPr>
        <w:t xml:space="preserve"> </w:t>
      </w:r>
      <w:r>
        <w:rPr>
          <w:rFonts w:hint="eastAsia"/>
          <w:sz w:val="24"/>
        </w:rPr>
        <w:t>本制度由董事会负责解释。</w:t>
      </w:r>
    </w:p>
    <w:p w14:paraId="1B24EB30" w14:textId="57624586" w:rsidR="002000D8" w:rsidRPr="00327E08" w:rsidRDefault="002000D8" w:rsidP="00327E08"/>
    <w:sectPr w:rsidR="002000D8" w:rsidRPr="00327E0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9816" w14:textId="77777777" w:rsidR="003F4593" w:rsidRDefault="003F4593" w:rsidP="00E248CB">
      <w:r>
        <w:separator/>
      </w:r>
    </w:p>
  </w:endnote>
  <w:endnote w:type="continuationSeparator" w:id="0">
    <w:p w14:paraId="28145032" w14:textId="77777777" w:rsidR="003F4593" w:rsidRDefault="003F4593" w:rsidP="00E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AA15" w14:textId="77777777" w:rsidR="003F4593" w:rsidRDefault="003F4593" w:rsidP="00E248CB">
      <w:r>
        <w:separator/>
      </w:r>
    </w:p>
  </w:footnote>
  <w:footnote w:type="continuationSeparator" w:id="0">
    <w:p w14:paraId="21E91E2B" w14:textId="77777777" w:rsidR="003F4593" w:rsidRDefault="003F4593" w:rsidP="00E2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Borders>
        <w:top w:val="double" w:sz="6" w:space="0" w:color="auto"/>
        <w:left w:val="double" w:sz="6" w:space="0" w:color="auto"/>
        <w:bottom w:val="double" w:sz="6" w:space="0" w:color="auto"/>
        <w:right w:val="double" w:sz="6" w:space="0" w:color="auto"/>
        <w:insideH w:val="single" w:sz="6" w:space="0" w:color="auto"/>
        <w:insideV w:val="single" w:sz="12" w:space="0" w:color="auto"/>
      </w:tblBorders>
      <w:tblLayout w:type="fixed"/>
      <w:tblCellMar>
        <w:left w:w="57" w:type="dxa"/>
        <w:bottom w:w="57" w:type="dxa"/>
        <w:right w:w="227" w:type="dxa"/>
      </w:tblCellMar>
      <w:tblLook w:val="04A0" w:firstRow="1" w:lastRow="0" w:firstColumn="1" w:lastColumn="0" w:noHBand="0" w:noVBand="1"/>
    </w:tblPr>
    <w:tblGrid>
      <w:gridCol w:w="3181"/>
      <w:gridCol w:w="1219"/>
      <w:gridCol w:w="2440"/>
      <w:gridCol w:w="2160"/>
    </w:tblGrid>
    <w:tr w:rsidR="00E248CB" w:rsidRPr="007E64FC" w14:paraId="7FC3E2F3" w14:textId="77777777" w:rsidTr="00E248CB">
      <w:trPr>
        <w:cantSplit/>
        <w:trHeight w:hRule="exact" w:val="754"/>
      </w:trPr>
      <w:tc>
        <w:tcPr>
          <w:tcW w:w="3181" w:type="dxa"/>
          <w:vMerge w:val="restart"/>
          <w:tcBorders>
            <w:top w:val="double" w:sz="6" w:space="0" w:color="auto"/>
            <w:right w:val="single" w:sz="4" w:space="0" w:color="auto"/>
          </w:tcBorders>
          <w:vAlign w:val="center"/>
        </w:tcPr>
        <w:p w14:paraId="1011FC83" w14:textId="7132A0ED" w:rsidR="00E248CB" w:rsidRPr="007E64FC" w:rsidRDefault="00E248CB" w:rsidP="00E248CB">
          <w:pPr>
            <w:widowControl/>
            <w:tabs>
              <w:tab w:val="center" w:pos="4320"/>
              <w:tab w:val="right" w:pos="8640"/>
            </w:tabs>
            <w:spacing w:before="60" w:after="60"/>
            <w:ind w:right="34"/>
            <w:jc w:val="center"/>
            <w:rPr>
              <w:rFonts w:ascii="Arial" w:hAnsi="Arial"/>
              <w:b/>
              <w:color w:val="000000"/>
              <w:kern w:val="0"/>
              <w:sz w:val="24"/>
              <w:szCs w:val="24"/>
            </w:rPr>
          </w:pPr>
          <w:r w:rsidRPr="007E64FC">
            <w:rPr>
              <w:rFonts w:ascii="Arial Narrow" w:hAnsi="Arial Narrow"/>
              <w:noProof/>
              <w:kern w:val="0"/>
              <w:sz w:val="24"/>
            </w:rPr>
            <w:drawing>
              <wp:inline distT="0" distB="0" distL="0" distR="0" wp14:anchorId="02F870F4" wp14:editId="3E549829">
                <wp:extent cx="1781175" cy="323850"/>
                <wp:effectExtent l="0" t="0" r="9525" b="0"/>
                <wp:docPr id="23517689"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7689" name="图片 1" descr="文本&#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23850"/>
                        </a:xfrm>
                        <a:prstGeom prst="rect">
                          <a:avLst/>
                        </a:prstGeom>
                        <a:noFill/>
                        <a:ln>
                          <a:noFill/>
                        </a:ln>
                      </pic:spPr>
                    </pic:pic>
                  </a:graphicData>
                </a:graphic>
              </wp:inline>
            </w:drawing>
          </w:r>
        </w:p>
      </w:tc>
      <w:tc>
        <w:tcPr>
          <w:tcW w:w="1219" w:type="dxa"/>
          <w:tcBorders>
            <w:top w:val="double" w:sz="6" w:space="0" w:color="auto"/>
            <w:left w:val="single" w:sz="4" w:space="0" w:color="auto"/>
            <w:right w:val="single" w:sz="4" w:space="0" w:color="auto"/>
          </w:tcBorders>
          <w:vAlign w:val="center"/>
        </w:tcPr>
        <w:p w14:paraId="1D10E617" w14:textId="77777777" w:rsidR="00E248CB" w:rsidRPr="007E64FC" w:rsidRDefault="00E248CB" w:rsidP="00E248CB">
          <w:pPr>
            <w:widowControl/>
            <w:tabs>
              <w:tab w:val="right" w:pos="8640"/>
            </w:tabs>
            <w:spacing w:before="60" w:after="60"/>
            <w:ind w:right="-108"/>
            <w:jc w:val="center"/>
            <w:rPr>
              <w:rFonts w:ascii="宋体" w:hAnsi="宋体" w:hint="eastAsia"/>
              <w:b/>
              <w:kern w:val="0"/>
              <w:highlight w:val="yellow"/>
            </w:rPr>
          </w:pPr>
          <w:r w:rsidRPr="007E64FC">
            <w:rPr>
              <w:rFonts w:ascii="宋体" w:hAnsi="宋体" w:hint="eastAsia"/>
              <w:b/>
              <w:kern w:val="0"/>
            </w:rPr>
            <w:t>文件名称</w:t>
          </w:r>
        </w:p>
      </w:tc>
      <w:tc>
        <w:tcPr>
          <w:tcW w:w="2440" w:type="dxa"/>
          <w:tcBorders>
            <w:top w:val="double" w:sz="6" w:space="0" w:color="auto"/>
            <w:left w:val="single" w:sz="4" w:space="0" w:color="auto"/>
          </w:tcBorders>
          <w:vAlign w:val="center"/>
        </w:tcPr>
        <w:p w14:paraId="2C57C930" w14:textId="60D47CE2" w:rsidR="00E248CB" w:rsidRPr="007E64FC" w:rsidRDefault="00E248CB" w:rsidP="00E248CB">
          <w:pPr>
            <w:widowControl/>
            <w:tabs>
              <w:tab w:val="right" w:pos="8640"/>
            </w:tabs>
            <w:spacing w:before="60" w:after="60"/>
            <w:ind w:right="-108"/>
            <w:jc w:val="center"/>
            <w:rPr>
              <w:rFonts w:ascii="宋体" w:hAnsi="宋体" w:hint="eastAsia"/>
              <w:b/>
              <w:kern w:val="0"/>
            </w:rPr>
          </w:pPr>
          <w:r>
            <w:rPr>
              <w:rFonts w:ascii="宋体" w:hAnsi="宋体" w:hint="eastAsia"/>
              <w:b/>
              <w:kern w:val="0"/>
            </w:rPr>
            <w:t>董事、高级管理人员</w:t>
          </w:r>
          <w:r w:rsidR="00227498">
            <w:rPr>
              <w:rFonts w:ascii="宋体" w:hAnsi="宋体" w:hint="eastAsia"/>
              <w:b/>
              <w:kern w:val="0"/>
            </w:rPr>
            <w:t>薪酬</w:t>
          </w:r>
          <w:r>
            <w:rPr>
              <w:rFonts w:ascii="宋体" w:hAnsi="宋体" w:hint="eastAsia"/>
              <w:b/>
              <w:kern w:val="0"/>
            </w:rPr>
            <w:t>管理</w:t>
          </w:r>
          <w:r w:rsidR="00227498">
            <w:rPr>
              <w:rFonts w:ascii="宋体" w:hAnsi="宋体" w:hint="eastAsia"/>
              <w:b/>
              <w:kern w:val="0"/>
            </w:rPr>
            <w:t>制度</w:t>
          </w:r>
        </w:p>
      </w:tc>
      <w:tc>
        <w:tcPr>
          <w:tcW w:w="2160" w:type="dxa"/>
          <w:tcBorders>
            <w:top w:val="double" w:sz="6" w:space="0" w:color="auto"/>
          </w:tcBorders>
          <w:vAlign w:val="center"/>
        </w:tcPr>
        <w:p w14:paraId="3ECDFF31" w14:textId="732EFFC6" w:rsidR="00E248CB" w:rsidRPr="007E64FC" w:rsidRDefault="00E248CB" w:rsidP="00E248CB">
          <w:pPr>
            <w:widowControl/>
            <w:tabs>
              <w:tab w:val="left" w:pos="743"/>
              <w:tab w:val="left" w:pos="1026"/>
              <w:tab w:val="left" w:pos="1309"/>
              <w:tab w:val="right" w:pos="8640"/>
            </w:tabs>
            <w:spacing w:before="60" w:after="60"/>
            <w:ind w:right="34"/>
            <w:rPr>
              <w:rFonts w:ascii="宋体" w:hAnsi="宋体" w:hint="eastAsia"/>
              <w:b/>
              <w:kern w:val="0"/>
            </w:rPr>
          </w:pPr>
          <w:r w:rsidRPr="007E64FC">
            <w:rPr>
              <w:rFonts w:ascii="宋体" w:hAnsi="宋体" w:hint="eastAsia"/>
              <w:b/>
              <w:kern w:val="0"/>
            </w:rPr>
            <w:t>编号：</w:t>
          </w:r>
          <w:r w:rsidRPr="007E64FC">
            <w:rPr>
              <w:rFonts w:ascii="宋体" w:hAnsi="宋体"/>
              <w:b/>
              <w:kern w:val="0"/>
            </w:rPr>
            <w:t>JCGF</w:t>
          </w:r>
          <w:r>
            <w:rPr>
              <w:rFonts w:ascii="宋体" w:hAnsi="宋体" w:hint="eastAsia"/>
              <w:b/>
              <w:kern w:val="0"/>
            </w:rPr>
            <w:t>-G-022</w:t>
          </w:r>
          <w:r w:rsidR="00227498">
            <w:rPr>
              <w:rFonts w:ascii="宋体" w:hAnsi="宋体" w:hint="eastAsia"/>
              <w:b/>
              <w:kern w:val="0"/>
            </w:rPr>
            <w:t>2</w:t>
          </w:r>
        </w:p>
      </w:tc>
    </w:tr>
    <w:tr w:rsidR="00E248CB" w:rsidRPr="007E64FC" w14:paraId="28E07C2B" w14:textId="77777777" w:rsidTr="00132462">
      <w:trPr>
        <w:cantSplit/>
        <w:trHeight w:hRule="exact" w:val="375"/>
      </w:trPr>
      <w:tc>
        <w:tcPr>
          <w:tcW w:w="3181" w:type="dxa"/>
          <w:vMerge/>
          <w:tcBorders>
            <w:right w:val="single" w:sz="4" w:space="0" w:color="auto"/>
          </w:tcBorders>
          <w:vAlign w:val="center"/>
        </w:tcPr>
        <w:p w14:paraId="18E6708D" w14:textId="77777777" w:rsidR="00E248CB" w:rsidRPr="007E64FC" w:rsidRDefault="00E248CB" w:rsidP="00E248CB">
          <w:pPr>
            <w:widowControl/>
            <w:tabs>
              <w:tab w:val="center" w:pos="4320"/>
              <w:tab w:val="right" w:pos="8640"/>
            </w:tabs>
            <w:spacing w:before="60" w:after="60"/>
            <w:ind w:right="34"/>
            <w:jc w:val="center"/>
            <w:rPr>
              <w:rFonts w:ascii="Arial" w:hAnsi="Arial"/>
              <w:b/>
              <w:color w:val="000000"/>
              <w:kern w:val="0"/>
              <w:sz w:val="20"/>
              <w:szCs w:val="24"/>
            </w:rPr>
          </w:pPr>
        </w:p>
      </w:tc>
      <w:tc>
        <w:tcPr>
          <w:tcW w:w="1219" w:type="dxa"/>
          <w:tcBorders>
            <w:left w:val="single" w:sz="4" w:space="0" w:color="auto"/>
            <w:right w:val="single" w:sz="4" w:space="0" w:color="auto"/>
          </w:tcBorders>
          <w:vAlign w:val="center"/>
        </w:tcPr>
        <w:p w14:paraId="5B7896D4" w14:textId="77777777" w:rsidR="00E248CB" w:rsidRPr="007E64FC" w:rsidRDefault="00E248CB" w:rsidP="00E248CB">
          <w:pPr>
            <w:widowControl/>
            <w:tabs>
              <w:tab w:val="right" w:pos="8640"/>
            </w:tabs>
            <w:spacing w:before="60" w:after="60"/>
            <w:ind w:right="-108"/>
            <w:jc w:val="center"/>
            <w:rPr>
              <w:rFonts w:ascii="宋体" w:hAnsi="宋体" w:hint="eastAsia"/>
              <w:b/>
              <w:kern w:val="0"/>
            </w:rPr>
          </w:pPr>
          <w:r w:rsidRPr="007E64FC">
            <w:rPr>
              <w:rFonts w:ascii="宋体" w:hAnsi="宋体" w:hint="eastAsia"/>
              <w:b/>
              <w:kern w:val="0"/>
            </w:rPr>
            <w:t>部门</w:t>
          </w:r>
        </w:p>
      </w:tc>
      <w:tc>
        <w:tcPr>
          <w:tcW w:w="2440" w:type="dxa"/>
          <w:tcBorders>
            <w:left w:val="single" w:sz="4" w:space="0" w:color="auto"/>
          </w:tcBorders>
          <w:vAlign w:val="center"/>
        </w:tcPr>
        <w:p w14:paraId="3C3F3967" w14:textId="77777777" w:rsidR="00E248CB" w:rsidRPr="007E64FC" w:rsidRDefault="00E248CB" w:rsidP="00E248CB">
          <w:pPr>
            <w:jc w:val="center"/>
            <w:rPr>
              <w:rFonts w:ascii="宋体" w:hAnsi="宋体" w:hint="eastAsia"/>
              <w:b/>
              <w:kern w:val="0"/>
            </w:rPr>
          </w:pPr>
          <w:r>
            <w:rPr>
              <w:rFonts w:ascii="宋体" w:hAnsi="宋体"/>
              <w:b/>
              <w:kern w:val="0"/>
            </w:rPr>
            <w:t>董事会办公室</w:t>
          </w:r>
        </w:p>
      </w:tc>
      <w:tc>
        <w:tcPr>
          <w:tcW w:w="2160" w:type="dxa"/>
          <w:tcBorders>
            <w:bottom w:val="single" w:sz="4" w:space="0" w:color="auto"/>
          </w:tcBorders>
        </w:tcPr>
        <w:p w14:paraId="6089FDF5" w14:textId="02E5D6F8" w:rsidR="00E248CB" w:rsidRPr="007E64FC" w:rsidRDefault="00E248CB" w:rsidP="00E248CB">
          <w:pPr>
            <w:widowControl/>
            <w:tabs>
              <w:tab w:val="center" w:pos="4320"/>
              <w:tab w:val="right" w:pos="8640"/>
            </w:tabs>
            <w:spacing w:before="60" w:after="60"/>
            <w:ind w:right="-108"/>
            <w:jc w:val="center"/>
            <w:rPr>
              <w:rFonts w:ascii="宋体" w:hAnsi="宋体" w:hint="eastAsia"/>
              <w:b/>
              <w:kern w:val="0"/>
            </w:rPr>
          </w:pPr>
          <w:r w:rsidRPr="007E64FC">
            <w:rPr>
              <w:rFonts w:ascii="宋体" w:hAnsi="宋体" w:hint="eastAsia"/>
              <w:b/>
              <w:kern w:val="0"/>
            </w:rPr>
            <w:t>版次号：</w:t>
          </w:r>
          <w:r w:rsidRPr="007E64FC">
            <w:rPr>
              <w:rFonts w:ascii="宋体" w:hAnsi="宋体"/>
              <w:b/>
              <w:kern w:val="0"/>
            </w:rPr>
            <w:t>0</w:t>
          </w:r>
          <w:r w:rsidR="00F36529">
            <w:rPr>
              <w:rFonts w:ascii="宋体" w:hAnsi="宋体" w:hint="eastAsia"/>
              <w:b/>
              <w:kern w:val="0"/>
            </w:rPr>
            <w:t>1</w:t>
          </w:r>
        </w:p>
      </w:tc>
    </w:tr>
    <w:tr w:rsidR="00E248CB" w:rsidRPr="007E64FC" w14:paraId="7BD97C38" w14:textId="77777777" w:rsidTr="00132462">
      <w:trPr>
        <w:cantSplit/>
        <w:trHeight w:hRule="exact" w:val="408"/>
      </w:trPr>
      <w:tc>
        <w:tcPr>
          <w:tcW w:w="3181" w:type="dxa"/>
          <w:vMerge/>
          <w:tcBorders>
            <w:bottom w:val="double" w:sz="6" w:space="0" w:color="auto"/>
            <w:right w:val="single" w:sz="4" w:space="0" w:color="auto"/>
          </w:tcBorders>
          <w:vAlign w:val="center"/>
        </w:tcPr>
        <w:p w14:paraId="47084122" w14:textId="77777777" w:rsidR="00E248CB" w:rsidRPr="007E64FC" w:rsidRDefault="00E248CB" w:rsidP="00E248CB">
          <w:pPr>
            <w:widowControl/>
            <w:tabs>
              <w:tab w:val="center" w:pos="4320"/>
              <w:tab w:val="right" w:pos="8640"/>
            </w:tabs>
            <w:spacing w:before="60" w:after="60"/>
            <w:ind w:right="34"/>
            <w:jc w:val="center"/>
            <w:rPr>
              <w:rFonts w:ascii="Arial" w:hAnsi="Arial"/>
              <w:b/>
              <w:color w:val="000000"/>
              <w:kern w:val="0"/>
              <w:sz w:val="20"/>
              <w:szCs w:val="24"/>
            </w:rPr>
          </w:pPr>
        </w:p>
      </w:tc>
      <w:tc>
        <w:tcPr>
          <w:tcW w:w="1219" w:type="dxa"/>
          <w:tcBorders>
            <w:left w:val="single" w:sz="4" w:space="0" w:color="auto"/>
            <w:bottom w:val="double" w:sz="6" w:space="0" w:color="auto"/>
            <w:right w:val="single" w:sz="4" w:space="0" w:color="auto"/>
          </w:tcBorders>
          <w:vAlign w:val="center"/>
        </w:tcPr>
        <w:p w14:paraId="22B78215" w14:textId="77777777" w:rsidR="00E248CB" w:rsidRPr="007E64FC" w:rsidRDefault="00E248CB" w:rsidP="00E248CB">
          <w:pPr>
            <w:widowControl/>
            <w:tabs>
              <w:tab w:val="right" w:pos="8640"/>
            </w:tabs>
            <w:spacing w:before="60" w:after="60"/>
            <w:ind w:right="-108"/>
            <w:jc w:val="center"/>
            <w:rPr>
              <w:rFonts w:ascii="宋体" w:hAnsi="宋体" w:hint="eastAsia"/>
              <w:b/>
              <w:kern w:val="0"/>
            </w:rPr>
          </w:pPr>
          <w:r w:rsidRPr="007E64FC">
            <w:rPr>
              <w:rFonts w:ascii="宋体" w:hAnsi="宋体"/>
              <w:b/>
              <w:kern w:val="0"/>
            </w:rPr>
            <w:t>发布时间</w:t>
          </w:r>
        </w:p>
      </w:tc>
      <w:tc>
        <w:tcPr>
          <w:tcW w:w="2440" w:type="dxa"/>
          <w:tcBorders>
            <w:left w:val="single" w:sz="4" w:space="0" w:color="auto"/>
            <w:bottom w:val="double" w:sz="6" w:space="0" w:color="auto"/>
          </w:tcBorders>
          <w:vAlign w:val="center"/>
        </w:tcPr>
        <w:p w14:paraId="7506131A" w14:textId="0BC15309" w:rsidR="00E248CB" w:rsidRPr="007E64FC" w:rsidRDefault="00227498" w:rsidP="00E248CB">
          <w:pPr>
            <w:widowControl/>
            <w:tabs>
              <w:tab w:val="right" w:pos="8640"/>
            </w:tabs>
            <w:spacing w:before="60" w:after="60"/>
            <w:ind w:right="-108"/>
            <w:jc w:val="center"/>
            <w:rPr>
              <w:rFonts w:ascii="宋体" w:hAnsi="宋体" w:hint="eastAsia"/>
              <w:b/>
              <w:kern w:val="0"/>
            </w:rPr>
          </w:pPr>
          <w:r>
            <w:rPr>
              <w:rFonts w:ascii="宋体" w:hAnsi="宋体" w:hint="eastAsia"/>
              <w:b/>
              <w:kern w:val="0"/>
            </w:rPr>
            <w:t>2026-</w:t>
          </w:r>
          <w:r w:rsidR="0096519D">
            <w:rPr>
              <w:rFonts w:ascii="宋体" w:hAnsi="宋体" w:hint="eastAsia"/>
              <w:b/>
              <w:kern w:val="0"/>
            </w:rPr>
            <w:t>6-29</w:t>
          </w:r>
        </w:p>
      </w:tc>
      <w:tc>
        <w:tcPr>
          <w:tcW w:w="2160" w:type="dxa"/>
          <w:tcBorders>
            <w:top w:val="single" w:sz="4" w:space="0" w:color="auto"/>
            <w:bottom w:val="double" w:sz="6" w:space="0" w:color="auto"/>
          </w:tcBorders>
        </w:tcPr>
        <w:p w14:paraId="0517C47C" w14:textId="77777777" w:rsidR="00E248CB" w:rsidRPr="007E64FC" w:rsidRDefault="00E248CB" w:rsidP="00E248CB">
          <w:pPr>
            <w:widowControl/>
            <w:tabs>
              <w:tab w:val="right" w:pos="8640"/>
            </w:tabs>
            <w:spacing w:before="60" w:after="60"/>
            <w:ind w:right="-108"/>
            <w:jc w:val="center"/>
            <w:rPr>
              <w:rFonts w:ascii="宋体" w:hAnsi="宋体" w:hint="eastAsia"/>
              <w:b/>
              <w:kern w:val="0"/>
            </w:rPr>
          </w:pPr>
          <w:r w:rsidRPr="007E64FC">
            <w:rPr>
              <w:rFonts w:ascii="宋体" w:hAnsi="宋体" w:hint="eastAsia"/>
              <w:b/>
              <w:kern w:val="0"/>
            </w:rPr>
            <w:t>页码</w:t>
          </w:r>
          <w:r w:rsidRPr="007E64FC">
            <w:rPr>
              <w:rFonts w:ascii="宋体" w:hAnsi="宋体"/>
              <w:b/>
              <w:kern w:val="0"/>
            </w:rPr>
            <w:t>:</w:t>
          </w:r>
          <w:r w:rsidRPr="007E64FC">
            <w:rPr>
              <w:rFonts w:ascii="宋体" w:hAnsi="宋体" w:hint="eastAsia"/>
              <w:b/>
              <w:kern w:val="0"/>
            </w:rPr>
            <w:t xml:space="preserve"> </w:t>
          </w:r>
          <w:r w:rsidRPr="007E64FC">
            <w:rPr>
              <w:rFonts w:ascii="宋体" w:hAnsi="宋体"/>
              <w:b/>
              <w:kern w:val="0"/>
            </w:rPr>
            <w:fldChar w:fldCharType="begin"/>
          </w:r>
          <w:r w:rsidRPr="007E64FC">
            <w:rPr>
              <w:rFonts w:ascii="宋体" w:hAnsi="宋体"/>
              <w:b/>
              <w:kern w:val="0"/>
            </w:rPr>
            <w:instrText xml:space="preserve"> PAGE </w:instrText>
          </w:r>
          <w:r w:rsidRPr="007E64FC">
            <w:rPr>
              <w:rFonts w:ascii="宋体" w:hAnsi="宋体"/>
              <w:b/>
              <w:kern w:val="0"/>
            </w:rPr>
            <w:fldChar w:fldCharType="separate"/>
          </w:r>
          <w:r>
            <w:rPr>
              <w:rFonts w:ascii="宋体" w:hAnsi="宋体"/>
              <w:b/>
              <w:noProof/>
              <w:kern w:val="0"/>
            </w:rPr>
            <w:t>1</w:t>
          </w:r>
          <w:r w:rsidRPr="007E64FC">
            <w:rPr>
              <w:rFonts w:ascii="宋体" w:hAnsi="宋体"/>
              <w:b/>
              <w:kern w:val="0"/>
            </w:rPr>
            <w:fldChar w:fldCharType="end"/>
          </w:r>
          <w:r w:rsidRPr="007E64FC">
            <w:rPr>
              <w:rFonts w:ascii="宋体" w:hAnsi="宋体" w:hint="eastAsia"/>
              <w:b/>
              <w:kern w:val="0"/>
            </w:rPr>
            <w:t xml:space="preserve"> </w:t>
          </w:r>
          <w:r w:rsidRPr="007E64FC">
            <w:rPr>
              <w:rFonts w:ascii="宋体" w:hAnsi="宋体"/>
              <w:b/>
              <w:kern w:val="0"/>
            </w:rPr>
            <w:t>of</w:t>
          </w:r>
          <w:r w:rsidRPr="007E64FC">
            <w:rPr>
              <w:rFonts w:ascii="宋体" w:hAnsi="宋体" w:hint="eastAsia"/>
              <w:b/>
              <w:kern w:val="0"/>
            </w:rPr>
            <w:t xml:space="preserve"> </w:t>
          </w:r>
          <w:r w:rsidRPr="007E64FC">
            <w:rPr>
              <w:rFonts w:ascii="宋体" w:hAnsi="宋体"/>
              <w:b/>
              <w:kern w:val="0"/>
            </w:rPr>
            <w:fldChar w:fldCharType="begin"/>
          </w:r>
          <w:r w:rsidRPr="007E64FC">
            <w:rPr>
              <w:rFonts w:ascii="宋体" w:hAnsi="宋体"/>
              <w:b/>
              <w:kern w:val="0"/>
            </w:rPr>
            <w:instrText xml:space="preserve"> NUMPAGES </w:instrText>
          </w:r>
          <w:r w:rsidRPr="007E64FC">
            <w:rPr>
              <w:rFonts w:ascii="宋体" w:hAnsi="宋体"/>
              <w:b/>
              <w:kern w:val="0"/>
            </w:rPr>
            <w:fldChar w:fldCharType="separate"/>
          </w:r>
          <w:r>
            <w:rPr>
              <w:rFonts w:ascii="宋体" w:hAnsi="宋体"/>
              <w:b/>
              <w:noProof/>
              <w:kern w:val="0"/>
            </w:rPr>
            <w:t>7</w:t>
          </w:r>
          <w:r w:rsidRPr="007E64FC">
            <w:rPr>
              <w:rFonts w:ascii="宋体" w:hAnsi="宋体"/>
              <w:b/>
              <w:kern w:val="0"/>
            </w:rPr>
            <w:fldChar w:fldCharType="end"/>
          </w:r>
        </w:p>
      </w:tc>
    </w:tr>
  </w:tbl>
  <w:p w14:paraId="6999F8C7" w14:textId="77777777" w:rsidR="00E248CB" w:rsidRDefault="00E248C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6F49"/>
    <w:multiLevelType w:val="hybridMultilevel"/>
    <w:tmpl w:val="8A0A1702"/>
    <w:lvl w:ilvl="0" w:tplc="359E54EE">
      <w:start w:val="1"/>
      <w:numFmt w:val="japaneseCounting"/>
      <w:lvlText w:val="第%1条"/>
      <w:lvlJc w:val="left"/>
      <w:pPr>
        <w:ind w:left="1320" w:hanging="8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F453058"/>
    <w:multiLevelType w:val="hybridMultilevel"/>
    <w:tmpl w:val="61AEB8F4"/>
    <w:lvl w:ilvl="0" w:tplc="10EA3ED6">
      <w:start w:val="1"/>
      <w:numFmt w:val="chineseCountingThousand"/>
      <w:lvlText w:val="第%1条"/>
      <w:lvlJc w:val="left"/>
      <w:pPr>
        <w:ind w:left="1290" w:hanging="440"/>
      </w:pPr>
      <w:rPr>
        <w:rFonts w:hint="eastAsia"/>
        <w:lang w:val="en-US"/>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597013978">
    <w:abstractNumId w:val="1"/>
  </w:num>
  <w:num w:numId="2" w16cid:durableId="119048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9"/>
    <w:rsid w:val="000D3392"/>
    <w:rsid w:val="00120C5C"/>
    <w:rsid w:val="00165E32"/>
    <w:rsid w:val="00180C76"/>
    <w:rsid w:val="002000D8"/>
    <w:rsid w:val="00227498"/>
    <w:rsid w:val="002647EB"/>
    <w:rsid w:val="00287130"/>
    <w:rsid w:val="00297FC4"/>
    <w:rsid w:val="002E03F2"/>
    <w:rsid w:val="002E092B"/>
    <w:rsid w:val="002F69CB"/>
    <w:rsid w:val="00327E08"/>
    <w:rsid w:val="00340314"/>
    <w:rsid w:val="00353D8D"/>
    <w:rsid w:val="003C1EEE"/>
    <w:rsid w:val="003F4593"/>
    <w:rsid w:val="00450037"/>
    <w:rsid w:val="004619AC"/>
    <w:rsid w:val="00467E5E"/>
    <w:rsid w:val="0048649D"/>
    <w:rsid w:val="004A38F4"/>
    <w:rsid w:val="004D75E8"/>
    <w:rsid w:val="00504E61"/>
    <w:rsid w:val="005741C1"/>
    <w:rsid w:val="0058274D"/>
    <w:rsid w:val="005B3127"/>
    <w:rsid w:val="005B7C9C"/>
    <w:rsid w:val="006A2E89"/>
    <w:rsid w:val="006C4376"/>
    <w:rsid w:val="00740D07"/>
    <w:rsid w:val="00767118"/>
    <w:rsid w:val="0078109B"/>
    <w:rsid w:val="007821F3"/>
    <w:rsid w:val="00802A6D"/>
    <w:rsid w:val="008A3A07"/>
    <w:rsid w:val="008D7120"/>
    <w:rsid w:val="00920F52"/>
    <w:rsid w:val="0096519D"/>
    <w:rsid w:val="00984EE3"/>
    <w:rsid w:val="00995083"/>
    <w:rsid w:val="009A754B"/>
    <w:rsid w:val="009B3F90"/>
    <w:rsid w:val="009E4C21"/>
    <w:rsid w:val="009F47E4"/>
    <w:rsid w:val="00A86DB3"/>
    <w:rsid w:val="00AE038B"/>
    <w:rsid w:val="00AE1859"/>
    <w:rsid w:val="00BD4124"/>
    <w:rsid w:val="00C81653"/>
    <w:rsid w:val="00CA7068"/>
    <w:rsid w:val="00D32D44"/>
    <w:rsid w:val="00D84132"/>
    <w:rsid w:val="00DF4DC5"/>
    <w:rsid w:val="00E248CB"/>
    <w:rsid w:val="00E3305A"/>
    <w:rsid w:val="00E3717E"/>
    <w:rsid w:val="00F16EA4"/>
    <w:rsid w:val="00F22277"/>
    <w:rsid w:val="00F36529"/>
    <w:rsid w:val="00F6563A"/>
    <w:rsid w:val="00F87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8EB1D"/>
  <w15:docId w15:val="{081ED228-BE29-4DD2-BB28-FEF155C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120"/>
    <w:pPr>
      <w:widowControl w:val="0"/>
      <w:jc w:val="both"/>
    </w:pPr>
    <w:rPr>
      <w:rFonts w:ascii="Calibri" w:eastAsia="宋体" w:hAnsi="Calibri" w:cs="Times New Roman"/>
      <w:szCs w:val="21"/>
    </w:rPr>
  </w:style>
  <w:style w:type="paragraph" w:styleId="1">
    <w:name w:val="heading 1"/>
    <w:basedOn w:val="a"/>
    <w:next w:val="a"/>
    <w:link w:val="10"/>
    <w:uiPriority w:val="9"/>
    <w:qFormat/>
    <w:rsid w:val="00AE185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E185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E185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E185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E185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E185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E185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E185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E185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85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E185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E185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E1859"/>
    <w:rPr>
      <w:rFonts w:cstheme="majorBidi"/>
      <w:color w:val="0F4761" w:themeColor="accent1" w:themeShade="BF"/>
      <w:sz w:val="28"/>
      <w:szCs w:val="28"/>
    </w:rPr>
  </w:style>
  <w:style w:type="character" w:customStyle="1" w:styleId="50">
    <w:name w:val="标题 5 字符"/>
    <w:basedOn w:val="a0"/>
    <w:link w:val="5"/>
    <w:uiPriority w:val="9"/>
    <w:semiHidden/>
    <w:rsid w:val="00AE1859"/>
    <w:rPr>
      <w:rFonts w:cstheme="majorBidi"/>
      <w:color w:val="0F4761" w:themeColor="accent1" w:themeShade="BF"/>
      <w:sz w:val="24"/>
      <w:szCs w:val="24"/>
    </w:rPr>
  </w:style>
  <w:style w:type="character" w:customStyle="1" w:styleId="60">
    <w:name w:val="标题 6 字符"/>
    <w:basedOn w:val="a0"/>
    <w:link w:val="6"/>
    <w:uiPriority w:val="9"/>
    <w:semiHidden/>
    <w:rsid w:val="00AE1859"/>
    <w:rPr>
      <w:rFonts w:cstheme="majorBidi"/>
      <w:b/>
      <w:bCs/>
      <w:color w:val="0F4761" w:themeColor="accent1" w:themeShade="BF"/>
      <w:szCs w:val="21"/>
    </w:rPr>
  </w:style>
  <w:style w:type="character" w:customStyle="1" w:styleId="70">
    <w:name w:val="标题 7 字符"/>
    <w:basedOn w:val="a0"/>
    <w:link w:val="7"/>
    <w:uiPriority w:val="9"/>
    <w:semiHidden/>
    <w:rsid w:val="00AE1859"/>
    <w:rPr>
      <w:rFonts w:cstheme="majorBidi"/>
      <w:b/>
      <w:bCs/>
      <w:color w:val="595959" w:themeColor="text1" w:themeTint="A6"/>
      <w:szCs w:val="21"/>
    </w:rPr>
  </w:style>
  <w:style w:type="character" w:customStyle="1" w:styleId="80">
    <w:name w:val="标题 8 字符"/>
    <w:basedOn w:val="a0"/>
    <w:link w:val="8"/>
    <w:uiPriority w:val="9"/>
    <w:semiHidden/>
    <w:rsid w:val="00AE1859"/>
    <w:rPr>
      <w:rFonts w:cstheme="majorBidi"/>
      <w:color w:val="595959" w:themeColor="text1" w:themeTint="A6"/>
      <w:szCs w:val="21"/>
    </w:rPr>
  </w:style>
  <w:style w:type="character" w:customStyle="1" w:styleId="90">
    <w:name w:val="标题 9 字符"/>
    <w:basedOn w:val="a0"/>
    <w:link w:val="9"/>
    <w:uiPriority w:val="9"/>
    <w:semiHidden/>
    <w:rsid w:val="00AE1859"/>
    <w:rPr>
      <w:rFonts w:eastAsiaTheme="majorEastAsia" w:cstheme="majorBidi"/>
      <w:color w:val="595959" w:themeColor="text1" w:themeTint="A6"/>
      <w:szCs w:val="21"/>
    </w:rPr>
  </w:style>
  <w:style w:type="paragraph" w:styleId="a3">
    <w:name w:val="Title"/>
    <w:basedOn w:val="a"/>
    <w:next w:val="a"/>
    <w:link w:val="a4"/>
    <w:uiPriority w:val="10"/>
    <w:qFormat/>
    <w:rsid w:val="00AE18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8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859"/>
    <w:pPr>
      <w:spacing w:before="160" w:after="160"/>
      <w:jc w:val="center"/>
    </w:pPr>
    <w:rPr>
      <w:i/>
      <w:iCs/>
      <w:color w:val="404040" w:themeColor="text1" w:themeTint="BF"/>
    </w:rPr>
  </w:style>
  <w:style w:type="character" w:customStyle="1" w:styleId="a8">
    <w:name w:val="引用 字符"/>
    <w:basedOn w:val="a0"/>
    <w:link w:val="a7"/>
    <w:uiPriority w:val="29"/>
    <w:rsid w:val="00AE1859"/>
    <w:rPr>
      <w:rFonts w:ascii="Calibri" w:eastAsia="宋体" w:hAnsi="Calibri" w:cs="Times New Roman"/>
      <w:i/>
      <w:iCs/>
      <w:color w:val="404040" w:themeColor="text1" w:themeTint="BF"/>
      <w:szCs w:val="21"/>
    </w:rPr>
  </w:style>
  <w:style w:type="paragraph" w:styleId="a9">
    <w:name w:val="List Paragraph"/>
    <w:basedOn w:val="a"/>
    <w:uiPriority w:val="34"/>
    <w:qFormat/>
    <w:rsid w:val="00AE1859"/>
    <w:pPr>
      <w:ind w:left="720"/>
      <w:contextualSpacing/>
    </w:pPr>
  </w:style>
  <w:style w:type="character" w:styleId="aa">
    <w:name w:val="Intense Emphasis"/>
    <w:basedOn w:val="a0"/>
    <w:uiPriority w:val="21"/>
    <w:qFormat/>
    <w:rsid w:val="00AE1859"/>
    <w:rPr>
      <w:i/>
      <w:iCs/>
      <w:color w:val="0F4761" w:themeColor="accent1" w:themeShade="BF"/>
    </w:rPr>
  </w:style>
  <w:style w:type="paragraph" w:styleId="ab">
    <w:name w:val="Intense Quote"/>
    <w:basedOn w:val="a"/>
    <w:next w:val="a"/>
    <w:link w:val="ac"/>
    <w:uiPriority w:val="30"/>
    <w:qFormat/>
    <w:rsid w:val="00AE1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E1859"/>
    <w:rPr>
      <w:rFonts w:ascii="Calibri" w:eastAsia="宋体" w:hAnsi="Calibri" w:cs="Times New Roman"/>
      <w:i/>
      <w:iCs/>
      <w:color w:val="0F4761" w:themeColor="accent1" w:themeShade="BF"/>
      <w:szCs w:val="21"/>
    </w:rPr>
  </w:style>
  <w:style w:type="character" w:styleId="ad">
    <w:name w:val="Intense Reference"/>
    <w:basedOn w:val="a0"/>
    <w:uiPriority w:val="32"/>
    <w:qFormat/>
    <w:rsid w:val="00AE1859"/>
    <w:rPr>
      <w:b/>
      <w:bCs/>
      <w:smallCaps/>
      <w:color w:val="0F4761" w:themeColor="accent1" w:themeShade="BF"/>
      <w:spacing w:val="5"/>
    </w:rPr>
  </w:style>
  <w:style w:type="paragraph" w:styleId="ae">
    <w:name w:val="Revision"/>
    <w:hidden/>
    <w:uiPriority w:val="99"/>
    <w:semiHidden/>
    <w:rsid w:val="00504E61"/>
    <w:rPr>
      <w:rFonts w:ascii="Calibri" w:eastAsia="宋体" w:hAnsi="Calibri" w:cs="Times New Roman"/>
      <w:szCs w:val="21"/>
    </w:rPr>
  </w:style>
  <w:style w:type="character" w:styleId="af">
    <w:name w:val="annotation reference"/>
    <w:basedOn w:val="a0"/>
    <w:uiPriority w:val="99"/>
    <w:semiHidden/>
    <w:unhideWhenUsed/>
    <w:rsid w:val="00F6563A"/>
    <w:rPr>
      <w:sz w:val="18"/>
      <w:szCs w:val="18"/>
    </w:rPr>
  </w:style>
  <w:style w:type="paragraph" w:styleId="af0">
    <w:name w:val="annotation text"/>
    <w:basedOn w:val="a"/>
    <w:link w:val="af1"/>
    <w:uiPriority w:val="99"/>
    <w:unhideWhenUsed/>
    <w:rsid w:val="00F6563A"/>
    <w:pPr>
      <w:jc w:val="left"/>
    </w:pPr>
  </w:style>
  <w:style w:type="character" w:customStyle="1" w:styleId="af1">
    <w:name w:val="批注文字 字符"/>
    <w:basedOn w:val="a0"/>
    <w:link w:val="af0"/>
    <w:uiPriority w:val="99"/>
    <w:rsid w:val="00F6563A"/>
    <w:rPr>
      <w:rFonts w:ascii="Calibri" w:eastAsia="宋体" w:hAnsi="Calibri" w:cs="Times New Roman"/>
      <w:szCs w:val="21"/>
    </w:rPr>
  </w:style>
  <w:style w:type="paragraph" w:styleId="af2">
    <w:name w:val="annotation subject"/>
    <w:basedOn w:val="af0"/>
    <w:next w:val="af0"/>
    <w:link w:val="af3"/>
    <w:uiPriority w:val="99"/>
    <w:semiHidden/>
    <w:unhideWhenUsed/>
    <w:rsid w:val="00F6563A"/>
    <w:rPr>
      <w:b/>
      <w:bCs/>
    </w:rPr>
  </w:style>
  <w:style w:type="character" w:customStyle="1" w:styleId="af3">
    <w:name w:val="批注主题 字符"/>
    <w:basedOn w:val="af1"/>
    <w:link w:val="af2"/>
    <w:uiPriority w:val="99"/>
    <w:semiHidden/>
    <w:rsid w:val="00F6563A"/>
    <w:rPr>
      <w:rFonts w:ascii="Calibri" w:eastAsia="宋体" w:hAnsi="Calibri" w:cs="Times New Roman"/>
      <w:b/>
      <w:bCs/>
      <w:szCs w:val="21"/>
    </w:rPr>
  </w:style>
  <w:style w:type="paragraph" w:styleId="af4">
    <w:name w:val="Balloon Text"/>
    <w:basedOn w:val="a"/>
    <w:link w:val="af5"/>
    <w:uiPriority w:val="99"/>
    <w:semiHidden/>
    <w:unhideWhenUsed/>
    <w:rsid w:val="009E4C21"/>
    <w:rPr>
      <w:sz w:val="18"/>
      <w:szCs w:val="18"/>
    </w:rPr>
  </w:style>
  <w:style w:type="character" w:customStyle="1" w:styleId="af5">
    <w:name w:val="批注框文本 字符"/>
    <w:basedOn w:val="a0"/>
    <w:link w:val="af4"/>
    <w:uiPriority w:val="99"/>
    <w:semiHidden/>
    <w:rsid w:val="009E4C21"/>
    <w:rPr>
      <w:rFonts w:ascii="Calibri" w:eastAsia="宋体" w:hAnsi="Calibri" w:cs="Times New Roman"/>
      <w:sz w:val="18"/>
      <w:szCs w:val="18"/>
    </w:rPr>
  </w:style>
  <w:style w:type="paragraph" w:styleId="af6">
    <w:name w:val="header"/>
    <w:basedOn w:val="a"/>
    <w:link w:val="af7"/>
    <w:uiPriority w:val="99"/>
    <w:unhideWhenUsed/>
    <w:rsid w:val="00E248CB"/>
    <w:pPr>
      <w:tabs>
        <w:tab w:val="center" w:pos="4153"/>
        <w:tab w:val="right" w:pos="8306"/>
      </w:tabs>
      <w:snapToGrid w:val="0"/>
      <w:jc w:val="center"/>
    </w:pPr>
    <w:rPr>
      <w:sz w:val="18"/>
      <w:szCs w:val="18"/>
    </w:rPr>
  </w:style>
  <w:style w:type="character" w:customStyle="1" w:styleId="af7">
    <w:name w:val="页眉 字符"/>
    <w:basedOn w:val="a0"/>
    <w:link w:val="af6"/>
    <w:uiPriority w:val="99"/>
    <w:rsid w:val="00E248CB"/>
    <w:rPr>
      <w:rFonts w:ascii="Calibri" w:eastAsia="宋体" w:hAnsi="Calibri" w:cs="Times New Roman"/>
      <w:sz w:val="18"/>
      <w:szCs w:val="18"/>
    </w:rPr>
  </w:style>
  <w:style w:type="paragraph" w:styleId="af8">
    <w:name w:val="footer"/>
    <w:basedOn w:val="a"/>
    <w:link w:val="af9"/>
    <w:uiPriority w:val="99"/>
    <w:unhideWhenUsed/>
    <w:rsid w:val="00E248CB"/>
    <w:pPr>
      <w:tabs>
        <w:tab w:val="center" w:pos="4153"/>
        <w:tab w:val="right" w:pos="8306"/>
      </w:tabs>
      <w:snapToGrid w:val="0"/>
      <w:jc w:val="left"/>
    </w:pPr>
    <w:rPr>
      <w:sz w:val="18"/>
      <w:szCs w:val="18"/>
    </w:rPr>
  </w:style>
  <w:style w:type="character" w:customStyle="1" w:styleId="af9">
    <w:name w:val="页脚 字符"/>
    <w:basedOn w:val="a0"/>
    <w:link w:val="af8"/>
    <w:uiPriority w:val="99"/>
    <w:rsid w:val="00E248C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185">
      <w:bodyDiv w:val="1"/>
      <w:marLeft w:val="0"/>
      <w:marRight w:val="0"/>
      <w:marTop w:val="0"/>
      <w:marBottom w:val="0"/>
      <w:divBdr>
        <w:top w:val="none" w:sz="0" w:space="0" w:color="auto"/>
        <w:left w:val="none" w:sz="0" w:space="0" w:color="auto"/>
        <w:bottom w:val="none" w:sz="0" w:space="0" w:color="auto"/>
        <w:right w:val="none" w:sz="0" w:space="0" w:color="auto"/>
      </w:divBdr>
    </w:div>
    <w:div w:id="23755334">
      <w:bodyDiv w:val="1"/>
      <w:marLeft w:val="0"/>
      <w:marRight w:val="0"/>
      <w:marTop w:val="0"/>
      <w:marBottom w:val="0"/>
      <w:divBdr>
        <w:top w:val="none" w:sz="0" w:space="0" w:color="auto"/>
        <w:left w:val="none" w:sz="0" w:space="0" w:color="auto"/>
        <w:bottom w:val="none" w:sz="0" w:space="0" w:color="auto"/>
        <w:right w:val="none" w:sz="0" w:space="0" w:color="auto"/>
      </w:divBdr>
    </w:div>
    <w:div w:id="364867449">
      <w:bodyDiv w:val="1"/>
      <w:marLeft w:val="0"/>
      <w:marRight w:val="0"/>
      <w:marTop w:val="0"/>
      <w:marBottom w:val="0"/>
      <w:divBdr>
        <w:top w:val="none" w:sz="0" w:space="0" w:color="auto"/>
        <w:left w:val="none" w:sz="0" w:space="0" w:color="auto"/>
        <w:bottom w:val="none" w:sz="0" w:space="0" w:color="auto"/>
        <w:right w:val="none" w:sz="0" w:space="0" w:color="auto"/>
      </w:divBdr>
    </w:div>
    <w:div w:id="782846770">
      <w:bodyDiv w:val="1"/>
      <w:marLeft w:val="0"/>
      <w:marRight w:val="0"/>
      <w:marTop w:val="0"/>
      <w:marBottom w:val="0"/>
      <w:divBdr>
        <w:top w:val="none" w:sz="0" w:space="0" w:color="auto"/>
        <w:left w:val="none" w:sz="0" w:space="0" w:color="auto"/>
        <w:bottom w:val="none" w:sz="0" w:space="0" w:color="auto"/>
        <w:right w:val="none" w:sz="0" w:space="0" w:color="auto"/>
      </w:divBdr>
      <w:divsChild>
        <w:div w:id="592595472">
          <w:marLeft w:val="0"/>
          <w:marRight w:val="0"/>
          <w:marTop w:val="0"/>
          <w:marBottom w:val="0"/>
          <w:divBdr>
            <w:top w:val="none" w:sz="0" w:space="0" w:color="auto"/>
            <w:left w:val="none" w:sz="0" w:space="0" w:color="auto"/>
            <w:bottom w:val="none" w:sz="0" w:space="0" w:color="auto"/>
            <w:right w:val="none" w:sz="0" w:space="0" w:color="auto"/>
          </w:divBdr>
        </w:div>
      </w:divsChild>
    </w:div>
    <w:div w:id="941035057">
      <w:bodyDiv w:val="1"/>
      <w:marLeft w:val="0"/>
      <w:marRight w:val="0"/>
      <w:marTop w:val="0"/>
      <w:marBottom w:val="0"/>
      <w:divBdr>
        <w:top w:val="none" w:sz="0" w:space="0" w:color="auto"/>
        <w:left w:val="none" w:sz="0" w:space="0" w:color="auto"/>
        <w:bottom w:val="none" w:sz="0" w:space="0" w:color="auto"/>
        <w:right w:val="none" w:sz="0" w:space="0" w:color="auto"/>
      </w:divBdr>
    </w:div>
    <w:div w:id="1542014701">
      <w:bodyDiv w:val="1"/>
      <w:marLeft w:val="0"/>
      <w:marRight w:val="0"/>
      <w:marTop w:val="0"/>
      <w:marBottom w:val="0"/>
      <w:divBdr>
        <w:top w:val="none" w:sz="0" w:space="0" w:color="auto"/>
        <w:left w:val="none" w:sz="0" w:space="0" w:color="auto"/>
        <w:bottom w:val="none" w:sz="0" w:space="0" w:color="auto"/>
        <w:right w:val="none" w:sz="0" w:space="0" w:color="auto"/>
      </w:divBdr>
    </w:div>
    <w:div w:id="16324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修订</dc:creator>
  <cp:lastModifiedBy>Chris Green</cp:lastModifiedBy>
  <cp:revision>3</cp:revision>
  <dcterms:created xsi:type="dcterms:W3CDTF">2026-06-29T12:55:00Z</dcterms:created>
  <dcterms:modified xsi:type="dcterms:W3CDTF">2026-06-29T12:55:00Z</dcterms:modified>
</cp:coreProperties>
</file>