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134C0" w14:textId="46725DA0" w:rsidR="002867C8" w:rsidRPr="00594E8E" w:rsidRDefault="002867C8">
      <w:pPr>
        <w:spacing w:line="460" w:lineRule="exact"/>
        <w:rPr>
          <w:rFonts w:ascii="宋体" w:hAnsi="宋体" w:hint="eastAsia"/>
          <w:color w:val="000000"/>
          <w:sz w:val="24"/>
          <w:szCs w:val="24"/>
        </w:rPr>
      </w:pPr>
      <w:r w:rsidRPr="00A449F3">
        <w:rPr>
          <w:rFonts w:ascii="宋体" w:hAnsi="宋体" w:hint="eastAsia"/>
          <w:sz w:val="24"/>
          <w:szCs w:val="24"/>
        </w:rPr>
        <w:t>股票代码：600860           股票简称：京城</w:t>
      </w:r>
      <w:r w:rsidR="00542830">
        <w:rPr>
          <w:rFonts w:ascii="宋体" w:hAnsi="宋体" w:hint="eastAsia"/>
          <w:sz w:val="24"/>
          <w:szCs w:val="24"/>
        </w:rPr>
        <w:t>股份</w:t>
      </w:r>
      <w:r w:rsidRPr="00A449F3">
        <w:rPr>
          <w:rFonts w:ascii="宋体" w:hAnsi="宋体" w:hint="eastAsia"/>
          <w:sz w:val="24"/>
          <w:szCs w:val="24"/>
        </w:rPr>
        <w:t xml:space="preserve">        </w:t>
      </w:r>
      <w:r w:rsidRPr="00E713F9">
        <w:rPr>
          <w:rFonts w:ascii="宋体" w:hAnsi="宋体" w:hint="eastAsia"/>
          <w:sz w:val="24"/>
          <w:szCs w:val="24"/>
        </w:rPr>
        <w:t>编号：</w:t>
      </w:r>
      <w:r w:rsidRPr="00252987">
        <w:rPr>
          <w:rFonts w:ascii="宋体" w:hAnsi="宋体" w:hint="eastAsia"/>
          <w:color w:val="000000"/>
          <w:sz w:val="24"/>
          <w:szCs w:val="24"/>
        </w:rPr>
        <w:t>临</w:t>
      </w:r>
      <w:r w:rsidR="008C50D3">
        <w:rPr>
          <w:rFonts w:ascii="宋体" w:hAnsi="宋体" w:hint="eastAsia"/>
          <w:color w:val="000000"/>
          <w:sz w:val="24"/>
          <w:szCs w:val="24"/>
        </w:rPr>
        <w:t>202</w:t>
      </w:r>
      <w:r w:rsidR="004C1C73">
        <w:rPr>
          <w:rFonts w:ascii="宋体" w:hAnsi="宋体" w:hint="eastAsia"/>
          <w:color w:val="000000"/>
          <w:sz w:val="24"/>
          <w:szCs w:val="24"/>
        </w:rPr>
        <w:t>6</w:t>
      </w:r>
      <w:r w:rsidR="00E948CA" w:rsidRPr="00C35A16">
        <w:rPr>
          <w:rFonts w:ascii="宋体" w:hAnsi="宋体" w:hint="eastAsia"/>
          <w:color w:val="000000"/>
          <w:sz w:val="24"/>
          <w:szCs w:val="24"/>
        </w:rPr>
        <w:t>-</w:t>
      </w:r>
      <w:r w:rsidR="008C50D3" w:rsidRPr="00D63DB5">
        <w:rPr>
          <w:rFonts w:ascii="宋体" w:hAnsi="宋体" w:hint="eastAsia"/>
          <w:color w:val="000000"/>
          <w:sz w:val="24"/>
          <w:szCs w:val="24"/>
        </w:rPr>
        <w:t>0</w:t>
      </w:r>
      <w:r w:rsidR="00D63DB5" w:rsidRPr="00D63DB5">
        <w:rPr>
          <w:rFonts w:ascii="宋体" w:hAnsi="宋体" w:hint="eastAsia"/>
          <w:color w:val="000000"/>
          <w:sz w:val="24"/>
          <w:szCs w:val="24"/>
        </w:rPr>
        <w:t>2</w:t>
      </w:r>
      <w:r w:rsidR="00D04FEF">
        <w:rPr>
          <w:rFonts w:ascii="宋体" w:hAnsi="宋体" w:hint="eastAsia"/>
          <w:color w:val="000000"/>
          <w:sz w:val="24"/>
          <w:szCs w:val="24"/>
        </w:rPr>
        <w:t>6</w:t>
      </w:r>
    </w:p>
    <w:p w14:paraId="02318A69" w14:textId="77777777" w:rsidR="002867C8" w:rsidRPr="00A449F3" w:rsidRDefault="002867C8">
      <w:pPr>
        <w:spacing w:line="460" w:lineRule="exact"/>
        <w:ind w:firstLine="57"/>
        <w:rPr>
          <w:rFonts w:ascii="宋体" w:hAnsi="宋体" w:hint="eastAsia"/>
          <w:sz w:val="24"/>
          <w:szCs w:val="24"/>
        </w:rPr>
      </w:pPr>
    </w:p>
    <w:p w14:paraId="41979DC2" w14:textId="77777777" w:rsidR="002867C8" w:rsidRPr="00A449F3" w:rsidRDefault="002867C8">
      <w:pPr>
        <w:adjustRightInd w:val="0"/>
        <w:snapToGrid w:val="0"/>
        <w:spacing w:line="460" w:lineRule="exact"/>
        <w:jc w:val="center"/>
        <w:rPr>
          <w:rFonts w:ascii="宋体" w:hAnsi="宋体" w:hint="eastAsia"/>
          <w:b/>
          <w:color w:val="FF0000"/>
          <w:sz w:val="36"/>
          <w:szCs w:val="36"/>
        </w:rPr>
      </w:pPr>
      <w:r w:rsidRPr="00A449F3">
        <w:rPr>
          <w:rFonts w:ascii="Times New Roman" w:hAnsi="Times New Roman" w:hint="eastAsia"/>
          <w:b/>
          <w:color w:val="FF0000"/>
          <w:sz w:val="36"/>
          <w:szCs w:val="36"/>
        </w:rPr>
        <w:t>北</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京</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京</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城</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机</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电</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股</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份</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有</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限</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公</w:t>
      </w:r>
      <w:r w:rsidRPr="00A449F3">
        <w:rPr>
          <w:rFonts w:ascii="Times New Roman" w:hAnsi="Times New Roman" w:hint="eastAsia"/>
          <w:b/>
          <w:color w:val="FF0000"/>
          <w:sz w:val="36"/>
          <w:szCs w:val="36"/>
        </w:rPr>
        <w:t xml:space="preserve"> </w:t>
      </w:r>
      <w:r w:rsidRPr="00A449F3">
        <w:rPr>
          <w:rFonts w:ascii="Times New Roman" w:hAnsi="Times New Roman" w:hint="eastAsia"/>
          <w:b/>
          <w:color w:val="FF0000"/>
          <w:sz w:val="36"/>
          <w:szCs w:val="36"/>
        </w:rPr>
        <w:t>司</w:t>
      </w:r>
    </w:p>
    <w:p w14:paraId="708BFD7C" w14:textId="77777777" w:rsidR="002867C8" w:rsidRPr="00A449F3" w:rsidRDefault="002867C8">
      <w:pPr>
        <w:adjustRightInd w:val="0"/>
        <w:snapToGrid w:val="0"/>
        <w:spacing w:line="460" w:lineRule="exact"/>
        <w:jc w:val="center"/>
        <w:rPr>
          <w:rFonts w:ascii="宋体" w:hAnsi="宋体" w:hint="eastAsia"/>
          <w:b/>
          <w:caps/>
          <w:color w:val="FF0000"/>
          <w:sz w:val="32"/>
          <w:szCs w:val="32"/>
        </w:rPr>
      </w:pPr>
      <w:r w:rsidRPr="00A449F3">
        <w:rPr>
          <w:rFonts w:ascii="宋体" w:hAnsi="宋体"/>
          <w:b/>
          <w:caps/>
          <w:color w:val="FF0000"/>
          <w:sz w:val="32"/>
          <w:szCs w:val="32"/>
        </w:rPr>
        <w:t>Beijing Jingcheng Machinery Electric Company Limited</w:t>
      </w:r>
    </w:p>
    <w:p w14:paraId="45885F01" w14:textId="77777777" w:rsidR="002867C8" w:rsidRPr="00A449F3" w:rsidRDefault="002867C8">
      <w:pPr>
        <w:adjustRightInd w:val="0"/>
        <w:snapToGrid w:val="0"/>
        <w:spacing w:line="460" w:lineRule="exact"/>
        <w:jc w:val="center"/>
        <w:rPr>
          <w:rFonts w:ascii="宋体" w:hAnsi="宋体" w:hint="eastAsia"/>
          <w:b/>
          <w:i/>
          <w:color w:val="FF0000"/>
          <w:sz w:val="32"/>
          <w:szCs w:val="32"/>
        </w:rPr>
      </w:pPr>
      <w:r w:rsidRPr="00A449F3">
        <w:rPr>
          <w:rFonts w:ascii="宋体" w:hAnsi="宋体" w:hint="eastAsia"/>
          <w:b/>
          <w:i/>
          <w:color w:val="FF0000"/>
          <w:sz w:val="32"/>
          <w:szCs w:val="32"/>
        </w:rPr>
        <w:t>(在中华人民共和国注册成立之股份有限公司)</w:t>
      </w:r>
    </w:p>
    <w:p w14:paraId="1BB18501" w14:textId="75B3D3D6" w:rsidR="000E60EA" w:rsidRPr="000E60EA" w:rsidRDefault="00220E8D" w:rsidP="000E60EA">
      <w:pPr>
        <w:jc w:val="center"/>
        <w:rPr>
          <w:rFonts w:ascii="Times New Roman" w:hAnsi="Times New Roman"/>
          <w:b/>
          <w:bCs/>
          <w:color w:val="FF0000"/>
          <w:sz w:val="32"/>
          <w:szCs w:val="32"/>
        </w:rPr>
      </w:pPr>
      <w:r>
        <w:rPr>
          <w:rFonts w:ascii="Times New Roman" w:hAnsi="Times New Roman" w:hint="eastAsia"/>
          <w:b/>
          <w:bCs/>
          <w:color w:val="FF0000"/>
          <w:sz w:val="32"/>
          <w:szCs w:val="32"/>
        </w:rPr>
        <w:t>关于</w:t>
      </w:r>
      <w:r w:rsidR="006F20D8">
        <w:rPr>
          <w:rFonts w:ascii="Times New Roman" w:hAnsi="Times New Roman" w:hint="eastAsia"/>
          <w:b/>
          <w:bCs/>
          <w:color w:val="FF0000"/>
          <w:sz w:val="32"/>
          <w:szCs w:val="32"/>
        </w:rPr>
        <w:t>公司</w:t>
      </w:r>
      <w:r>
        <w:rPr>
          <w:rFonts w:ascii="Times New Roman" w:hAnsi="Times New Roman" w:hint="eastAsia"/>
          <w:b/>
          <w:bCs/>
          <w:color w:val="FF0000"/>
          <w:sz w:val="32"/>
          <w:szCs w:val="32"/>
        </w:rPr>
        <w:t>A</w:t>
      </w:r>
      <w:r>
        <w:rPr>
          <w:rFonts w:ascii="Times New Roman" w:hAnsi="Times New Roman" w:hint="eastAsia"/>
          <w:b/>
          <w:bCs/>
          <w:color w:val="FF0000"/>
          <w:sz w:val="32"/>
          <w:szCs w:val="32"/>
        </w:rPr>
        <w:t>股</w:t>
      </w:r>
      <w:r w:rsidR="00D14AB6" w:rsidRPr="00D14AB6">
        <w:rPr>
          <w:rFonts w:ascii="Times New Roman" w:hAnsi="Times New Roman" w:hint="eastAsia"/>
          <w:b/>
          <w:bCs/>
          <w:color w:val="FF0000"/>
          <w:sz w:val="32"/>
          <w:szCs w:val="32"/>
        </w:rPr>
        <w:t>股票</w:t>
      </w:r>
      <w:r w:rsidR="00D04FEF" w:rsidRPr="00D04FEF">
        <w:rPr>
          <w:rFonts w:ascii="Times New Roman" w:hAnsi="Times New Roman"/>
          <w:b/>
          <w:bCs/>
          <w:color w:val="FF0000"/>
          <w:sz w:val="32"/>
          <w:szCs w:val="32"/>
        </w:rPr>
        <w:t>交易风险提示性公告</w:t>
      </w:r>
    </w:p>
    <w:p w14:paraId="04483076" w14:textId="2FEE0A7E" w:rsidR="002867C8" w:rsidRPr="007F4DE7" w:rsidRDefault="001C509E" w:rsidP="001C509E">
      <w:pPr>
        <w:pBdr>
          <w:top w:val="single" w:sz="4" w:space="1" w:color="auto"/>
          <w:left w:val="single" w:sz="4" w:space="4" w:color="auto"/>
          <w:bottom w:val="single" w:sz="4" w:space="7" w:color="auto"/>
          <w:right w:val="single" w:sz="4" w:space="4" w:color="auto"/>
        </w:pBdr>
        <w:autoSpaceDE w:val="0"/>
        <w:autoSpaceDN w:val="0"/>
        <w:spacing w:line="400" w:lineRule="exact"/>
        <w:ind w:firstLineChars="200" w:firstLine="480"/>
        <w:rPr>
          <w:rFonts w:ascii="宋体" w:hAnsi="宋体" w:hint="eastAsia"/>
          <w:bCs/>
          <w:color w:val="000000"/>
          <w:sz w:val="24"/>
          <w:szCs w:val="24"/>
        </w:rPr>
      </w:pPr>
      <w:r w:rsidRPr="007F4DE7">
        <w:rPr>
          <w:rFonts w:ascii="宋体" w:hAnsi="宋体" w:hint="eastAsia"/>
          <w:bCs/>
          <w:color w:val="000000"/>
          <w:sz w:val="24"/>
          <w:szCs w:val="24"/>
        </w:rPr>
        <w:t>本公司董事会及全体董事保证本公告内容不存在任何虚假记载、误导性陈述或者重大遗漏，并对其内容的真实性、准确性和完整性承担</w:t>
      </w:r>
      <w:r w:rsidR="008C0129" w:rsidRPr="007F4DE7">
        <w:rPr>
          <w:rFonts w:ascii="宋体" w:hAnsi="宋体" w:hint="eastAsia"/>
          <w:bCs/>
          <w:color w:val="000000"/>
          <w:sz w:val="24"/>
          <w:szCs w:val="24"/>
        </w:rPr>
        <w:t>法律</w:t>
      </w:r>
      <w:r w:rsidRPr="007F4DE7">
        <w:rPr>
          <w:rFonts w:ascii="宋体" w:hAnsi="宋体" w:hint="eastAsia"/>
          <w:bCs/>
          <w:color w:val="000000"/>
          <w:sz w:val="24"/>
          <w:szCs w:val="24"/>
        </w:rPr>
        <w:t xml:space="preserve">责任。   </w:t>
      </w:r>
    </w:p>
    <w:p w14:paraId="6077E214" w14:textId="77777777" w:rsidR="00376BE2" w:rsidRDefault="00376BE2" w:rsidP="00376BE2">
      <w:pPr>
        <w:spacing w:line="500" w:lineRule="exact"/>
        <w:ind w:firstLineChars="200" w:firstLine="480"/>
        <w:rPr>
          <w:rFonts w:ascii="Times New Roman" w:hAnsi="Times New Roman"/>
          <w:sz w:val="24"/>
          <w:szCs w:val="21"/>
        </w:rPr>
      </w:pPr>
    </w:p>
    <w:p w14:paraId="7228F07B" w14:textId="77777777" w:rsidR="00D14AB6" w:rsidRPr="00E37849" w:rsidRDefault="00D14AB6" w:rsidP="00E37849">
      <w:pPr>
        <w:spacing w:line="480" w:lineRule="exact"/>
        <w:ind w:firstLineChars="200" w:firstLine="482"/>
        <w:rPr>
          <w:rFonts w:ascii="Times New Roman" w:hAnsi="Times New Roman"/>
          <w:b/>
          <w:sz w:val="24"/>
          <w:szCs w:val="21"/>
        </w:rPr>
      </w:pPr>
      <w:r w:rsidRPr="00E37849">
        <w:rPr>
          <w:rFonts w:ascii="Times New Roman" w:hAnsi="Times New Roman" w:hint="eastAsia"/>
          <w:b/>
          <w:sz w:val="24"/>
          <w:szCs w:val="21"/>
        </w:rPr>
        <w:t>重要内容提示</w:t>
      </w:r>
    </w:p>
    <w:p w14:paraId="324B3FF5" w14:textId="10DA767B" w:rsidR="00730E7A" w:rsidRDefault="00657962" w:rsidP="003D7694">
      <w:pPr>
        <w:numPr>
          <w:ilvl w:val="0"/>
          <w:numId w:val="2"/>
        </w:numPr>
        <w:spacing w:line="480" w:lineRule="exact"/>
        <w:ind w:left="0" w:firstLine="426"/>
        <w:rPr>
          <w:rFonts w:ascii="Times New Roman" w:hAnsi="Times New Roman"/>
          <w:sz w:val="24"/>
          <w:szCs w:val="21"/>
        </w:rPr>
      </w:pPr>
      <w:r w:rsidRPr="003D7694">
        <w:rPr>
          <w:rFonts w:ascii="Times New Roman" w:hAnsi="Times New Roman" w:hint="eastAsia"/>
          <w:sz w:val="24"/>
          <w:szCs w:val="21"/>
        </w:rPr>
        <w:t xml:space="preserve"> </w:t>
      </w:r>
      <w:r w:rsidRPr="003D7694">
        <w:rPr>
          <w:rFonts w:ascii="Times New Roman" w:hAnsi="Times New Roman" w:hint="eastAsia"/>
          <w:sz w:val="24"/>
          <w:szCs w:val="21"/>
        </w:rPr>
        <w:t>北京京城机电股份有限公司（以下简称“公司”）</w:t>
      </w:r>
      <w:r w:rsidRPr="003D7694">
        <w:rPr>
          <w:rFonts w:ascii="Times New Roman" w:hAnsi="Times New Roman" w:hint="eastAsia"/>
          <w:sz w:val="24"/>
          <w:szCs w:val="21"/>
        </w:rPr>
        <w:t xml:space="preserve">A </w:t>
      </w:r>
      <w:r w:rsidRPr="003D7694">
        <w:rPr>
          <w:rFonts w:ascii="Times New Roman" w:hAnsi="Times New Roman" w:hint="eastAsia"/>
          <w:sz w:val="24"/>
          <w:szCs w:val="21"/>
        </w:rPr>
        <w:t>股股票价格</w:t>
      </w:r>
      <w:r w:rsidR="00D04FEF" w:rsidRPr="003D7694">
        <w:rPr>
          <w:rFonts w:ascii="Times New Roman" w:hAnsi="Times New Roman" w:hint="eastAsia"/>
          <w:sz w:val="24"/>
          <w:szCs w:val="21"/>
        </w:rPr>
        <w:t>股票于</w:t>
      </w:r>
      <w:r w:rsidR="00D04FEF" w:rsidRPr="003D7694">
        <w:rPr>
          <w:rFonts w:ascii="Times New Roman" w:hAnsi="Times New Roman" w:hint="eastAsia"/>
          <w:sz w:val="24"/>
          <w:szCs w:val="21"/>
        </w:rPr>
        <w:t>2026</w:t>
      </w:r>
      <w:r w:rsidR="00D04FEF" w:rsidRPr="003D7694">
        <w:rPr>
          <w:rFonts w:ascii="Times New Roman" w:hAnsi="Times New Roman" w:hint="eastAsia"/>
          <w:sz w:val="24"/>
          <w:szCs w:val="21"/>
        </w:rPr>
        <w:t>年</w:t>
      </w:r>
      <w:r w:rsidR="00D04FEF" w:rsidRPr="003D7694">
        <w:rPr>
          <w:rFonts w:ascii="Times New Roman" w:hAnsi="Times New Roman" w:hint="eastAsia"/>
          <w:sz w:val="24"/>
          <w:szCs w:val="21"/>
        </w:rPr>
        <w:t>10</w:t>
      </w:r>
      <w:r w:rsidR="00D04FEF" w:rsidRPr="003D7694">
        <w:rPr>
          <w:rFonts w:ascii="Times New Roman" w:hAnsi="Times New Roman" w:hint="eastAsia"/>
          <w:sz w:val="24"/>
          <w:szCs w:val="21"/>
        </w:rPr>
        <w:t>月</w:t>
      </w:r>
      <w:r w:rsidR="00D04FEF" w:rsidRPr="003D7694">
        <w:rPr>
          <w:rFonts w:ascii="Times New Roman" w:hAnsi="Times New Roman" w:hint="eastAsia"/>
          <w:sz w:val="24"/>
          <w:szCs w:val="21"/>
        </w:rPr>
        <w:t>16</w:t>
      </w:r>
      <w:r w:rsidR="00D04FEF" w:rsidRPr="003D7694">
        <w:rPr>
          <w:rFonts w:ascii="Times New Roman" w:hAnsi="Times New Roman" w:hint="eastAsia"/>
          <w:sz w:val="24"/>
          <w:szCs w:val="21"/>
        </w:rPr>
        <w:t>日、</w:t>
      </w:r>
      <w:r w:rsidR="00D04FEF" w:rsidRPr="003D7694">
        <w:rPr>
          <w:rFonts w:ascii="Times New Roman" w:hAnsi="Times New Roman" w:hint="eastAsia"/>
          <w:sz w:val="24"/>
          <w:szCs w:val="21"/>
        </w:rPr>
        <w:t>2026</w:t>
      </w:r>
      <w:r w:rsidR="00D04FEF" w:rsidRPr="003D7694">
        <w:rPr>
          <w:rFonts w:ascii="Times New Roman" w:hAnsi="Times New Roman" w:hint="eastAsia"/>
          <w:sz w:val="24"/>
          <w:szCs w:val="21"/>
        </w:rPr>
        <w:t>年</w:t>
      </w:r>
      <w:r w:rsidR="00D04FEF" w:rsidRPr="003D7694">
        <w:rPr>
          <w:rFonts w:ascii="Times New Roman" w:hAnsi="Times New Roman" w:hint="eastAsia"/>
          <w:sz w:val="24"/>
          <w:szCs w:val="21"/>
        </w:rPr>
        <w:t>10</w:t>
      </w:r>
      <w:r w:rsidR="00D04FEF" w:rsidRPr="003D7694">
        <w:rPr>
          <w:rFonts w:ascii="Times New Roman" w:hAnsi="Times New Roman" w:hint="eastAsia"/>
          <w:sz w:val="24"/>
          <w:szCs w:val="21"/>
        </w:rPr>
        <w:t>月</w:t>
      </w:r>
      <w:r w:rsidR="00D04FEF" w:rsidRPr="003D7694">
        <w:rPr>
          <w:rFonts w:ascii="Times New Roman" w:hAnsi="Times New Roman" w:hint="eastAsia"/>
          <w:sz w:val="24"/>
          <w:szCs w:val="21"/>
        </w:rPr>
        <w:t>19</w:t>
      </w:r>
      <w:r w:rsidR="00D04FEF" w:rsidRPr="003D7694">
        <w:rPr>
          <w:rFonts w:ascii="Times New Roman" w:hAnsi="Times New Roman" w:hint="eastAsia"/>
          <w:sz w:val="24"/>
          <w:szCs w:val="21"/>
        </w:rPr>
        <w:t>日连续</w:t>
      </w:r>
      <w:r w:rsidR="00D04FEF" w:rsidRPr="003D7694">
        <w:rPr>
          <w:rFonts w:ascii="Times New Roman" w:hAnsi="Times New Roman" w:hint="eastAsia"/>
          <w:sz w:val="24"/>
          <w:szCs w:val="21"/>
        </w:rPr>
        <w:t>2</w:t>
      </w:r>
      <w:r w:rsidR="00D04FEF" w:rsidRPr="003D7694">
        <w:rPr>
          <w:rFonts w:ascii="Times New Roman" w:hAnsi="Times New Roman" w:hint="eastAsia"/>
          <w:sz w:val="24"/>
          <w:szCs w:val="21"/>
        </w:rPr>
        <w:t>个交易日内收盘价格涨幅偏离值累计超过</w:t>
      </w:r>
      <w:r w:rsidR="00D04FEF" w:rsidRPr="003D7694">
        <w:rPr>
          <w:rFonts w:ascii="Times New Roman" w:hAnsi="Times New Roman" w:hint="eastAsia"/>
          <w:sz w:val="24"/>
          <w:szCs w:val="21"/>
        </w:rPr>
        <w:t>20%</w:t>
      </w:r>
      <w:r w:rsidR="00D04FEF" w:rsidRPr="003D7694">
        <w:rPr>
          <w:rFonts w:ascii="Times New Roman" w:hAnsi="Times New Roman" w:hint="eastAsia"/>
          <w:sz w:val="24"/>
          <w:szCs w:val="21"/>
        </w:rPr>
        <w:t>。公司已于</w:t>
      </w:r>
      <w:r w:rsidR="00D04FEF" w:rsidRPr="003D7694">
        <w:rPr>
          <w:rFonts w:ascii="Times New Roman" w:hAnsi="Times New Roman" w:hint="eastAsia"/>
          <w:sz w:val="24"/>
          <w:szCs w:val="21"/>
        </w:rPr>
        <w:t xml:space="preserve">2026 </w:t>
      </w:r>
      <w:r w:rsidR="00D04FEF" w:rsidRPr="003D7694">
        <w:rPr>
          <w:rFonts w:ascii="Times New Roman" w:hAnsi="Times New Roman" w:hint="eastAsia"/>
          <w:sz w:val="24"/>
          <w:szCs w:val="21"/>
        </w:rPr>
        <w:t>年</w:t>
      </w:r>
      <w:r w:rsidR="00D04FEF" w:rsidRPr="003D7694">
        <w:rPr>
          <w:rFonts w:ascii="Times New Roman" w:hAnsi="Times New Roman" w:hint="eastAsia"/>
          <w:sz w:val="24"/>
          <w:szCs w:val="21"/>
        </w:rPr>
        <w:t>10</w:t>
      </w:r>
      <w:r w:rsidR="00D04FEF" w:rsidRPr="003D7694">
        <w:rPr>
          <w:rFonts w:ascii="Times New Roman" w:hAnsi="Times New Roman" w:hint="eastAsia"/>
          <w:sz w:val="24"/>
          <w:szCs w:val="21"/>
        </w:rPr>
        <w:t>月</w:t>
      </w:r>
      <w:r w:rsidR="00D04FEF" w:rsidRPr="003D7694">
        <w:rPr>
          <w:rFonts w:ascii="Times New Roman" w:hAnsi="Times New Roman" w:hint="eastAsia"/>
          <w:sz w:val="24"/>
          <w:szCs w:val="21"/>
        </w:rPr>
        <w:t>20</w:t>
      </w:r>
      <w:r w:rsidR="00D04FEF" w:rsidRPr="003D7694">
        <w:rPr>
          <w:rFonts w:ascii="Times New Roman" w:hAnsi="Times New Roman" w:hint="eastAsia"/>
          <w:sz w:val="24"/>
          <w:szCs w:val="21"/>
        </w:rPr>
        <w:t>日披露了《北京京城机电股份有限公司</w:t>
      </w:r>
      <w:r w:rsidR="00D04FEF" w:rsidRPr="003D7694">
        <w:rPr>
          <w:rFonts w:ascii="Times New Roman" w:hAnsi="Times New Roman"/>
          <w:sz w:val="24"/>
          <w:szCs w:val="21"/>
        </w:rPr>
        <w:t>关于公司</w:t>
      </w:r>
      <w:r w:rsidR="00D04FEF" w:rsidRPr="003D7694">
        <w:rPr>
          <w:rFonts w:ascii="Times New Roman" w:hAnsi="Times New Roman"/>
          <w:sz w:val="24"/>
          <w:szCs w:val="21"/>
        </w:rPr>
        <w:t>A</w:t>
      </w:r>
      <w:r w:rsidR="00D04FEF" w:rsidRPr="003D7694">
        <w:rPr>
          <w:rFonts w:ascii="Times New Roman" w:hAnsi="Times New Roman"/>
          <w:sz w:val="24"/>
          <w:szCs w:val="21"/>
        </w:rPr>
        <w:t>股股票交易异常波动公告</w:t>
      </w:r>
      <w:r w:rsidR="00D04FEF" w:rsidRPr="003D7694">
        <w:rPr>
          <w:rFonts w:ascii="Times New Roman" w:hAnsi="Times New Roman" w:hint="eastAsia"/>
          <w:sz w:val="24"/>
          <w:szCs w:val="21"/>
        </w:rPr>
        <w:t>》（公告编号：</w:t>
      </w:r>
      <w:r w:rsidR="00D04FEF" w:rsidRPr="003D7694">
        <w:rPr>
          <w:rFonts w:ascii="Times New Roman" w:hAnsi="Times New Roman" w:hint="eastAsia"/>
          <w:sz w:val="24"/>
          <w:szCs w:val="21"/>
        </w:rPr>
        <w:t>2026-025</w:t>
      </w:r>
      <w:r w:rsidR="00D04FEF" w:rsidRPr="003D7694">
        <w:rPr>
          <w:rFonts w:ascii="Times New Roman" w:hAnsi="Times New Roman" w:hint="eastAsia"/>
          <w:sz w:val="24"/>
          <w:szCs w:val="21"/>
        </w:rPr>
        <w:t>）。</w:t>
      </w:r>
      <w:r w:rsidR="00D04FEF" w:rsidRPr="003D7694">
        <w:rPr>
          <w:rFonts w:ascii="Times New Roman" w:hAnsi="Times New Roman" w:hint="eastAsia"/>
          <w:sz w:val="24"/>
          <w:szCs w:val="21"/>
        </w:rPr>
        <w:t xml:space="preserve">2026 </w:t>
      </w:r>
      <w:r w:rsidR="00D04FEF" w:rsidRPr="003D7694">
        <w:rPr>
          <w:rFonts w:ascii="Times New Roman" w:hAnsi="Times New Roman" w:hint="eastAsia"/>
          <w:sz w:val="24"/>
          <w:szCs w:val="21"/>
        </w:rPr>
        <w:t>年</w:t>
      </w:r>
      <w:r w:rsidR="00D04FEF" w:rsidRPr="003D7694">
        <w:rPr>
          <w:rFonts w:ascii="Times New Roman" w:hAnsi="Times New Roman" w:hint="eastAsia"/>
          <w:sz w:val="24"/>
          <w:szCs w:val="21"/>
        </w:rPr>
        <w:t>10</w:t>
      </w:r>
      <w:r w:rsidR="00D04FEF" w:rsidRPr="003D7694">
        <w:rPr>
          <w:rFonts w:ascii="Times New Roman" w:hAnsi="Times New Roman" w:hint="eastAsia"/>
          <w:sz w:val="24"/>
          <w:szCs w:val="21"/>
        </w:rPr>
        <w:t>月</w:t>
      </w:r>
      <w:r w:rsidR="00D04FEF" w:rsidRPr="003D7694">
        <w:rPr>
          <w:rFonts w:ascii="Times New Roman" w:hAnsi="Times New Roman" w:hint="eastAsia"/>
          <w:sz w:val="24"/>
          <w:szCs w:val="21"/>
        </w:rPr>
        <w:t>20</w:t>
      </w:r>
      <w:r w:rsidR="00D04FEF" w:rsidRPr="003D7694">
        <w:rPr>
          <w:rFonts w:ascii="Times New Roman" w:hAnsi="Times New Roman" w:hint="eastAsia"/>
          <w:sz w:val="24"/>
          <w:szCs w:val="21"/>
        </w:rPr>
        <w:t>日，公司股票交易再次以涨停价收盘，</w:t>
      </w:r>
      <w:r w:rsidR="00882E52" w:rsidRPr="00882E52">
        <w:rPr>
          <w:rFonts w:ascii="Times New Roman" w:hAnsi="Times New Roman"/>
          <w:sz w:val="24"/>
          <w:szCs w:val="21"/>
        </w:rPr>
        <w:t>近</w:t>
      </w:r>
      <w:r w:rsidR="00882E52" w:rsidRPr="00882E52">
        <w:rPr>
          <w:rFonts w:ascii="Times New Roman" w:hAnsi="Times New Roman"/>
          <w:sz w:val="24"/>
          <w:szCs w:val="21"/>
        </w:rPr>
        <w:t>3</w:t>
      </w:r>
      <w:r w:rsidR="00882E52" w:rsidRPr="00882E52">
        <w:rPr>
          <w:rFonts w:ascii="Times New Roman" w:hAnsi="Times New Roman"/>
          <w:sz w:val="24"/>
          <w:szCs w:val="21"/>
        </w:rPr>
        <w:t>个交易日累计涨幅</w:t>
      </w:r>
      <w:r w:rsidR="009D7969">
        <w:rPr>
          <w:rFonts w:ascii="Times New Roman" w:hAnsi="Times New Roman" w:hint="eastAsia"/>
          <w:sz w:val="24"/>
          <w:szCs w:val="21"/>
        </w:rPr>
        <w:t>33.10</w:t>
      </w:r>
      <w:r w:rsidR="00882E52" w:rsidRPr="00882E52">
        <w:rPr>
          <w:rFonts w:ascii="Times New Roman" w:hAnsi="Times New Roman"/>
          <w:sz w:val="24"/>
          <w:szCs w:val="21"/>
        </w:rPr>
        <w:t>%</w:t>
      </w:r>
      <w:r w:rsidR="00882E52" w:rsidRPr="00882E52">
        <w:rPr>
          <w:rFonts w:ascii="Times New Roman" w:hAnsi="Times New Roman"/>
          <w:sz w:val="24"/>
          <w:szCs w:val="21"/>
        </w:rPr>
        <w:t>，</w:t>
      </w:r>
      <w:r w:rsidR="00D04FEF" w:rsidRPr="003D7694">
        <w:rPr>
          <w:rFonts w:ascii="Times New Roman" w:hAnsi="Times New Roman" w:hint="eastAsia"/>
          <w:sz w:val="24"/>
          <w:szCs w:val="21"/>
        </w:rPr>
        <w:t>股票价格短期波动较大，可能存在非理性炒作等情形。</w:t>
      </w:r>
      <w:r w:rsidR="004A4DBF" w:rsidRPr="003D7694">
        <w:rPr>
          <w:rFonts w:ascii="Times New Roman" w:hAnsi="Times New Roman" w:hint="eastAsia"/>
          <w:sz w:val="24"/>
          <w:szCs w:val="21"/>
        </w:rPr>
        <w:t>敬请广大投资者注意二级市场交易风险，理性决策，审慎投资。</w:t>
      </w:r>
    </w:p>
    <w:p w14:paraId="39C154BD" w14:textId="770901C0" w:rsidR="00730E7A" w:rsidRDefault="00352CC5" w:rsidP="00730E7A">
      <w:pPr>
        <w:numPr>
          <w:ilvl w:val="0"/>
          <w:numId w:val="2"/>
        </w:numPr>
        <w:spacing w:line="480" w:lineRule="exact"/>
        <w:ind w:left="0" w:firstLine="426"/>
        <w:rPr>
          <w:rFonts w:ascii="Times New Roman" w:hAnsi="Times New Roman"/>
          <w:sz w:val="24"/>
          <w:szCs w:val="21"/>
        </w:rPr>
      </w:pPr>
      <w:r w:rsidRPr="00352CC5">
        <w:rPr>
          <w:rFonts w:ascii="Times New Roman" w:hAnsi="Times New Roman"/>
          <w:sz w:val="24"/>
          <w:szCs w:val="21"/>
        </w:rPr>
        <w:t>2026</w:t>
      </w:r>
      <w:r w:rsidRPr="00352CC5">
        <w:rPr>
          <w:rFonts w:ascii="Times New Roman" w:hAnsi="Times New Roman"/>
          <w:sz w:val="24"/>
          <w:szCs w:val="21"/>
        </w:rPr>
        <w:t>年</w:t>
      </w:r>
      <w:r w:rsidRPr="00352CC5">
        <w:rPr>
          <w:rFonts w:ascii="Times New Roman" w:hAnsi="Times New Roman"/>
          <w:sz w:val="24"/>
          <w:szCs w:val="21"/>
        </w:rPr>
        <w:t>10</w:t>
      </w:r>
      <w:r w:rsidRPr="00352CC5">
        <w:rPr>
          <w:rFonts w:ascii="Times New Roman" w:hAnsi="Times New Roman"/>
          <w:sz w:val="24"/>
          <w:szCs w:val="21"/>
        </w:rPr>
        <w:t>月</w:t>
      </w:r>
      <w:r w:rsidRPr="00352CC5">
        <w:rPr>
          <w:rFonts w:ascii="Times New Roman" w:hAnsi="Times New Roman"/>
          <w:sz w:val="24"/>
          <w:szCs w:val="21"/>
        </w:rPr>
        <w:t>16</w:t>
      </w:r>
      <w:r w:rsidRPr="00352CC5">
        <w:rPr>
          <w:rFonts w:ascii="Times New Roman" w:hAnsi="Times New Roman"/>
          <w:sz w:val="24"/>
          <w:szCs w:val="21"/>
        </w:rPr>
        <w:t>日至</w:t>
      </w:r>
      <w:r w:rsidRPr="00352CC5">
        <w:rPr>
          <w:rFonts w:ascii="Times New Roman" w:hAnsi="Times New Roman"/>
          <w:sz w:val="24"/>
          <w:szCs w:val="21"/>
        </w:rPr>
        <w:t>2026</w:t>
      </w:r>
      <w:r w:rsidRPr="00352CC5">
        <w:rPr>
          <w:rFonts w:ascii="Times New Roman" w:hAnsi="Times New Roman"/>
          <w:sz w:val="24"/>
          <w:szCs w:val="21"/>
        </w:rPr>
        <w:t>年</w:t>
      </w:r>
      <w:r w:rsidRPr="00352CC5">
        <w:rPr>
          <w:rFonts w:ascii="Times New Roman" w:hAnsi="Times New Roman"/>
          <w:sz w:val="24"/>
          <w:szCs w:val="21"/>
        </w:rPr>
        <w:t>10</w:t>
      </w:r>
      <w:r w:rsidRPr="00352CC5">
        <w:rPr>
          <w:rFonts w:ascii="Times New Roman" w:hAnsi="Times New Roman"/>
          <w:sz w:val="24"/>
          <w:szCs w:val="21"/>
        </w:rPr>
        <w:t>月</w:t>
      </w:r>
      <w:r w:rsidRPr="00352CC5">
        <w:rPr>
          <w:rFonts w:ascii="Times New Roman" w:hAnsi="Times New Roman"/>
          <w:sz w:val="24"/>
          <w:szCs w:val="21"/>
        </w:rPr>
        <w:t>20</w:t>
      </w:r>
      <w:r w:rsidRPr="00352CC5">
        <w:rPr>
          <w:rFonts w:ascii="Times New Roman" w:hAnsi="Times New Roman"/>
          <w:sz w:val="24"/>
          <w:szCs w:val="21"/>
        </w:rPr>
        <w:t>日，公司股票</w:t>
      </w:r>
      <w:r>
        <w:rPr>
          <w:rFonts w:ascii="Times New Roman" w:hAnsi="Times New Roman" w:hint="eastAsia"/>
          <w:sz w:val="24"/>
          <w:szCs w:val="21"/>
        </w:rPr>
        <w:t>累计</w:t>
      </w:r>
      <w:r w:rsidRPr="00352CC5">
        <w:rPr>
          <w:rFonts w:ascii="Times New Roman" w:hAnsi="Times New Roman"/>
          <w:sz w:val="24"/>
          <w:szCs w:val="21"/>
        </w:rPr>
        <w:t>换手率</w:t>
      </w:r>
      <w:r>
        <w:rPr>
          <w:rFonts w:ascii="Times New Roman" w:hAnsi="Times New Roman" w:hint="eastAsia"/>
          <w:sz w:val="24"/>
          <w:szCs w:val="21"/>
        </w:rPr>
        <w:t>为</w:t>
      </w:r>
      <w:r w:rsidR="00046B80">
        <w:rPr>
          <w:rFonts w:ascii="Times New Roman" w:hAnsi="Times New Roman" w:hint="eastAsia"/>
          <w:sz w:val="24"/>
          <w:szCs w:val="21"/>
        </w:rPr>
        <w:t>17.65</w:t>
      </w:r>
      <w:r>
        <w:rPr>
          <w:rFonts w:ascii="Times New Roman" w:hAnsi="Times New Roman" w:hint="eastAsia"/>
          <w:sz w:val="24"/>
          <w:szCs w:val="21"/>
        </w:rPr>
        <w:t>%</w:t>
      </w:r>
      <w:r>
        <w:rPr>
          <w:rFonts w:ascii="Times New Roman" w:hAnsi="Times New Roman" w:hint="eastAsia"/>
          <w:sz w:val="24"/>
          <w:szCs w:val="21"/>
        </w:rPr>
        <w:t>，</w:t>
      </w:r>
      <w:r w:rsidR="00730E7A" w:rsidRPr="00730E7A">
        <w:rPr>
          <w:rFonts w:ascii="Times New Roman" w:hAnsi="Times New Roman"/>
          <w:sz w:val="24"/>
          <w:szCs w:val="21"/>
        </w:rPr>
        <w:t>2026</w:t>
      </w:r>
      <w:r w:rsidR="00730E7A" w:rsidRPr="00730E7A">
        <w:rPr>
          <w:rFonts w:ascii="Times New Roman" w:hAnsi="Times New Roman"/>
          <w:sz w:val="24"/>
          <w:szCs w:val="21"/>
        </w:rPr>
        <w:t>年</w:t>
      </w:r>
      <w:r w:rsidR="00730E7A" w:rsidRPr="00730E7A">
        <w:rPr>
          <w:rFonts w:ascii="Times New Roman" w:hAnsi="Times New Roman"/>
          <w:sz w:val="24"/>
          <w:szCs w:val="21"/>
        </w:rPr>
        <w:t>10</w:t>
      </w:r>
      <w:r w:rsidR="00730E7A" w:rsidRPr="00730E7A">
        <w:rPr>
          <w:rFonts w:ascii="Times New Roman" w:hAnsi="Times New Roman"/>
          <w:sz w:val="24"/>
          <w:szCs w:val="21"/>
        </w:rPr>
        <w:t>月</w:t>
      </w:r>
      <w:r w:rsidR="00730E7A">
        <w:rPr>
          <w:rFonts w:ascii="Times New Roman" w:hAnsi="Times New Roman" w:hint="eastAsia"/>
          <w:sz w:val="24"/>
          <w:szCs w:val="21"/>
        </w:rPr>
        <w:t>20</w:t>
      </w:r>
      <w:r w:rsidR="00730E7A" w:rsidRPr="00730E7A">
        <w:rPr>
          <w:rFonts w:ascii="Times New Roman" w:hAnsi="Times New Roman"/>
          <w:sz w:val="24"/>
          <w:szCs w:val="21"/>
        </w:rPr>
        <w:t>日，公司股票换手率为</w:t>
      </w:r>
      <w:r w:rsidR="00730E7A">
        <w:rPr>
          <w:rFonts w:ascii="Times New Roman" w:hAnsi="Times New Roman" w:hint="eastAsia"/>
          <w:sz w:val="24"/>
          <w:szCs w:val="21"/>
        </w:rPr>
        <w:t>11.49</w:t>
      </w:r>
      <w:r w:rsidR="00730E7A" w:rsidRPr="00730E7A">
        <w:rPr>
          <w:rFonts w:ascii="Times New Roman" w:hAnsi="Times New Roman"/>
          <w:sz w:val="24"/>
          <w:szCs w:val="21"/>
        </w:rPr>
        <w:t>%</w:t>
      </w:r>
      <w:r w:rsidR="00730E7A" w:rsidRPr="00730E7A">
        <w:rPr>
          <w:rFonts w:ascii="Times New Roman" w:hAnsi="Times New Roman"/>
          <w:sz w:val="24"/>
          <w:szCs w:val="21"/>
        </w:rPr>
        <w:t>，明显高于公司日常换手率。</w:t>
      </w:r>
      <w:r w:rsidR="00730E7A" w:rsidRPr="003D7694">
        <w:rPr>
          <w:rFonts w:ascii="Times New Roman" w:hAnsi="Times New Roman" w:hint="eastAsia"/>
          <w:sz w:val="24"/>
          <w:szCs w:val="21"/>
        </w:rPr>
        <w:t>根据</w:t>
      </w:r>
      <w:r w:rsidR="00730E7A" w:rsidRPr="003D7694">
        <w:rPr>
          <w:rFonts w:ascii="Times New Roman" w:hAnsi="Times New Roman"/>
          <w:sz w:val="24"/>
          <w:szCs w:val="21"/>
        </w:rPr>
        <w:t>中证指数有限公司官方网站发布</w:t>
      </w:r>
      <w:r w:rsidR="00730E7A" w:rsidRPr="003D7694">
        <w:rPr>
          <w:rFonts w:ascii="Times New Roman" w:hAnsi="Times New Roman" w:hint="eastAsia"/>
          <w:sz w:val="24"/>
          <w:szCs w:val="21"/>
        </w:rPr>
        <w:t>的截至</w:t>
      </w:r>
      <w:r w:rsidR="00730E7A" w:rsidRPr="003D7694">
        <w:rPr>
          <w:rFonts w:ascii="Times New Roman" w:hAnsi="Times New Roman" w:hint="eastAsia"/>
          <w:sz w:val="24"/>
          <w:szCs w:val="21"/>
        </w:rPr>
        <w:t>2026</w:t>
      </w:r>
      <w:r w:rsidR="00730E7A" w:rsidRPr="003D7694">
        <w:rPr>
          <w:rFonts w:ascii="Times New Roman" w:hAnsi="Times New Roman" w:hint="eastAsia"/>
          <w:sz w:val="24"/>
          <w:szCs w:val="21"/>
        </w:rPr>
        <w:t>年</w:t>
      </w:r>
      <w:r w:rsidR="00730E7A" w:rsidRPr="003D7694">
        <w:rPr>
          <w:rFonts w:ascii="Times New Roman" w:hAnsi="Times New Roman" w:hint="eastAsia"/>
          <w:sz w:val="24"/>
          <w:szCs w:val="21"/>
        </w:rPr>
        <w:t>10</w:t>
      </w:r>
      <w:r w:rsidR="00730E7A" w:rsidRPr="003D7694">
        <w:rPr>
          <w:rFonts w:ascii="Times New Roman" w:hAnsi="Times New Roman" w:hint="eastAsia"/>
          <w:sz w:val="24"/>
          <w:szCs w:val="21"/>
        </w:rPr>
        <w:t>月</w:t>
      </w:r>
      <w:r w:rsidR="00120FFC">
        <w:rPr>
          <w:rFonts w:ascii="Times New Roman" w:hAnsi="Times New Roman" w:hint="eastAsia"/>
          <w:sz w:val="24"/>
          <w:szCs w:val="21"/>
        </w:rPr>
        <w:t>20</w:t>
      </w:r>
      <w:r w:rsidR="00730E7A" w:rsidRPr="003D7694">
        <w:rPr>
          <w:rFonts w:ascii="Times New Roman" w:hAnsi="Times New Roman" w:hint="eastAsia"/>
          <w:sz w:val="24"/>
          <w:szCs w:val="21"/>
        </w:rPr>
        <w:t>日的数据，公司所属的行业分类“</w:t>
      </w:r>
      <w:r w:rsidR="00730E7A" w:rsidRPr="003D7694">
        <w:rPr>
          <w:rFonts w:ascii="Times New Roman" w:hAnsi="Times New Roman" w:hint="eastAsia"/>
          <w:sz w:val="24"/>
          <w:szCs w:val="21"/>
        </w:rPr>
        <w:t xml:space="preserve">C35 </w:t>
      </w:r>
      <w:r w:rsidR="00730E7A" w:rsidRPr="003D7694">
        <w:rPr>
          <w:rFonts w:ascii="Times New Roman" w:hAnsi="Times New Roman" w:hint="eastAsia"/>
          <w:sz w:val="24"/>
          <w:szCs w:val="21"/>
        </w:rPr>
        <w:t>专用设备制造”最新</w:t>
      </w:r>
      <w:r w:rsidR="00730E7A">
        <w:rPr>
          <w:rFonts w:ascii="Times New Roman" w:hAnsi="Times New Roman" w:hint="eastAsia"/>
          <w:sz w:val="24"/>
          <w:szCs w:val="21"/>
        </w:rPr>
        <w:t>市净率</w:t>
      </w:r>
      <w:r w:rsidR="00730E7A" w:rsidRPr="003D7694">
        <w:rPr>
          <w:rFonts w:ascii="Times New Roman" w:hAnsi="Times New Roman" w:hint="eastAsia"/>
          <w:sz w:val="24"/>
          <w:szCs w:val="21"/>
        </w:rPr>
        <w:t>为</w:t>
      </w:r>
      <w:r w:rsidR="00730E7A">
        <w:rPr>
          <w:rFonts w:ascii="Times New Roman" w:hAnsi="Times New Roman" w:hint="eastAsia"/>
          <w:sz w:val="24"/>
          <w:szCs w:val="21"/>
        </w:rPr>
        <w:t>3.4</w:t>
      </w:r>
      <w:r w:rsidR="00120FFC">
        <w:rPr>
          <w:rFonts w:ascii="Times New Roman" w:hAnsi="Times New Roman" w:hint="eastAsia"/>
          <w:sz w:val="24"/>
          <w:szCs w:val="21"/>
        </w:rPr>
        <w:t>7</w:t>
      </w:r>
      <w:r w:rsidR="00730E7A" w:rsidRPr="003D7694">
        <w:rPr>
          <w:rFonts w:ascii="Times New Roman" w:hAnsi="Times New Roman" w:hint="eastAsia"/>
          <w:sz w:val="24"/>
          <w:szCs w:val="21"/>
        </w:rPr>
        <w:t>，</w:t>
      </w:r>
      <w:r w:rsidR="00730E7A" w:rsidRPr="003D7694">
        <w:rPr>
          <w:rFonts w:ascii="Times New Roman" w:hAnsi="Times New Roman"/>
          <w:sz w:val="24"/>
          <w:szCs w:val="21"/>
        </w:rPr>
        <w:t>公司最新</w:t>
      </w:r>
      <w:r w:rsidR="00730E7A">
        <w:rPr>
          <w:rFonts w:ascii="Times New Roman" w:hAnsi="Times New Roman" w:hint="eastAsia"/>
          <w:sz w:val="24"/>
          <w:szCs w:val="21"/>
        </w:rPr>
        <w:t>市净率</w:t>
      </w:r>
      <w:r w:rsidR="00730E7A" w:rsidRPr="003D7694">
        <w:rPr>
          <w:rFonts w:ascii="Times New Roman" w:hAnsi="Times New Roman"/>
          <w:sz w:val="24"/>
          <w:szCs w:val="21"/>
        </w:rPr>
        <w:t>为</w:t>
      </w:r>
      <w:r w:rsidR="00120FFC">
        <w:rPr>
          <w:rFonts w:ascii="Times New Roman" w:hAnsi="Times New Roman" w:hint="eastAsia"/>
          <w:sz w:val="24"/>
          <w:szCs w:val="21"/>
        </w:rPr>
        <w:t>6.57</w:t>
      </w:r>
      <w:r w:rsidR="00730E7A" w:rsidRPr="003D7694">
        <w:rPr>
          <w:rFonts w:ascii="Times New Roman" w:hAnsi="Times New Roman" w:hint="eastAsia"/>
          <w:sz w:val="24"/>
          <w:szCs w:val="21"/>
        </w:rPr>
        <w:t>，显著高于同行业水平。敬请广大投资者注意二级市场交易风险，理性决策，审慎投资。</w:t>
      </w:r>
    </w:p>
    <w:p w14:paraId="4CBB9CB7" w14:textId="54F3ACCF" w:rsidR="008478F3" w:rsidRPr="000A7F8E" w:rsidRDefault="008478F3" w:rsidP="008478F3">
      <w:pPr>
        <w:numPr>
          <w:ilvl w:val="0"/>
          <w:numId w:val="2"/>
        </w:numPr>
        <w:spacing w:line="480" w:lineRule="exact"/>
        <w:ind w:left="0" w:firstLine="426"/>
        <w:rPr>
          <w:rFonts w:ascii="Times New Roman" w:hAnsi="Times New Roman"/>
          <w:sz w:val="24"/>
          <w:szCs w:val="21"/>
        </w:rPr>
      </w:pPr>
      <w:r w:rsidRPr="001915D6">
        <w:rPr>
          <w:rFonts w:ascii="Times New Roman" w:hAnsi="Times New Roman" w:hint="eastAsia"/>
          <w:sz w:val="24"/>
          <w:szCs w:val="21"/>
        </w:rPr>
        <w:t>公司主营业务</w:t>
      </w:r>
      <w:r w:rsidRPr="001915D6">
        <w:rPr>
          <w:rFonts w:ascii="Times New Roman" w:hAnsi="Times New Roman"/>
          <w:sz w:val="24"/>
          <w:szCs w:val="21"/>
        </w:rPr>
        <w:t>未发生变化，仍</w:t>
      </w:r>
      <w:r w:rsidRPr="001915D6">
        <w:rPr>
          <w:rFonts w:ascii="Times New Roman" w:hAnsi="Times New Roman" w:hint="eastAsia"/>
          <w:sz w:val="24"/>
          <w:szCs w:val="21"/>
        </w:rPr>
        <w:t>为装备制造。</w:t>
      </w:r>
      <w:r w:rsidR="000A7F8E" w:rsidRPr="000A7F8E">
        <w:rPr>
          <w:rFonts w:ascii="Times New Roman" w:hAnsi="Times New Roman"/>
          <w:sz w:val="24"/>
          <w:szCs w:val="21"/>
        </w:rPr>
        <w:t>公司在新产品研发及产业链布局等方面持续加大研发费用投入，叠加汇率波动产生的汇兑损失等因素影响，公司</w:t>
      </w:r>
      <w:r w:rsidR="000A7F8E" w:rsidRPr="000A7F8E">
        <w:rPr>
          <w:rFonts w:ascii="Times New Roman" w:hAnsi="Times New Roman"/>
          <w:sz w:val="24"/>
          <w:szCs w:val="21"/>
        </w:rPr>
        <w:t>2026</w:t>
      </w:r>
      <w:r w:rsidR="000A7F8E" w:rsidRPr="000A7F8E">
        <w:rPr>
          <w:rFonts w:ascii="Times New Roman" w:hAnsi="Times New Roman"/>
          <w:sz w:val="24"/>
          <w:szCs w:val="21"/>
        </w:rPr>
        <w:t>年半年度实现归属于上市公司股东的净利润约为人民币</w:t>
      </w:r>
      <w:r w:rsidR="000A7F8E" w:rsidRPr="000A7F8E">
        <w:rPr>
          <w:rFonts w:ascii="Times New Roman" w:hAnsi="Times New Roman"/>
          <w:sz w:val="24"/>
          <w:szCs w:val="21"/>
        </w:rPr>
        <w:t>-6,263.39</w:t>
      </w:r>
      <w:r w:rsidR="000A7F8E" w:rsidRPr="000A7F8E">
        <w:rPr>
          <w:rFonts w:ascii="Times New Roman" w:hAnsi="Times New Roman"/>
          <w:sz w:val="24"/>
          <w:szCs w:val="21"/>
        </w:rPr>
        <w:t>万元，实现归属于上市公司股东的扣除非经常性损益的净利润约为人民币</w:t>
      </w:r>
      <w:r w:rsidR="000A7F8E" w:rsidRPr="000A7F8E">
        <w:rPr>
          <w:rFonts w:ascii="Times New Roman" w:hAnsi="Times New Roman"/>
          <w:sz w:val="24"/>
          <w:szCs w:val="21"/>
        </w:rPr>
        <w:t>-6,764.42</w:t>
      </w:r>
      <w:r w:rsidR="000A7F8E" w:rsidRPr="000A7F8E">
        <w:rPr>
          <w:rFonts w:ascii="Times New Roman" w:hAnsi="Times New Roman"/>
          <w:sz w:val="24"/>
          <w:szCs w:val="21"/>
        </w:rPr>
        <w:t>万元。</w:t>
      </w:r>
      <w:r w:rsidRPr="001915D6">
        <w:rPr>
          <w:rFonts w:ascii="Times New Roman" w:hAnsi="Times New Roman"/>
          <w:sz w:val="24"/>
          <w:szCs w:val="24"/>
        </w:rPr>
        <w:t>敬请广大投资者理性决策，注意二级市场交易风险。</w:t>
      </w:r>
    </w:p>
    <w:p w14:paraId="5F9CEC50" w14:textId="6F423E23" w:rsidR="000A7F8E" w:rsidRPr="001915D6" w:rsidRDefault="000A7F8E" w:rsidP="008478F3">
      <w:pPr>
        <w:numPr>
          <w:ilvl w:val="0"/>
          <w:numId w:val="2"/>
        </w:numPr>
        <w:spacing w:line="480" w:lineRule="exact"/>
        <w:ind w:left="0" w:firstLine="426"/>
        <w:rPr>
          <w:rFonts w:ascii="Times New Roman" w:hAnsi="Times New Roman"/>
          <w:sz w:val="24"/>
          <w:szCs w:val="21"/>
        </w:rPr>
      </w:pPr>
      <w:r w:rsidRPr="000A7F8E">
        <w:rPr>
          <w:rFonts w:ascii="Times New Roman" w:hAnsi="Times New Roman"/>
          <w:sz w:val="24"/>
          <w:szCs w:val="21"/>
        </w:rPr>
        <w:lastRenderedPageBreak/>
        <w:t>公司控股子公司青岛北洋天青数联智能有限公司</w:t>
      </w:r>
      <w:r w:rsidR="00A75B36" w:rsidRPr="00657962">
        <w:rPr>
          <w:rFonts w:ascii="Times New Roman" w:hAnsi="Times New Roman" w:hint="eastAsia"/>
          <w:sz w:val="24"/>
          <w:szCs w:val="21"/>
        </w:rPr>
        <w:t>（以下简称“</w:t>
      </w:r>
      <w:r w:rsidR="00A75B36">
        <w:rPr>
          <w:rFonts w:ascii="Times New Roman" w:hAnsi="Times New Roman" w:hint="eastAsia"/>
          <w:sz w:val="24"/>
          <w:szCs w:val="21"/>
        </w:rPr>
        <w:t>北洋天青</w:t>
      </w:r>
      <w:r w:rsidR="00A75B36" w:rsidRPr="00657962">
        <w:rPr>
          <w:rFonts w:ascii="Times New Roman" w:hAnsi="Times New Roman" w:hint="eastAsia"/>
          <w:sz w:val="24"/>
          <w:szCs w:val="21"/>
        </w:rPr>
        <w:t>”）</w:t>
      </w:r>
      <w:r w:rsidRPr="000A7F8E">
        <w:rPr>
          <w:rFonts w:ascii="Times New Roman" w:hAnsi="Times New Roman"/>
          <w:sz w:val="24"/>
          <w:szCs w:val="21"/>
        </w:rPr>
        <w:t>于</w:t>
      </w:r>
      <w:r w:rsidRPr="000A7F8E">
        <w:rPr>
          <w:rFonts w:ascii="Times New Roman" w:hAnsi="Times New Roman"/>
          <w:sz w:val="24"/>
          <w:szCs w:val="21"/>
        </w:rPr>
        <w:t>2026</w:t>
      </w:r>
      <w:r w:rsidRPr="000A7F8E">
        <w:rPr>
          <w:rFonts w:ascii="Times New Roman" w:hAnsi="Times New Roman"/>
          <w:sz w:val="24"/>
          <w:szCs w:val="21"/>
        </w:rPr>
        <w:t>年</w:t>
      </w:r>
      <w:r w:rsidRPr="000A7F8E">
        <w:rPr>
          <w:rFonts w:ascii="Times New Roman" w:hAnsi="Times New Roman"/>
          <w:sz w:val="24"/>
          <w:szCs w:val="21"/>
        </w:rPr>
        <w:t>9</w:t>
      </w:r>
      <w:r w:rsidRPr="000A7F8E">
        <w:rPr>
          <w:rFonts w:ascii="Times New Roman" w:hAnsi="Times New Roman"/>
          <w:sz w:val="24"/>
          <w:szCs w:val="21"/>
        </w:rPr>
        <w:t>月</w:t>
      </w:r>
      <w:r w:rsidRPr="000A7F8E">
        <w:rPr>
          <w:rFonts w:ascii="Times New Roman" w:hAnsi="Times New Roman"/>
          <w:sz w:val="24"/>
          <w:szCs w:val="21"/>
        </w:rPr>
        <w:t>18</w:t>
      </w:r>
      <w:r w:rsidRPr="000A7F8E">
        <w:rPr>
          <w:rFonts w:ascii="Times New Roman" w:hAnsi="Times New Roman"/>
          <w:sz w:val="24"/>
          <w:szCs w:val="21"/>
        </w:rPr>
        <w:t>日收到中国证监会出具的《立案告知书》，因北洋天青作为资产重组标的，涉嫌在重组过程中提供的信息存在虚假记载、误导性陈述或者重大遗漏，被中国证监会立案调查。目前，公司及控股子公司北洋天青经营情况正常。公司将督促北洋天青全力配合中国证监会的相关调查工作，并将严格按照有关规定履行信息披露义务。详细内容请见公司于</w:t>
      </w:r>
      <w:r w:rsidRPr="000A7F8E">
        <w:rPr>
          <w:rFonts w:ascii="Times New Roman" w:hAnsi="Times New Roman"/>
          <w:sz w:val="24"/>
          <w:szCs w:val="21"/>
        </w:rPr>
        <w:t>2026</w:t>
      </w:r>
      <w:r w:rsidRPr="000A7F8E">
        <w:rPr>
          <w:rFonts w:ascii="Times New Roman" w:hAnsi="Times New Roman"/>
          <w:sz w:val="24"/>
          <w:szCs w:val="21"/>
        </w:rPr>
        <w:t>年</w:t>
      </w:r>
      <w:r w:rsidRPr="000A7F8E">
        <w:rPr>
          <w:rFonts w:ascii="Times New Roman" w:hAnsi="Times New Roman"/>
          <w:sz w:val="24"/>
          <w:szCs w:val="21"/>
        </w:rPr>
        <w:t>9</w:t>
      </w:r>
      <w:r w:rsidRPr="000A7F8E">
        <w:rPr>
          <w:rFonts w:ascii="Times New Roman" w:hAnsi="Times New Roman"/>
          <w:sz w:val="24"/>
          <w:szCs w:val="21"/>
        </w:rPr>
        <w:t>月</w:t>
      </w:r>
      <w:r w:rsidRPr="000A7F8E">
        <w:rPr>
          <w:rFonts w:ascii="Times New Roman" w:hAnsi="Times New Roman"/>
          <w:sz w:val="24"/>
          <w:szCs w:val="21"/>
        </w:rPr>
        <w:t>19</w:t>
      </w:r>
      <w:r w:rsidRPr="000A7F8E">
        <w:rPr>
          <w:rFonts w:ascii="Times New Roman" w:hAnsi="Times New Roman"/>
          <w:sz w:val="24"/>
          <w:szCs w:val="21"/>
        </w:rPr>
        <w:t>日披露的《京城股份关于控股子公司青岛北洋天青数联智能有限公司收到中国证券监督管理委员会</w:t>
      </w:r>
      <w:r w:rsidRPr="000A7F8E">
        <w:rPr>
          <w:rFonts w:ascii="Times New Roman" w:hAnsi="Times New Roman"/>
          <w:sz w:val="24"/>
          <w:szCs w:val="21"/>
        </w:rPr>
        <w:t>&lt;</w:t>
      </w:r>
      <w:r w:rsidRPr="000A7F8E">
        <w:rPr>
          <w:rFonts w:ascii="Times New Roman" w:hAnsi="Times New Roman"/>
          <w:sz w:val="24"/>
          <w:szCs w:val="21"/>
        </w:rPr>
        <w:t>立案告知书</w:t>
      </w:r>
      <w:r w:rsidRPr="000A7F8E">
        <w:rPr>
          <w:rFonts w:ascii="Times New Roman" w:hAnsi="Times New Roman"/>
          <w:sz w:val="24"/>
          <w:szCs w:val="21"/>
        </w:rPr>
        <w:t>&gt;</w:t>
      </w:r>
      <w:r w:rsidRPr="000A7F8E">
        <w:rPr>
          <w:rFonts w:ascii="Times New Roman" w:hAnsi="Times New Roman"/>
          <w:sz w:val="24"/>
          <w:szCs w:val="21"/>
        </w:rPr>
        <w:t>的公告》（公告编号：临</w:t>
      </w:r>
      <w:r w:rsidRPr="000A7F8E">
        <w:rPr>
          <w:rFonts w:ascii="Times New Roman" w:hAnsi="Times New Roman"/>
          <w:sz w:val="24"/>
          <w:szCs w:val="21"/>
        </w:rPr>
        <w:t>2026-024</w:t>
      </w:r>
      <w:r w:rsidRPr="000A7F8E">
        <w:rPr>
          <w:rFonts w:ascii="Times New Roman" w:hAnsi="Times New Roman"/>
          <w:sz w:val="24"/>
          <w:szCs w:val="21"/>
        </w:rPr>
        <w:t>）。</w:t>
      </w:r>
    </w:p>
    <w:p w14:paraId="73744D1F" w14:textId="77777777" w:rsidR="00824CD9" w:rsidRPr="004902C9" w:rsidRDefault="00824CD9" w:rsidP="00824CD9">
      <w:pPr>
        <w:spacing w:line="480" w:lineRule="exact"/>
        <w:ind w:left="426"/>
        <w:rPr>
          <w:rFonts w:ascii="Times New Roman" w:hAnsi="Times New Roman"/>
          <w:sz w:val="24"/>
          <w:szCs w:val="21"/>
        </w:rPr>
      </w:pPr>
    </w:p>
    <w:p w14:paraId="40131238" w14:textId="77777777"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一、股票交易异常波动的具体情况</w:t>
      </w:r>
    </w:p>
    <w:p w14:paraId="36AEC5A3" w14:textId="1DB9AA2D" w:rsidR="00657962" w:rsidRDefault="00217238" w:rsidP="002E3E1C">
      <w:pPr>
        <w:spacing w:line="480" w:lineRule="exact"/>
        <w:ind w:firstLineChars="236" w:firstLine="566"/>
        <w:rPr>
          <w:rFonts w:ascii="Times New Roman" w:hAnsi="Times New Roman"/>
          <w:sz w:val="24"/>
          <w:szCs w:val="21"/>
        </w:rPr>
      </w:pPr>
      <w:r>
        <w:rPr>
          <w:rFonts w:ascii="Times New Roman" w:hAnsi="Times New Roman" w:hint="eastAsia"/>
          <w:sz w:val="24"/>
          <w:szCs w:val="21"/>
        </w:rPr>
        <w:t>公</w:t>
      </w:r>
      <w:r w:rsidR="00DB355C">
        <w:rPr>
          <w:rFonts w:ascii="Times New Roman" w:hAnsi="Times New Roman" w:hint="eastAsia"/>
          <w:sz w:val="24"/>
          <w:szCs w:val="21"/>
        </w:rPr>
        <w:t>司</w:t>
      </w:r>
      <w:r w:rsidR="003C40F3">
        <w:rPr>
          <w:rFonts w:ascii="Times New Roman" w:hAnsi="Times New Roman" w:hint="eastAsia"/>
          <w:sz w:val="24"/>
          <w:szCs w:val="21"/>
        </w:rPr>
        <w:t>A</w:t>
      </w:r>
      <w:r w:rsidR="003C40F3">
        <w:rPr>
          <w:rFonts w:ascii="Times New Roman" w:hAnsi="Times New Roman" w:hint="eastAsia"/>
          <w:sz w:val="24"/>
          <w:szCs w:val="21"/>
        </w:rPr>
        <w:t>股</w:t>
      </w:r>
      <w:r w:rsidR="009422DA">
        <w:rPr>
          <w:rFonts w:ascii="Times New Roman" w:hAnsi="Times New Roman" w:hint="eastAsia"/>
          <w:sz w:val="24"/>
          <w:szCs w:val="21"/>
        </w:rPr>
        <w:t>股票</w:t>
      </w:r>
      <w:r w:rsidR="002E2DCA">
        <w:rPr>
          <w:rFonts w:ascii="Times New Roman" w:hAnsi="Times New Roman" w:hint="eastAsia"/>
          <w:sz w:val="24"/>
          <w:szCs w:val="21"/>
        </w:rPr>
        <w:t>连续</w:t>
      </w:r>
      <w:r w:rsidR="008E3873">
        <w:rPr>
          <w:rFonts w:ascii="Times New Roman" w:hAnsi="Times New Roman" w:hint="eastAsia"/>
          <w:sz w:val="24"/>
          <w:szCs w:val="21"/>
        </w:rPr>
        <w:t>2</w:t>
      </w:r>
      <w:r w:rsidR="002E2DCA" w:rsidRPr="00401D00">
        <w:rPr>
          <w:rFonts w:ascii="Times New Roman" w:hAnsi="Times New Roman" w:hint="eastAsia"/>
          <w:sz w:val="24"/>
          <w:szCs w:val="21"/>
        </w:rPr>
        <w:t>个交易日</w:t>
      </w:r>
      <w:r w:rsidR="00657962" w:rsidRPr="00657962">
        <w:rPr>
          <w:rFonts w:ascii="Times New Roman" w:hAnsi="Times New Roman" w:hint="eastAsia"/>
          <w:sz w:val="24"/>
          <w:szCs w:val="21"/>
        </w:rPr>
        <w:t>（</w:t>
      </w:r>
      <w:r w:rsidR="00C613C3" w:rsidRPr="00C613C3">
        <w:rPr>
          <w:rFonts w:ascii="Times New Roman" w:hAnsi="Times New Roman"/>
          <w:sz w:val="24"/>
          <w:szCs w:val="21"/>
        </w:rPr>
        <w:t>2026</w:t>
      </w:r>
      <w:r w:rsidR="00C613C3" w:rsidRPr="00C613C3">
        <w:rPr>
          <w:rFonts w:ascii="Times New Roman" w:hAnsi="Times New Roman"/>
          <w:sz w:val="24"/>
          <w:szCs w:val="21"/>
        </w:rPr>
        <w:t>年</w:t>
      </w:r>
      <w:r w:rsidR="00C613C3" w:rsidRPr="00C613C3">
        <w:rPr>
          <w:rFonts w:ascii="Times New Roman" w:hAnsi="Times New Roman"/>
          <w:sz w:val="24"/>
          <w:szCs w:val="21"/>
        </w:rPr>
        <w:t>10</w:t>
      </w:r>
      <w:r w:rsidR="00C613C3" w:rsidRPr="00C613C3">
        <w:rPr>
          <w:rFonts w:ascii="Times New Roman" w:hAnsi="Times New Roman"/>
          <w:sz w:val="24"/>
          <w:szCs w:val="21"/>
        </w:rPr>
        <w:t>月</w:t>
      </w:r>
      <w:r w:rsidR="00C613C3" w:rsidRPr="00C613C3">
        <w:rPr>
          <w:rFonts w:ascii="Times New Roman" w:hAnsi="Times New Roman"/>
          <w:sz w:val="24"/>
          <w:szCs w:val="21"/>
        </w:rPr>
        <w:t>16</w:t>
      </w:r>
      <w:r w:rsidR="00C613C3" w:rsidRPr="00C613C3">
        <w:rPr>
          <w:rFonts w:ascii="Times New Roman" w:hAnsi="Times New Roman"/>
          <w:sz w:val="24"/>
          <w:szCs w:val="21"/>
        </w:rPr>
        <w:t>日、</w:t>
      </w:r>
      <w:r w:rsidR="00C613C3" w:rsidRPr="00C613C3">
        <w:rPr>
          <w:rFonts w:ascii="Times New Roman" w:hAnsi="Times New Roman"/>
          <w:sz w:val="24"/>
          <w:szCs w:val="21"/>
        </w:rPr>
        <w:t>2026</w:t>
      </w:r>
      <w:r w:rsidR="00C613C3" w:rsidRPr="00C613C3">
        <w:rPr>
          <w:rFonts w:ascii="Times New Roman" w:hAnsi="Times New Roman"/>
          <w:sz w:val="24"/>
          <w:szCs w:val="21"/>
        </w:rPr>
        <w:t>年</w:t>
      </w:r>
      <w:r w:rsidR="00C613C3" w:rsidRPr="00C613C3">
        <w:rPr>
          <w:rFonts w:ascii="Times New Roman" w:hAnsi="Times New Roman"/>
          <w:sz w:val="24"/>
          <w:szCs w:val="21"/>
        </w:rPr>
        <w:t>10</w:t>
      </w:r>
      <w:r w:rsidR="00C613C3" w:rsidRPr="00C613C3">
        <w:rPr>
          <w:rFonts w:ascii="Times New Roman" w:hAnsi="Times New Roman"/>
          <w:sz w:val="24"/>
          <w:szCs w:val="21"/>
        </w:rPr>
        <w:t>月</w:t>
      </w:r>
      <w:r w:rsidR="00C613C3" w:rsidRPr="00C613C3">
        <w:rPr>
          <w:rFonts w:ascii="Times New Roman" w:hAnsi="Times New Roman"/>
          <w:sz w:val="24"/>
          <w:szCs w:val="21"/>
        </w:rPr>
        <w:t>19</w:t>
      </w:r>
      <w:r w:rsidR="00C613C3" w:rsidRPr="00C613C3">
        <w:rPr>
          <w:rFonts w:ascii="Times New Roman" w:hAnsi="Times New Roman"/>
          <w:sz w:val="24"/>
          <w:szCs w:val="21"/>
        </w:rPr>
        <w:t>日</w:t>
      </w:r>
      <w:r w:rsidR="00594E8E">
        <w:rPr>
          <w:rFonts w:ascii="Times New Roman" w:hAnsi="Times New Roman" w:hint="eastAsia"/>
          <w:sz w:val="24"/>
          <w:szCs w:val="21"/>
        </w:rPr>
        <w:t>）内收盘价格</w:t>
      </w:r>
      <w:r w:rsidR="00C613C3">
        <w:rPr>
          <w:rFonts w:ascii="Times New Roman" w:hAnsi="Times New Roman" w:hint="eastAsia"/>
          <w:sz w:val="24"/>
          <w:szCs w:val="21"/>
        </w:rPr>
        <w:t>涨</w:t>
      </w:r>
      <w:r w:rsidR="00657962" w:rsidRPr="00657962">
        <w:rPr>
          <w:rFonts w:ascii="Times New Roman" w:hAnsi="Times New Roman" w:hint="eastAsia"/>
          <w:sz w:val="24"/>
          <w:szCs w:val="21"/>
        </w:rPr>
        <w:t>幅偏离值累计超过</w:t>
      </w:r>
      <w:r w:rsidR="00657962" w:rsidRPr="00657962">
        <w:rPr>
          <w:rFonts w:ascii="Times New Roman" w:hAnsi="Times New Roman" w:hint="eastAsia"/>
          <w:sz w:val="24"/>
          <w:szCs w:val="21"/>
        </w:rPr>
        <w:t>20%</w:t>
      </w:r>
      <w:r w:rsidR="00657962" w:rsidRPr="00657962">
        <w:rPr>
          <w:rFonts w:ascii="Times New Roman" w:hAnsi="Times New Roman" w:hint="eastAsia"/>
          <w:sz w:val="24"/>
          <w:szCs w:val="21"/>
        </w:rPr>
        <w:t>。根据上交所的有关规定，属于股票交易异常波动。</w:t>
      </w:r>
      <w:r w:rsidR="003D7694" w:rsidRPr="003D7694">
        <w:rPr>
          <w:rFonts w:ascii="Times New Roman" w:hAnsi="Times New Roman"/>
          <w:sz w:val="24"/>
          <w:szCs w:val="21"/>
        </w:rPr>
        <w:t>公司已于</w:t>
      </w:r>
      <w:r w:rsidR="003D7694" w:rsidRPr="003D7694">
        <w:rPr>
          <w:rFonts w:ascii="Times New Roman" w:hAnsi="Times New Roman"/>
          <w:sz w:val="24"/>
          <w:szCs w:val="21"/>
        </w:rPr>
        <w:t xml:space="preserve">2026 </w:t>
      </w:r>
      <w:r w:rsidR="003D7694" w:rsidRPr="003D7694">
        <w:rPr>
          <w:rFonts w:ascii="Times New Roman" w:hAnsi="Times New Roman"/>
          <w:sz w:val="24"/>
          <w:szCs w:val="21"/>
        </w:rPr>
        <w:t>年</w:t>
      </w:r>
      <w:r w:rsidR="003D7694" w:rsidRPr="003D7694">
        <w:rPr>
          <w:rFonts w:ascii="Times New Roman" w:hAnsi="Times New Roman"/>
          <w:sz w:val="24"/>
          <w:szCs w:val="21"/>
        </w:rPr>
        <w:t>10</w:t>
      </w:r>
      <w:r w:rsidR="003D7694" w:rsidRPr="003D7694">
        <w:rPr>
          <w:rFonts w:ascii="Times New Roman" w:hAnsi="Times New Roman"/>
          <w:sz w:val="24"/>
          <w:szCs w:val="21"/>
        </w:rPr>
        <w:t>月</w:t>
      </w:r>
      <w:r w:rsidR="003D7694" w:rsidRPr="003D7694">
        <w:rPr>
          <w:rFonts w:ascii="Times New Roman" w:hAnsi="Times New Roman"/>
          <w:sz w:val="24"/>
          <w:szCs w:val="21"/>
        </w:rPr>
        <w:t>20</w:t>
      </w:r>
      <w:r w:rsidR="003D7694" w:rsidRPr="003D7694">
        <w:rPr>
          <w:rFonts w:ascii="Times New Roman" w:hAnsi="Times New Roman"/>
          <w:sz w:val="24"/>
          <w:szCs w:val="21"/>
        </w:rPr>
        <w:t>日披露了《北京京城机电股份有限公司关于公司</w:t>
      </w:r>
      <w:r w:rsidR="003D7694" w:rsidRPr="003D7694">
        <w:rPr>
          <w:rFonts w:ascii="Times New Roman" w:hAnsi="Times New Roman"/>
          <w:sz w:val="24"/>
          <w:szCs w:val="21"/>
        </w:rPr>
        <w:t>A</w:t>
      </w:r>
      <w:r w:rsidR="003D7694" w:rsidRPr="003D7694">
        <w:rPr>
          <w:rFonts w:ascii="Times New Roman" w:hAnsi="Times New Roman"/>
          <w:sz w:val="24"/>
          <w:szCs w:val="21"/>
        </w:rPr>
        <w:t>股股票交易异常波动公告》（公告编号：</w:t>
      </w:r>
      <w:r w:rsidR="003D7694" w:rsidRPr="003D7694">
        <w:rPr>
          <w:rFonts w:ascii="Times New Roman" w:hAnsi="Times New Roman"/>
          <w:sz w:val="24"/>
          <w:szCs w:val="21"/>
        </w:rPr>
        <w:t>2026-025</w:t>
      </w:r>
      <w:r w:rsidR="003D7694" w:rsidRPr="003D7694">
        <w:rPr>
          <w:rFonts w:ascii="Times New Roman" w:hAnsi="Times New Roman"/>
          <w:sz w:val="24"/>
          <w:szCs w:val="21"/>
        </w:rPr>
        <w:t>）。</w:t>
      </w:r>
      <w:r w:rsidR="003D7694" w:rsidRPr="003D7694">
        <w:rPr>
          <w:rFonts w:ascii="Times New Roman" w:hAnsi="Times New Roman"/>
          <w:sz w:val="24"/>
          <w:szCs w:val="21"/>
        </w:rPr>
        <w:t xml:space="preserve">2026 </w:t>
      </w:r>
      <w:r w:rsidR="003D7694" w:rsidRPr="003D7694">
        <w:rPr>
          <w:rFonts w:ascii="Times New Roman" w:hAnsi="Times New Roman"/>
          <w:sz w:val="24"/>
          <w:szCs w:val="21"/>
        </w:rPr>
        <w:t>年</w:t>
      </w:r>
      <w:r w:rsidR="003D7694" w:rsidRPr="003D7694">
        <w:rPr>
          <w:rFonts w:ascii="Times New Roman" w:hAnsi="Times New Roman"/>
          <w:sz w:val="24"/>
          <w:szCs w:val="21"/>
        </w:rPr>
        <w:t>10</w:t>
      </w:r>
      <w:r w:rsidR="003D7694" w:rsidRPr="003D7694">
        <w:rPr>
          <w:rFonts w:ascii="Times New Roman" w:hAnsi="Times New Roman"/>
          <w:sz w:val="24"/>
          <w:szCs w:val="21"/>
        </w:rPr>
        <w:t>月</w:t>
      </w:r>
      <w:r w:rsidR="003D7694" w:rsidRPr="003D7694">
        <w:rPr>
          <w:rFonts w:ascii="Times New Roman" w:hAnsi="Times New Roman"/>
          <w:sz w:val="24"/>
          <w:szCs w:val="21"/>
        </w:rPr>
        <w:t>20</w:t>
      </w:r>
      <w:r w:rsidR="003D7694" w:rsidRPr="003D7694">
        <w:rPr>
          <w:rFonts w:ascii="Times New Roman" w:hAnsi="Times New Roman"/>
          <w:sz w:val="24"/>
          <w:szCs w:val="21"/>
        </w:rPr>
        <w:t>日，公司股票交易再次以涨停价收盘，</w:t>
      </w:r>
      <w:r w:rsidR="009D7969" w:rsidRPr="009D7969">
        <w:rPr>
          <w:rFonts w:ascii="Times New Roman" w:hAnsi="Times New Roman"/>
          <w:sz w:val="24"/>
          <w:szCs w:val="21"/>
        </w:rPr>
        <w:t>近</w:t>
      </w:r>
      <w:r w:rsidR="009D7969" w:rsidRPr="009D7969">
        <w:rPr>
          <w:rFonts w:ascii="Times New Roman" w:hAnsi="Times New Roman"/>
          <w:sz w:val="24"/>
          <w:szCs w:val="21"/>
        </w:rPr>
        <w:t>3</w:t>
      </w:r>
      <w:r w:rsidR="009D7969" w:rsidRPr="009D7969">
        <w:rPr>
          <w:rFonts w:ascii="Times New Roman" w:hAnsi="Times New Roman"/>
          <w:sz w:val="24"/>
          <w:szCs w:val="21"/>
        </w:rPr>
        <w:t>个交易日累计涨幅</w:t>
      </w:r>
      <w:r w:rsidR="009D7969">
        <w:rPr>
          <w:rFonts w:ascii="Times New Roman" w:hAnsi="Times New Roman" w:hint="eastAsia"/>
          <w:sz w:val="24"/>
          <w:szCs w:val="21"/>
        </w:rPr>
        <w:t>33.10</w:t>
      </w:r>
      <w:r w:rsidR="009D7969" w:rsidRPr="009D7969">
        <w:rPr>
          <w:rFonts w:ascii="Times New Roman" w:hAnsi="Times New Roman"/>
          <w:sz w:val="24"/>
          <w:szCs w:val="21"/>
        </w:rPr>
        <w:t>%</w:t>
      </w:r>
      <w:r w:rsidR="009D7969" w:rsidRPr="009D7969">
        <w:rPr>
          <w:rFonts w:ascii="Times New Roman" w:hAnsi="Times New Roman"/>
          <w:sz w:val="24"/>
          <w:szCs w:val="21"/>
        </w:rPr>
        <w:t>，</w:t>
      </w:r>
      <w:r w:rsidR="003D7694" w:rsidRPr="003D7694">
        <w:rPr>
          <w:rFonts w:ascii="Times New Roman" w:hAnsi="Times New Roman"/>
          <w:sz w:val="24"/>
          <w:szCs w:val="21"/>
        </w:rPr>
        <w:t>股票价格短期波动较大，可能存在非理性炒作等情形。</w:t>
      </w:r>
    </w:p>
    <w:p w14:paraId="231E60D8" w14:textId="5AE612D7" w:rsidR="00730E7A" w:rsidRDefault="00046B80" w:rsidP="00730E7A">
      <w:pPr>
        <w:spacing w:line="480" w:lineRule="exact"/>
        <w:ind w:firstLineChars="236" w:firstLine="566"/>
        <w:rPr>
          <w:rFonts w:ascii="Times New Roman" w:hAnsi="Times New Roman"/>
          <w:sz w:val="24"/>
          <w:szCs w:val="21"/>
        </w:rPr>
      </w:pPr>
      <w:r w:rsidRPr="00352CC5">
        <w:rPr>
          <w:rFonts w:ascii="Times New Roman" w:hAnsi="Times New Roman"/>
          <w:sz w:val="24"/>
          <w:szCs w:val="21"/>
        </w:rPr>
        <w:t>2026</w:t>
      </w:r>
      <w:r w:rsidRPr="00352CC5">
        <w:rPr>
          <w:rFonts w:ascii="Times New Roman" w:hAnsi="Times New Roman"/>
          <w:sz w:val="24"/>
          <w:szCs w:val="21"/>
        </w:rPr>
        <w:t>年</w:t>
      </w:r>
      <w:r w:rsidRPr="00352CC5">
        <w:rPr>
          <w:rFonts w:ascii="Times New Roman" w:hAnsi="Times New Roman"/>
          <w:sz w:val="24"/>
          <w:szCs w:val="21"/>
        </w:rPr>
        <w:t>10</w:t>
      </w:r>
      <w:r w:rsidRPr="00352CC5">
        <w:rPr>
          <w:rFonts w:ascii="Times New Roman" w:hAnsi="Times New Roman"/>
          <w:sz w:val="24"/>
          <w:szCs w:val="21"/>
        </w:rPr>
        <w:t>月</w:t>
      </w:r>
      <w:r w:rsidRPr="00352CC5">
        <w:rPr>
          <w:rFonts w:ascii="Times New Roman" w:hAnsi="Times New Roman"/>
          <w:sz w:val="24"/>
          <w:szCs w:val="21"/>
        </w:rPr>
        <w:t>16</w:t>
      </w:r>
      <w:r w:rsidRPr="00352CC5">
        <w:rPr>
          <w:rFonts w:ascii="Times New Roman" w:hAnsi="Times New Roman"/>
          <w:sz w:val="24"/>
          <w:szCs w:val="21"/>
        </w:rPr>
        <w:t>日至</w:t>
      </w:r>
      <w:r w:rsidRPr="00352CC5">
        <w:rPr>
          <w:rFonts w:ascii="Times New Roman" w:hAnsi="Times New Roman"/>
          <w:sz w:val="24"/>
          <w:szCs w:val="21"/>
        </w:rPr>
        <w:t>2026</w:t>
      </w:r>
      <w:r w:rsidRPr="00352CC5">
        <w:rPr>
          <w:rFonts w:ascii="Times New Roman" w:hAnsi="Times New Roman"/>
          <w:sz w:val="24"/>
          <w:szCs w:val="21"/>
        </w:rPr>
        <w:t>年</w:t>
      </w:r>
      <w:r w:rsidRPr="00352CC5">
        <w:rPr>
          <w:rFonts w:ascii="Times New Roman" w:hAnsi="Times New Roman"/>
          <w:sz w:val="24"/>
          <w:szCs w:val="21"/>
        </w:rPr>
        <w:t>10</w:t>
      </w:r>
      <w:r w:rsidRPr="00352CC5">
        <w:rPr>
          <w:rFonts w:ascii="Times New Roman" w:hAnsi="Times New Roman"/>
          <w:sz w:val="24"/>
          <w:szCs w:val="21"/>
        </w:rPr>
        <w:t>月</w:t>
      </w:r>
      <w:r w:rsidRPr="00352CC5">
        <w:rPr>
          <w:rFonts w:ascii="Times New Roman" w:hAnsi="Times New Roman"/>
          <w:sz w:val="24"/>
          <w:szCs w:val="21"/>
        </w:rPr>
        <w:t>20</w:t>
      </w:r>
      <w:r w:rsidRPr="00352CC5">
        <w:rPr>
          <w:rFonts w:ascii="Times New Roman" w:hAnsi="Times New Roman"/>
          <w:sz w:val="24"/>
          <w:szCs w:val="21"/>
        </w:rPr>
        <w:t>日，公司股票</w:t>
      </w:r>
      <w:r>
        <w:rPr>
          <w:rFonts w:ascii="Times New Roman" w:hAnsi="Times New Roman" w:hint="eastAsia"/>
          <w:sz w:val="24"/>
          <w:szCs w:val="21"/>
        </w:rPr>
        <w:t>累计</w:t>
      </w:r>
      <w:r w:rsidRPr="00352CC5">
        <w:rPr>
          <w:rFonts w:ascii="Times New Roman" w:hAnsi="Times New Roman"/>
          <w:sz w:val="24"/>
          <w:szCs w:val="21"/>
        </w:rPr>
        <w:t>换手率</w:t>
      </w:r>
      <w:r>
        <w:rPr>
          <w:rFonts w:ascii="Times New Roman" w:hAnsi="Times New Roman" w:hint="eastAsia"/>
          <w:sz w:val="24"/>
          <w:szCs w:val="21"/>
        </w:rPr>
        <w:t>为</w:t>
      </w:r>
      <w:r>
        <w:rPr>
          <w:rFonts w:ascii="Times New Roman" w:hAnsi="Times New Roman" w:hint="eastAsia"/>
          <w:sz w:val="24"/>
          <w:szCs w:val="21"/>
        </w:rPr>
        <w:t>17.65%</w:t>
      </w:r>
      <w:r>
        <w:rPr>
          <w:rFonts w:ascii="Times New Roman" w:hAnsi="Times New Roman" w:hint="eastAsia"/>
          <w:sz w:val="24"/>
          <w:szCs w:val="21"/>
        </w:rPr>
        <w:t>，</w:t>
      </w:r>
      <w:r w:rsidRPr="00730E7A">
        <w:rPr>
          <w:rFonts w:ascii="Times New Roman" w:hAnsi="Times New Roman"/>
          <w:sz w:val="24"/>
          <w:szCs w:val="21"/>
        </w:rPr>
        <w:t>2026</w:t>
      </w:r>
      <w:r w:rsidRPr="00730E7A">
        <w:rPr>
          <w:rFonts w:ascii="Times New Roman" w:hAnsi="Times New Roman"/>
          <w:sz w:val="24"/>
          <w:szCs w:val="21"/>
        </w:rPr>
        <w:t>年</w:t>
      </w:r>
      <w:r w:rsidRPr="00730E7A">
        <w:rPr>
          <w:rFonts w:ascii="Times New Roman" w:hAnsi="Times New Roman"/>
          <w:sz w:val="24"/>
          <w:szCs w:val="21"/>
        </w:rPr>
        <w:t>10</w:t>
      </w:r>
      <w:r w:rsidRPr="00730E7A">
        <w:rPr>
          <w:rFonts w:ascii="Times New Roman" w:hAnsi="Times New Roman"/>
          <w:sz w:val="24"/>
          <w:szCs w:val="21"/>
        </w:rPr>
        <w:t>月</w:t>
      </w:r>
      <w:r>
        <w:rPr>
          <w:rFonts w:ascii="Times New Roman" w:hAnsi="Times New Roman" w:hint="eastAsia"/>
          <w:sz w:val="24"/>
          <w:szCs w:val="21"/>
        </w:rPr>
        <w:t>20</w:t>
      </w:r>
      <w:r w:rsidRPr="00730E7A">
        <w:rPr>
          <w:rFonts w:ascii="Times New Roman" w:hAnsi="Times New Roman"/>
          <w:sz w:val="24"/>
          <w:szCs w:val="21"/>
        </w:rPr>
        <w:t>日，公司股票换手率为</w:t>
      </w:r>
      <w:r>
        <w:rPr>
          <w:rFonts w:ascii="Times New Roman" w:hAnsi="Times New Roman" w:hint="eastAsia"/>
          <w:sz w:val="24"/>
          <w:szCs w:val="21"/>
        </w:rPr>
        <w:t>11.49</w:t>
      </w:r>
      <w:r w:rsidRPr="00730E7A">
        <w:rPr>
          <w:rFonts w:ascii="Times New Roman" w:hAnsi="Times New Roman"/>
          <w:sz w:val="24"/>
          <w:szCs w:val="21"/>
        </w:rPr>
        <w:t>%</w:t>
      </w:r>
      <w:r w:rsidRPr="00730E7A">
        <w:rPr>
          <w:rFonts w:ascii="Times New Roman" w:hAnsi="Times New Roman"/>
          <w:sz w:val="24"/>
          <w:szCs w:val="21"/>
        </w:rPr>
        <w:t>，</w:t>
      </w:r>
      <w:r w:rsidR="00730E7A" w:rsidRPr="00730E7A">
        <w:rPr>
          <w:rFonts w:ascii="Times New Roman" w:hAnsi="Times New Roman"/>
          <w:sz w:val="24"/>
          <w:szCs w:val="21"/>
        </w:rPr>
        <w:t>明显高于公司日常换手率。</w:t>
      </w:r>
      <w:r w:rsidR="00730E7A" w:rsidRPr="003D7694">
        <w:rPr>
          <w:rFonts w:ascii="Times New Roman" w:hAnsi="Times New Roman" w:hint="eastAsia"/>
          <w:sz w:val="24"/>
          <w:szCs w:val="21"/>
        </w:rPr>
        <w:t>根据</w:t>
      </w:r>
      <w:r w:rsidR="00730E7A" w:rsidRPr="003D7694">
        <w:rPr>
          <w:rFonts w:ascii="Times New Roman" w:hAnsi="Times New Roman"/>
          <w:sz w:val="24"/>
          <w:szCs w:val="21"/>
        </w:rPr>
        <w:t>中证指数有限公司官方网站发布</w:t>
      </w:r>
      <w:r w:rsidR="00730E7A" w:rsidRPr="003D7694">
        <w:rPr>
          <w:rFonts w:ascii="Times New Roman" w:hAnsi="Times New Roman" w:hint="eastAsia"/>
          <w:sz w:val="24"/>
          <w:szCs w:val="21"/>
        </w:rPr>
        <w:t>的截至</w:t>
      </w:r>
      <w:r w:rsidR="00730E7A" w:rsidRPr="003D7694">
        <w:rPr>
          <w:rFonts w:ascii="Times New Roman" w:hAnsi="Times New Roman" w:hint="eastAsia"/>
          <w:sz w:val="24"/>
          <w:szCs w:val="21"/>
        </w:rPr>
        <w:t>2026</w:t>
      </w:r>
      <w:r w:rsidR="00730E7A" w:rsidRPr="003D7694">
        <w:rPr>
          <w:rFonts w:ascii="Times New Roman" w:hAnsi="Times New Roman" w:hint="eastAsia"/>
          <w:sz w:val="24"/>
          <w:szCs w:val="21"/>
        </w:rPr>
        <w:t>年</w:t>
      </w:r>
      <w:r w:rsidR="00730E7A" w:rsidRPr="003D7694">
        <w:rPr>
          <w:rFonts w:ascii="Times New Roman" w:hAnsi="Times New Roman" w:hint="eastAsia"/>
          <w:sz w:val="24"/>
          <w:szCs w:val="21"/>
        </w:rPr>
        <w:t>10</w:t>
      </w:r>
      <w:r w:rsidR="00730E7A" w:rsidRPr="003D7694">
        <w:rPr>
          <w:rFonts w:ascii="Times New Roman" w:hAnsi="Times New Roman" w:hint="eastAsia"/>
          <w:sz w:val="24"/>
          <w:szCs w:val="21"/>
        </w:rPr>
        <w:t>月</w:t>
      </w:r>
      <w:r w:rsidR="00120FFC">
        <w:rPr>
          <w:rFonts w:ascii="Times New Roman" w:hAnsi="Times New Roman" w:hint="eastAsia"/>
          <w:sz w:val="24"/>
          <w:szCs w:val="21"/>
        </w:rPr>
        <w:t>20</w:t>
      </w:r>
      <w:r w:rsidR="00730E7A" w:rsidRPr="003D7694">
        <w:rPr>
          <w:rFonts w:ascii="Times New Roman" w:hAnsi="Times New Roman" w:hint="eastAsia"/>
          <w:sz w:val="24"/>
          <w:szCs w:val="21"/>
        </w:rPr>
        <w:t>日的数据，公司所属的行业分类“</w:t>
      </w:r>
      <w:r w:rsidR="00730E7A" w:rsidRPr="003D7694">
        <w:rPr>
          <w:rFonts w:ascii="Times New Roman" w:hAnsi="Times New Roman" w:hint="eastAsia"/>
          <w:sz w:val="24"/>
          <w:szCs w:val="21"/>
        </w:rPr>
        <w:t xml:space="preserve">C35 </w:t>
      </w:r>
      <w:r w:rsidR="00730E7A" w:rsidRPr="003D7694">
        <w:rPr>
          <w:rFonts w:ascii="Times New Roman" w:hAnsi="Times New Roman" w:hint="eastAsia"/>
          <w:sz w:val="24"/>
          <w:szCs w:val="21"/>
        </w:rPr>
        <w:t>专用设备制造”</w:t>
      </w:r>
      <w:r w:rsidR="00120FFC" w:rsidRPr="00120FFC">
        <w:rPr>
          <w:rFonts w:ascii="Times New Roman" w:hAnsi="Times New Roman" w:hint="eastAsia"/>
          <w:sz w:val="24"/>
          <w:szCs w:val="21"/>
        </w:rPr>
        <w:t xml:space="preserve"> </w:t>
      </w:r>
      <w:r w:rsidR="00120FFC" w:rsidRPr="003D7694">
        <w:rPr>
          <w:rFonts w:ascii="Times New Roman" w:hAnsi="Times New Roman" w:hint="eastAsia"/>
          <w:sz w:val="24"/>
          <w:szCs w:val="21"/>
        </w:rPr>
        <w:t>最新</w:t>
      </w:r>
      <w:r w:rsidR="00120FFC">
        <w:rPr>
          <w:rFonts w:ascii="Times New Roman" w:hAnsi="Times New Roman" w:hint="eastAsia"/>
          <w:sz w:val="24"/>
          <w:szCs w:val="21"/>
        </w:rPr>
        <w:t>市净率</w:t>
      </w:r>
      <w:r w:rsidR="00120FFC" w:rsidRPr="003D7694">
        <w:rPr>
          <w:rFonts w:ascii="Times New Roman" w:hAnsi="Times New Roman" w:hint="eastAsia"/>
          <w:sz w:val="24"/>
          <w:szCs w:val="21"/>
        </w:rPr>
        <w:t>为</w:t>
      </w:r>
      <w:r w:rsidR="00120FFC">
        <w:rPr>
          <w:rFonts w:ascii="Times New Roman" w:hAnsi="Times New Roman" w:hint="eastAsia"/>
          <w:sz w:val="24"/>
          <w:szCs w:val="21"/>
        </w:rPr>
        <w:t>3.47</w:t>
      </w:r>
      <w:r w:rsidR="00120FFC" w:rsidRPr="003D7694">
        <w:rPr>
          <w:rFonts w:ascii="Times New Roman" w:hAnsi="Times New Roman" w:hint="eastAsia"/>
          <w:sz w:val="24"/>
          <w:szCs w:val="21"/>
        </w:rPr>
        <w:t>，</w:t>
      </w:r>
      <w:r w:rsidR="00120FFC" w:rsidRPr="003D7694">
        <w:rPr>
          <w:rFonts w:ascii="Times New Roman" w:hAnsi="Times New Roman"/>
          <w:sz w:val="24"/>
          <w:szCs w:val="21"/>
        </w:rPr>
        <w:t>公司最新</w:t>
      </w:r>
      <w:r w:rsidR="00120FFC">
        <w:rPr>
          <w:rFonts w:ascii="Times New Roman" w:hAnsi="Times New Roman" w:hint="eastAsia"/>
          <w:sz w:val="24"/>
          <w:szCs w:val="21"/>
        </w:rPr>
        <w:t>市净率</w:t>
      </w:r>
      <w:r w:rsidR="00120FFC" w:rsidRPr="003D7694">
        <w:rPr>
          <w:rFonts w:ascii="Times New Roman" w:hAnsi="Times New Roman"/>
          <w:sz w:val="24"/>
          <w:szCs w:val="21"/>
        </w:rPr>
        <w:t>为</w:t>
      </w:r>
      <w:r w:rsidR="00120FFC">
        <w:rPr>
          <w:rFonts w:ascii="Times New Roman" w:hAnsi="Times New Roman" w:hint="eastAsia"/>
          <w:sz w:val="24"/>
          <w:szCs w:val="21"/>
        </w:rPr>
        <w:t>6.57</w:t>
      </w:r>
      <w:r w:rsidR="00120FFC" w:rsidRPr="003D7694">
        <w:rPr>
          <w:rFonts w:ascii="Times New Roman" w:hAnsi="Times New Roman" w:hint="eastAsia"/>
          <w:sz w:val="24"/>
          <w:szCs w:val="21"/>
        </w:rPr>
        <w:t>，</w:t>
      </w:r>
      <w:r w:rsidR="00730E7A" w:rsidRPr="003D7694">
        <w:rPr>
          <w:rFonts w:ascii="Times New Roman" w:hAnsi="Times New Roman" w:hint="eastAsia"/>
          <w:sz w:val="24"/>
          <w:szCs w:val="21"/>
        </w:rPr>
        <w:t>显著高于同行业水平。敬请广大投资者注意二级市场交易风险，理性决策，审慎投资。</w:t>
      </w:r>
    </w:p>
    <w:p w14:paraId="69E0C924" w14:textId="77777777"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二、公司关注并核实的相关情况</w:t>
      </w:r>
    </w:p>
    <w:p w14:paraId="6F915C7E" w14:textId="77777777"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经公司自查核实并向公司控股股东征询，现将核实情况公告如下：</w:t>
      </w:r>
    </w:p>
    <w:p w14:paraId="78279DE2" w14:textId="559582E1" w:rsidR="00855CA5"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（一）</w:t>
      </w:r>
      <w:r w:rsidR="00FA58CA" w:rsidRPr="00FA58CA">
        <w:rPr>
          <w:rFonts w:ascii="Times New Roman" w:hAnsi="Times New Roman" w:hint="eastAsia"/>
          <w:sz w:val="24"/>
          <w:szCs w:val="21"/>
        </w:rPr>
        <w:t>生产经营情况。</w:t>
      </w:r>
      <w:r w:rsidR="000A7F8E" w:rsidRPr="000A7F8E">
        <w:rPr>
          <w:rFonts w:ascii="Times New Roman" w:hAnsi="Times New Roman"/>
          <w:sz w:val="24"/>
          <w:szCs w:val="21"/>
        </w:rPr>
        <w:t>公司在新产品研发及产业链布局等方面持续加大</w:t>
      </w:r>
      <w:r w:rsidR="000A7F8E">
        <w:rPr>
          <w:rFonts w:ascii="Times New Roman" w:hAnsi="Times New Roman" w:hint="eastAsia"/>
          <w:sz w:val="24"/>
          <w:szCs w:val="21"/>
        </w:rPr>
        <w:t>研发费用</w:t>
      </w:r>
      <w:r w:rsidR="000A7F8E" w:rsidRPr="000A7F8E">
        <w:rPr>
          <w:rFonts w:ascii="Times New Roman" w:hAnsi="Times New Roman"/>
          <w:sz w:val="24"/>
          <w:szCs w:val="21"/>
        </w:rPr>
        <w:t>投入，叠加汇率波动产生的汇兑损失等因素影响</w:t>
      </w:r>
      <w:r w:rsidR="000A7F8E">
        <w:rPr>
          <w:rFonts w:ascii="Times New Roman" w:hAnsi="Times New Roman" w:hint="eastAsia"/>
          <w:sz w:val="24"/>
          <w:szCs w:val="21"/>
        </w:rPr>
        <w:t>，</w:t>
      </w:r>
      <w:r w:rsidR="00855CA5">
        <w:rPr>
          <w:rFonts w:ascii="Times New Roman" w:hAnsi="Times New Roman" w:hint="eastAsia"/>
          <w:sz w:val="24"/>
          <w:szCs w:val="21"/>
        </w:rPr>
        <w:t>公司</w:t>
      </w:r>
      <w:r w:rsidR="00855CA5">
        <w:rPr>
          <w:rFonts w:ascii="Times New Roman" w:hAnsi="Times New Roman" w:hint="eastAsia"/>
          <w:sz w:val="24"/>
          <w:szCs w:val="21"/>
        </w:rPr>
        <w:t>2026</w:t>
      </w:r>
      <w:r w:rsidR="00855CA5">
        <w:rPr>
          <w:rFonts w:ascii="Times New Roman" w:hAnsi="Times New Roman" w:hint="eastAsia"/>
          <w:sz w:val="24"/>
          <w:szCs w:val="21"/>
        </w:rPr>
        <w:t>年半年度</w:t>
      </w:r>
      <w:r w:rsidR="00855CA5" w:rsidRPr="00855CA5">
        <w:rPr>
          <w:rFonts w:ascii="Times New Roman" w:hAnsi="Times New Roman"/>
          <w:sz w:val="24"/>
          <w:szCs w:val="21"/>
        </w:rPr>
        <w:t>实现归属于</w:t>
      </w:r>
      <w:r w:rsidR="00855CA5">
        <w:rPr>
          <w:rFonts w:ascii="Times New Roman" w:hAnsi="Times New Roman" w:hint="eastAsia"/>
          <w:sz w:val="24"/>
          <w:szCs w:val="21"/>
        </w:rPr>
        <w:t>上市公司股东</w:t>
      </w:r>
      <w:r w:rsidR="00855CA5" w:rsidRPr="00855CA5">
        <w:rPr>
          <w:rFonts w:ascii="Times New Roman" w:hAnsi="Times New Roman"/>
          <w:sz w:val="24"/>
          <w:szCs w:val="21"/>
        </w:rPr>
        <w:t>的净利润约为人民币</w:t>
      </w:r>
      <w:r w:rsidR="00855CA5" w:rsidRPr="00855CA5">
        <w:rPr>
          <w:rFonts w:ascii="Times New Roman" w:hAnsi="Times New Roman"/>
          <w:sz w:val="24"/>
          <w:szCs w:val="21"/>
        </w:rPr>
        <w:t>-6</w:t>
      </w:r>
      <w:r w:rsidR="00855CA5">
        <w:rPr>
          <w:rFonts w:ascii="Times New Roman" w:hAnsi="Times New Roman" w:hint="eastAsia"/>
          <w:sz w:val="24"/>
          <w:szCs w:val="21"/>
        </w:rPr>
        <w:t>,</w:t>
      </w:r>
      <w:r w:rsidR="00855CA5" w:rsidRPr="00855CA5">
        <w:rPr>
          <w:rFonts w:ascii="Times New Roman" w:hAnsi="Times New Roman"/>
          <w:sz w:val="24"/>
          <w:szCs w:val="21"/>
        </w:rPr>
        <w:t>263</w:t>
      </w:r>
      <w:r w:rsidR="00855CA5">
        <w:rPr>
          <w:rFonts w:ascii="Times New Roman" w:hAnsi="Times New Roman" w:hint="eastAsia"/>
          <w:sz w:val="24"/>
          <w:szCs w:val="21"/>
        </w:rPr>
        <w:t>.</w:t>
      </w:r>
      <w:r w:rsidR="00855CA5" w:rsidRPr="00855CA5">
        <w:rPr>
          <w:rFonts w:ascii="Times New Roman" w:hAnsi="Times New Roman"/>
          <w:sz w:val="24"/>
          <w:szCs w:val="21"/>
        </w:rPr>
        <w:t>3</w:t>
      </w:r>
      <w:r w:rsidR="00855CA5">
        <w:rPr>
          <w:rFonts w:ascii="Times New Roman" w:hAnsi="Times New Roman" w:hint="eastAsia"/>
          <w:sz w:val="24"/>
          <w:szCs w:val="21"/>
        </w:rPr>
        <w:t>9</w:t>
      </w:r>
      <w:r w:rsidR="00855CA5" w:rsidRPr="00855CA5">
        <w:rPr>
          <w:rFonts w:ascii="Times New Roman" w:hAnsi="Times New Roman"/>
          <w:sz w:val="24"/>
          <w:szCs w:val="21"/>
        </w:rPr>
        <w:t>万元，实现归属于</w:t>
      </w:r>
      <w:r w:rsidR="00855CA5">
        <w:rPr>
          <w:rFonts w:ascii="Times New Roman" w:hAnsi="Times New Roman" w:hint="eastAsia"/>
          <w:sz w:val="24"/>
          <w:szCs w:val="21"/>
        </w:rPr>
        <w:t>上市公司股东</w:t>
      </w:r>
      <w:r w:rsidR="00855CA5" w:rsidRPr="00855CA5">
        <w:rPr>
          <w:rFonts w:ascii="Times New Roman" w:hAnsi="Times New Roman"/>
          <w:sz w:val="24"/>
          <w:szCs w:val="21"/>
        </w:rPr>
        <w:t>的扣除非经常性损益的净利润约为人民币</w:t>
      </w:r>
      <w:r w:rsidR="00855CA5" w:rsidRPr="00855CA5">
        <w:rPr>
          <w:rFonts w:ascii="Times New Roman" w:hAnsi="Times New Roman"/>
          <w:sz w:val="24"/>
          <w:szCs w:val="21"/>
        </w:rPr>
        <w:t>-6</w:t>
      </w:r>
      <w:r w:rsidR="00855CA5">
        <w:rPr>
          <w:rFonts w:ascii="Times New Roman" w:hAnsi="Times New Roman" w:hint="eastAsia"/>
          <w:sz w:val="24"/>
          <w:szCs w:val="21"/>
        </w:rPr>
        <w:t>,</w:t>
      </w:r>
      <w:r w:rsidR="00855CA5" w:rsidRPr="00855CA5">
        <w:rPr>
          <w:rFonts w:ascii="Times New Roman" w:hAnsi="Times New Roman"/>
          <w:sz w:val="24"/>
          <w:szCs w:val="21"/>
        </w:rPr>
        <w:t>764</w:t>
      </w:r>
      <w:r w:rsidR="00855CA5">
        <w:rPr>
          <w:rFonts w:ascii="Times New Roman" w:hAnsi="Times New Roman" w:hint="eastAsia"/>
          <w:sz w:val="24"/>
          <w:szCs w:val="21"/>
        </w:rPr>
        <w:t>.</w:t>
      </w:r>
      <w:r w:rsidR="00855CA5" w:rsidRPr="00855CA5">
        <w:rPr>
          <w:rFonts w:ascii="Times New Roman" w:hAnsi="Times New Roman"/>
          <w:sz w:val="24"/>
          <w:szCs w:val="21"/>
        </w:rPr>
        <w:t>4</w:t>
      </w:r>
      <w:r w:rsidR="00855CA5">
        <w:rPr>
          <w:rFonts w:ascii="Times New Roman" w:hAnsi="Times New Roman" w:hint="eastAsia"/>
          <w:sz w:val="24"/>
          <w:szCs w:val="21"/>
        </w:rPr>
        <w:t>2</w:t>
      </w:r>
      <w:r w:rsidR="00855CA5" w:rsidRPr="00855CA5">
        <w:rPr>
          <w:rFonts w:ascii="Times New Roman" w:hAnsi="Times New Roman"/>
          <w:sz w:val="24"/>
          <w:szCs w:val="21"/>
        </w:rPr>
        <w:t>万元。</w:t>
      </w:r>
    </w:p>
    <w:p w14:paraId="63386606" w14:textId="05AEF2AA" w:rsidR="00F61F79" w:rsidRPr="00657962" w:rsidRDefault="00F61F79" w:rsidP="002E3E1C">
      <w:pPr>
        <w:spacing w:line="480" w:lineRule="exact"/>
        <w:ind w:firstLineChars="236" w:firstLine="566"/>
        <w:rPr>
          <w:rFonts w:ascii="Times New Roman" w:hAnsi="Times New Roman"/>
          <w:sz w:val="24"/>
          <w:szCs w:val="21"/>
        </w:rPr>
      </w:pPr>
      <w:r w:rsidRPr="00FA58CA">
        <w:rPr>
          <w:rFonts w:ascii="Times New Roman" w:hAnsi="Times New Roman" w:hint="eastAsia"/>
          <w:sz w:val="24"/>
          <w:szCs w:val="21"/>
        </w:rPr>
        <w:t>经公司自查，公司目前生产经营活动正常，内部生产经营秩序正常，公司主</w:t>
      </w:r>
      <w:r w:rsidRPr="00FA58CA">
        <w:rPr>
          <w:rFonts w:ascii="Times New Roman" w:hAnsi="Times New Roman" w:hint="eastAsia"/>
          <w:sz w:val="24"/>
          <w:szCs w:val="21"/>
        </w:rPr>
        <w:lastRenderedPageBreak/>
        <w:t>营业务未发生重大变化，不存在应披露而未披露的重大事项。</w:t>
      </w:r>
    </w:p>
    <w:p w14:paraId="3B940BAC" w14:textId="77777777" w:rsidR="00657962" w:rsidRPr="00657962" w:rsidRDefault="00B95C90" w:rsidP="002E3E1C">
      <w:pPr>
        <w:spacing w:line="480" w:lineRule="exact"/>
        <w:ind w:firstLineChars="236" w:firstLine="566"/>
        <w:rPr>
          <w:rFonts w:ascii="Times New Roman" w:hAnsi="Times New Roman"/>
          <w:sz w:val="24"/>
          <w:szCs w:val="21"/>
        </w:rPr>
      </w:pPr>
      <w:r>
        <w:rPr>
          <w:rFonts w:ascii="Times New Roman" w:hAnsi="Times New Roman" w:hint="eastAsia"/>
          <w:sz w:val="24"/>
          <w:szCs w:val="21"/>
        </w:rPr>
        <w:t>（二）重大事项情况</w:t>
      </w:r>
    </w:p>
    <w:p w14:paraId="7310C347" w14:textId="12C064CF"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经公司自查，不存在根据《上海证券交易所股票上市规则》（以下简称“《上市规则》”）等有关规定应予以披露而未披露的事项或与该事项有关的筹划、商谈、意向、协议等</w:t>
      </w:r>
      <w:r w:rsidR="00992136">
        <w:rPr>
          <w:rFonts w:ascii="Times New Roman" w:hAnsi="Times New Roman" w:hint="eastAsia"/>
          <w:sz w:val="24"/>
          <w:szCs w:val="21"/>
        </w:rPr>
        <w:t>；</w:t>
      </w:r>
      <w:r w:rsidRPr="00657962">
        <w:rPr>
          <w:rFonts w:ascii="Times New Roman" w:hAnsi="Times New Roman" w:hint="eastAsia"/>
          <w:sz w:val="24"/>
          <w:szCs w:val="21"/>
        </w:rPr>
        <w:t>董事会也未获悉公司有根据《上市规则》等有关规定应予以披露而未披露的、对公司股票及其衍生品种交易价格产生较大影响的信息</w:t>
      </w:r>
      <w:r w:rsidR="00992136">
        <w:rPr>
          <w:rFonts w:ascii="Times New Roman" w:hAnsi="Times New Roman" w:hint="eastAsia"/>
          <w:sz w:val="24"/>
          <w:szCs w:val="21"/>
        </w:rPr>
        <w:t>；</w:t>
      </w:r>
      <w:r w:rsidR="00992136" w:rsidRPr="00992136">
        <w:rPr>
          <w:rFonts w:ascii="Times New Roman" w:hAnsi="Times New Roman" w:hint="eastAsia"/>
          <w:sz w:val="24"/>
          <w:szCs w:val="21"/>
        </w:rPr>
        <w:t>公司前期披露的信息不存在需要更正、补充之处</w:t>
      </w:r>
      <w:r w:rsidR="00992136">
        <w:rPr>
          <w:rFonts w:ascii="Times New Roman" w:hAnsi="Times New Roman" w:hint="eastAsia"/>
          <w:sz w:val="24"/>
          <w:szCs w:val="21"/>
        </w:rPr>
        <w:t>。</w:t>
      </w:r>
    </w:p>
    <w:p w14:paraId="2A32595A" w14:textId="77777777"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（三）媒体报道、市场传闻、热点概念情况</w:t>
      </w:r>
    </w:p>
    <w:p w14:paraId="689A9115" w14:textId="6B135DFA" w:rsidR="00657962" w:rsidRPr="00657962" w:rsidRDefault="00DB355C" w:rsidP="002E3E1C">
      <w:pPr>
        <w:spacing w:line="480" w:lineRule="exact"/>
        <w:ind w:firstLineChars="236" w:firstLine="566"/>
        <w:rPr>
          <w:rFonts w:ascii="Times New Roman" w:hAnsi="Times New Roman"/>
          <w:sz w:val="24"/>
          <w:szCs w:val="21"/>
        </w:rPr>
      </w:pPr>
      <w:r w:rsidRPr="00991559">
        <w:rPr>
          <w:rFonts w:ascii="Times New Roman" w:hAnsi="Times New Roman"/>
          <w:sz w:val="24"/>
          <w:szCs w:val="24"/>
        </w:rPr>
        <w:t>公司主营业务为装备制造</w:t>
      </w:r>
      <w:r w:rsidRPr="00855CA5">
        <w:rPr>
          <w:rFonts w:ascii="Times New Roman" w:hAnsi="Times New Roman"/>
          <w:sz w:val="24"/>
          <w:szCs w:val="24"/>
        </w:rPr>
        <w:t>。</w:t>
      </w:r>
      <w:r w:rsidRPr="00855CA5">
        <w:rPr>
          <w:rFonts w:ascii="Times New Roman" w:hAnsi="Times New Roman" w:hint="eastAsia"/>
          <w:sz w:val="24"/>
          <w:szCs w:val="24"/>
        </w:rPr>
        <w:t>公</w:t>
      </w:r>
      <w:r w:rsidRPr="00DB6C4C">
        <w:rPr>
          <w:rFonts w:ascii="Times New Roman" w:hAnsi="Times New Roman" w:hint="eastAsia"/>
          <w:sz w:val="24"/>
          <w:szCs w:val="24"/>
        </w:rPr>
        <w:t>司未发现对公司股票交易价格可能产生重大影响的媒体报道或市场传闻，公司未发现其他可能对公司股价产生较大影响的重大事件。</w:t>
      </w:r>
      <w:r w:rsidRPr="00A040E9">
        <w:rPr>
          <w:rFonts w:ascii="Times New Roman" w:hAnsi="Times New Roman"/>
          <w:sz w:val="24"/>
          <w:szCs w:val="24"/>
        </w:rPr>
        <w:t>敬请广大投资者注意二级市场交易风险，理性决策，审慎投资。</w:t>
      </w:r>
    </w:p>
    <w:p w14:paraId="0CBCC619" w14:textId="77777777"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（四）其他股价敏感信息</w:t>
      </w:r>
    </w:p>
    <w:p w14:paraId="41085D09" w14:textId="15A015C6" w:rsid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经公司核实，未发现公司控股股东、实际控制人及公司董事、高级管理人员在公司本次股票交易异常波动期间买卖公司股票的情况。</w:t>
      </w:r>
    </w:p>
    <w:p w14:paraId="5079B635" w14:textId="4895FD26" w:rsidR="00BC3B7D" w:rsidRDefault="00BC3B7D" w:rsidP="00BC3B7D">
      <w:pPr>
        <w:spacing w:line="480" w:lineRule="exact"/>
        <w:ind w:firstLineChars="236" w:firstLine="566"/>
        <w:rPr>
          <w:rFonts w:ascii="Times New Roman" w:hAnsi="Times New Roman"/>
          <w:sz w:val="24"/>
          <w:szCs w:val="21"/>
        </w:rPr>
      </w:pPr>
      <w:r w:rsidRPr="00BC3B7D">
        <w:rPr>
          <w:rFonts w:ascii="Times New Roman" w:hAnsi="Times New Roman" w:hint="eastAsia"/>
          <w:sz w:val="24"/>
          <w:szCs w:val="21"/>
        </w:rPr>
        <w:t>公司控股子公司北洋天青</w:t>
      </w:r>
      <w:r w:rsidR="000A7F8E">
        <w:rPr>
          <w:rFonts w:ascii="Times New Roman" w:hAnsi="Times New Roman" w:hint="eastAsia"/>
          <w:sz w:val="24"/>
          <w:szCs w:val="21"/>
        </w:rPr>
        <w:t>于</w:t>
      </w:r>
      <w:r w:rsidR="000A7F8E" w:rsidRPr="000A7F8E">
        <w:rPr>
          <w:rFonts w:ascii="Times New Roman" w:hAnsi="Times New Roman"/>
          <w:sz w:val="24"/>
          <w:szCs w:val="21"/>
        </w:rPr>
        <w:t>2026</w:t>
      </w:r>
      <w:r w:rsidR="000A7F8E" w:rsidRPr="000A7F8E">
        <w:rPr>
          <w:rFonts w:ascii="Times New Roman" w:hAnsi="Times New Roman"/>
          <w:sz w:val="24"/>
          <w:szCs w:val="21"/>
        </w:rPr>
        <w:t>年</w:t>
      </w:r>
      <w:r w:rsidR="000A7F8E" w:rsidRPr="000A7F8E">
        <w:rPr>
          <w:rFonts w:ascii="Times New Roman" w:hAnsi="Times New Roman"/>
          <w:sz w:val="24"/>
          <w:szCs w:val="21"/>
        </w:rPr>
        <w:t>9</w:t>
      </w:r>
      <w:r w:rsidR="000A7F8E" w:rsidRPr="000A7F8E">
        <w:rPr>
          <w:rFonts w:ascii="Times New Roman" w:hAnsi="Times New Roman"/>
          <w:sz w:val="24"/>
          <w:szCs w:val="21"/>
        </w:rPr>
        <w:t>月</w:t>
      </w:r>
      <w:r w:rsidR="000A7F8E" w:rsidRPr="000A7F8E">
        <w:rPr>
          <w:rFonts w:ascii="Times New Roman" w:hAnsi="Times New Roman"/>
          <w:sz w:val="24"/>
          <w:szCs w:val="21"/>
        </w:rPr>
        <w:t>18</w:t>
      </w:r>
      <w:r w:rsidR="000A7F8E" w:rsidRPr="000A7F8E">
        <w:rPr>
          <w:rFonts w:ascii="Times New Roman" w:hAnsi="Times New Roman"/>
          <w:sz w:val="24"/>
          <w:szCs w:val="21"/>
        </w:rPr>
        <w:t>日收到中国证监会出具的《立案告知书》，</w:t>
      </w:r>
      <w:r w:rsidR="000A7F8E">
        <w:rPr>
          <w:rFonts w:ascii="Times New Roman" w:hAnsi="Times New Roman" w:hint="eastAsia"/>
          <w:sz w:val="24"/>
          <w:szCs w:val="21"/>
        </w:rPr>
        <w:t>因北洋天青</w:t>
      </w:r>
      <w:r w:rsidRPr="00BC3B7D">
        <w:rPr>
          <w:rFonts w:ascii="Times New Roman" w:hAnsi="Times New Roman" w:hint="eastAsia"/>
          <w:sz w:val="24"/>
          <w:szCs w:val="21"/>
        </w:rPr>
        <w:t>作为资产重组标的，涉嫌在重组过程中提供的信息存在虚假记载、误导性陈述或者重大遗漏，</w:t>
      </w:r>
      <w:r w:rsidR="00855CA5">
        <w:rPr>
          <w:rFonts w:ascii="Times New Roman" w:hAnsi="Times New Roman" w:hint="eastAsia"/>
          <w:sz w:val="24"/>
          <w:szCs w:val="21"/>
        </w:rPr>
        <w:t>被中国证监会</w:t>
      </w:r>
      <w:r w:rsidRPr="00BC3B7D">
        <w:rPr>
          <w:rFonts w:ascii="Times New Roman" w:hAnsi="Times New Roman" w:hint="eastAsia"/>
          <w:sz w:val="24"/>
          <w:szCs w:val="21"/>
        </w:rPr>
        <w:t>立案</w:t>
      </w:r>
      <w:r w:rsidR="00855CA5">
        <w:rPr>
          <w:rFonts w:ascii="Times New Roman" w:hAnsi="Times New Roman" w:hint="eastAsia"/>
          <w:sz w:val="24"/>
          <w:szCs w:val="21"/>
        </w:rPr>
        <w:t>调查</w:t>
      </w:r>
      <w:r w:rsidRPr="00BC3B7D">
        <w:rPr>
          <w:rFonts w:ascii="Times New Roman" w:hAnsi="Times New Roman" w:hint="eastAsia"/>
          <w:sz w:val="24"/>
          <w:szCs w:val="21"/>
        </w:rPr>
        <w:t>。目前，公司及控股子公司北洋天青经营情况正常。公司将督促北洋天青全力配合中国证监会的相关调查工作，</w:t>
      </w:r>
      <w:r>
        <w:rPr>
          <w:rFonts w:ascii="Times New Roman" w:hAnsi="Times New Roman" w:hint="eastAsia"/>
          <w:sz w:val="24"/>
          <w:szCs w:val="21"/>
        </w:rPr>
        <w:t>并将</w:t>
      </w:r>
      <w:r w:rsidRPr="00BC3B7D">
        <w:rPr>
          <w:rFonts w:ascii="Times New Roman" w:hAnsi="Times New Roman" w:hint="eastAsia"/>
          <w:sz w:val="24"/>
          <w:szCs w:val="21"/>
        </w:rPr>
        <w:t>严格按照有关规定履行信息披露义务。</w:t>
      </w:r>
      <w:r w:rsidR="000A7F8E">
        <w:rPr>
          <w:rFonts w:ascii="Times New Roman" w:hAnsi="Times New Roman" w:hint="eastAsia"/>
          <w:sz w:val="24"/>
          <w:szCs w:val="21"/>
        </w:rPr>
        <w:t>详细内容请见公司于</w:t>
      </w:r>
      <w:r w:rsidR="000A7F8E">
        <w:rPr>
          <w:rFonts w:ascii="Times New Roman" w:hAnsi="Times New Roman" w:hint="eastAsia"/>
          <w:sz w:val="24"/>
          <w:szCs w:val="21"/>
        </w:rPr>
        <w:t>2026</w:t>
      </w:r>
      <w:r w:rsidR="000A7F8E">
        <w:rPr>
          <w:rFonts w:ascii="Times New Roman" w:hAnsi="Times New Roman" w:hint="eastAsia"/>
          <w:sz w:val="24"/>
          <w:szCs w:val="21"/>
        </w:rPr>
        <w:t>年</w:t>
      </w:r>
      <w:r w:rsidR="000A7F8E">
        <w:rPr>
          <w:rFonts w:ascii="Times New Roman" w:hAnsi="Times New Roman" w:hint="eastAsia"/>
          <w:sz w:val="24"/>
          <w:szCs w:val="21"/>
        </w:rPr>
        <w:t>9</w:t>
      </w:r>
      <w:r w:rsidR="000A7F8E">
        <w:rPr>
          <w:rFonts w:ascii="Times New Roman" w:hAnsi="Times New Roman" w:hint="eastAsia"/>
          <w:sz w:val="24"/>
          <w:szCs w:val="21"/>
        </w:rPr>
        <w:t>月</w:t>
      </w:r>
      <w:r w:rsidR="000A7F8E">
        <w:rPr>
          <w:rFonts w:ascii="Times New Roman" w:hAnsi="Times New Roman" w:hint="eastAsia"/>
          <w:sz w:val="24"/>
          <w:szCs w:val="21"/>
        </w:rPr>
        <w:t>19</w:t>
      </w:r>
      <w:r w:rsidR="000A7F8E">
        <w:rPr>
          <w:rFonts w:ascii="Times New Roman" w:hAnsi="Times New Roman" w:hint="eastAsia"/>
          <w:sz w:val="24"/>
          <w:szCs w:val="21"/>
        </w:rPr>
        <w:t>日披露的《</w:t>
      </w:r>
      <w:r w:rsidR="000A7F8E" w:rsidRPr="000A7F8E">
        <w:rPr>
          <w:rFonts w:ascii="Times New Roman" w:hAnsi="Times New Roman"/>
          <w:sz w:val="24"/>
          <w:szCs w:val="21"/>
        </w:rPr>
        <w:t>京城股份关于控股子公司青岛北洋天青数联智能有限公司收到中国证券监督管理委员会</w:t>
      </w:r>
      <w:r w:rsidR="000A7F8E">
        <w:rPr>
          <w:rFonts w:ascii="Times New Roman" w:hAnsi="Times New Roman" w:hint="eastAsia"/>
          <w:sz w:val="24"/>
          <w:szCs w:val="21"/>
        </w:rPr>
        <w:t>&lt;</w:t>
      </w:r>
      <w:r w:rsidR="000A7F8E" w:rsidRPr="000A7F8E">
        <w:rPr>
          <w:rFonts w:ascii="Times New Roman" w:hAnsi="Times New Roman"/>
          <w:sz w:val="24"/>
          <w:szCs w:val="21"/>
        </w:rPr>
        <w:t>立案告知书</w:t>
      </w:r>
      <w:r w:rsidR="000A7F8E">
        <w:rPr>
          <w:rFonts w:ascii="Times New Roman" w:hAnsi="Times New Roman" w:hint="eastAsia"/>
          <w:sz w:val="24"/>
          <w:szCs w:val="21"/>
        </w:rPr>
        <w:t>&gt;</w:t>
      </w:r>
      <w:r w:rsidR="000A7F8E" w:rsidRPr="000A7F8E">
        <w:rPr>
          <w:rFonts w:ascii="Times New Roman" w:hAnsi="Times New Roman"/>
          <w:sz w:val="24"/>
          <w:szCs w:val="21"/>
        </w:rPr>
        <w:t>的公告</w:t>
      </w:r>
      <w:r w:rsidR="000A7F8E">
        <w:rPr>
          <w:rFonts w:ascii="Times New Roman" w:hAnsi="Times New Roman" w:hint="eastAsia"/>
          <w:sz w:val="24"/>
          <w:szCs w:val="21"/>
        </w:rPr>
        <w:t>》（公告编号：临</w:t>
      </w:r>
      <w:r w:rsidR="000A7F8E">
        <w:rPr>
          <w:rFonts w:ascii="Times New Roman" w:hAnsi="Times New Roman" w:hint="eastAsia"/>
          <w:sz w:val="24"/>
          <w:szCs w:val="21"/>
        </w:rPr>
        <w:t>2026-024</w:t>
      </w:r>
      <w:r w:rsidR="000A7F8E">
        <w:rPr>
          <w:rFonts w:ascii="Times New Roman" w:hAnsi="Times New Roman" w:hint="eastAsia"/>
          <w:sz w:val="24"/>
          <w:szCs w:val="21"/>
        </w:rPr>
        <w:t>）。</w:t>
      </w:r>
    </w:p>
    <w:p w14:paraId="78E605B2" w14:textId="77777777" w:rsidR="00657962" w:rsidRPr="00657962" w:rsidRDefault="00657962" w:rsidP="002E3E1C">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三、相关风险提示</w:t>
      </w:r>
    </w:p>
    <w:p w14:paraId="10D43F02" w14:textId="757832AF" w:rsidR="00730E7A" w:rsidRDefault="00730E7A" w:rsidP="00EF0352">
      <w:pPr>
        <w:spacing w:line="480" w:lineRule="exact"/>
        <w:ind w:firstLineChars="236" w:firstLine="566"/>
        <w:rPr>
          <w:rFonts w:ascii="Times New Roman" w:hAnsi="Times New Roman"/>
          <w:sz w:val="24"/>
          <w:szCs w:val="21"/>
        </w:rPr>
      </w:pPr>
      <w:r w:rsidRPr="00730E7A">
        <w:rPr>
          <w:rFonts w:ascii="Times New Roman" w:hAnsi="Times New Roman"/>
          <w:sz w:val="24"/>
          <w:szCs w:val="21"/>
        </w:rPr>
        <w:t>公司股票价格近期波动较大，公司郑重提醒广大投资者，有关公司信息以公司在</w:t>
      </w:r>
      <w:r w:rsidR="004A4DBF" w:rsidRPr="004A4DBF">
        <w:rPr>
          <w:rFonts w:ascii="Times New Roman" w:hAnsi="Times New Roman"/>
          <w:sz w:val="24"/>
          <w:szCs w:val="21"/>
        </w:rPr>
        <w:t>指定的信息披露媒体上海证券交易所网站</w:t>
      </w:r>
      <w:r w:rsidR="004A4DBF" w:rsidRPr="004A4DBF">
        <w:rPr>
          <w:rFonts w:ascii="Times New Roman" w:hAnsi="Times New Roman"/>
          <w:sz w:val="24"/>
          <w:szCs w:val="21"/>
        </w:rPr>
        <w:t xml:space="preserve"> www.sse.com.cn</w:t>
      </w:r>
      <w:r w:rsidR="004A4DBF" w:rsidRPr="004A4DBF">
        <w:rPr>
          <w:rFonts w:ascii="Times New Roman" w:hAnsi="Times New Roman"/>
          <w:sz w:val="24"/>
          <w:szCs w:val="21"/>
        </w:rPr>
        <w:t>、《上海证券报》以及香港联合交易所披露易网站</w:t>
      </w:r>
      <w:r w:rsidR="004A4DBF" w:rsidRPr="004A4DBF">
        <w:rPr>
          <w:rFonts w:ascii="Times New Roman" w:hAnsi="Times New Roman"/>
          <w:sz w:val="24"/>
          <w:szCs w:val="21"/>
        </w:rPr>
        <w:t xml:space="preserve"> www.hkexnews.hk</w:t>
      </w:r>
      <w:r w:rsidRPr="00730E7A">
        <w:rPr>
          <w:rFonts w:ascii="Times New Roman" w:hAnsi="Times New Roman"/>
          <w:sz w:val="24"/>
          <w:szCs w:val="21"/>
        </w:rPr>
        <w:t>刊登的相关公告为准。敬请广大投资者理性投资，注意投资风险。</w:t>
      </w:r>
    </w:p>
    <w:p w14:paraId="1938A553" w14:textId="24E2C72D" w:rsidR="00657962" w:rsidRDefault="00657962" w:rsidP="00EF0352">
      <w:pPr>
        <w:spacing w:line="480" w:lineRule="exact"/>
        <w:ind w:firstLineChars="236" w:firstLine="566"/>
        <w:rPr>
          <w:rFonts w:ascii="Times New Roman" w:hAnsi="Times New Roman"/>
          <w:sz w:val="24"/>
          <w:szCs w:val="21"/>
        </w:rPr>
      </w:pPr>
      <w:r w:rsidRPr="00657962">
        <w:rPr>
          <w:rFonts w:ascii="Times New Roman" w:hAnsi="Times New Roman" w:hint="eastAsia"/>
          <w:sz w:val="24"/>
          <w:szCs w:val="21"/>
        </w:rPr>
        <w:t>特此公告。</w:t>
      </w:r>
    </w:p>
    <w:p w14:paraId="69A08C33" w14:textId="77777777" w:rsidR="00657962" w:rsidRPr="00657962" w:rsidRDefault="00657962" w:rsidP="00A709FB">
      <w:pPr>
        <w:spacing w:line="480" w:lineRule="exact"/>
        <w:ind w:firstLineChars="1900" w:firstLine="4560"/>
        <w:rPr>
          <w:rFonts w:ascii="Times New Roman" w:hAnsi="Times New Roman"/>
          <w:sz w:val="24"/>
          <w:szCs w:val="21"/>
        </w:rPr>
      </w:pPr>
      <w:r w:rsidRPr="00657962">
        <w:rPr>
          <w:rFonts w:ascii="Times New Roman" w:hAnsi="Times New Roman" w:hint="eastAsia"/>
          <w:sz w:val="24"/>
          <w:szCs w:val="21"/>
        </w:rPr>
        <w:t>北京京城机电股份有限公司董事会</w:t>
      </w:r>
    </w:p>
    <w:p w14:paraId="6AC98A5B" w14:textId="29E11A8C" w:rsidR="00657962" w:rsidRDefault="007A1DB0" w:rsidP="00FF45E4">
      <w:pPr>
        <w:spacing w:line="480" w:lineRule="exact"/>
        <w:ind w:firstLineChars="2300" w:firstLine="5520"/>
        <w:rPr>
          <w:rFonts w:ascii="Times New Roman" w:hAnsi="Times New Roman"/>
          <w:sz w:val="24"/>
          <w:szCs w:val="21"/>
        </w:rPr>
      </w:pPr>
      <w:r>
        <w:rPr>
          <w:rFonts w:ascii="Times New Roman" w:hAnsi="Times New Roman" w:hint="eastAsia"/>
          <w:sz w:val="24"/>
          <w:szCs w:val="21"/>
        </w:rPr>
        <w:t>202</w:t>
      </w:r>
      <w:r w:rsidR="004C1C73">
        <w:rPr>
          <w:rFonts w:ascii="Times New Roman" w:hAnsi="Times New Roman" w:hint="eastAsia"/>
          <w:sz w:val="24"/>
          <w:szCs w:val="21"/>
        </w:rPr>
        <w:t>6</w:t>
      </w:r>
      <w:r w:rsidR="00657962" w:rsidRPr="00657962">
        <w:rPr>
          <w:rFonts w:ascii="Times New Roman" w:hAnsi="Times New Roman" w:hint="eastAsia"/>
          <w:sz w:val="24"/>
          <w:szCs w:val="21"/>
        </w:rPr>
        <w:t>年</w:t>
      </w:r>
      <w:r w:rsidR="00C613C3">
        <w:rPr>
          <w:rFonts w:ascii="Times New Roman" w:hAnsi="Times New Roman" w:hint="eastAsia"/>
          <w:sz w:val="24"/>
          <w:szCs w:val="21"/>
        </w:rPr>
        <w:t>10</w:t>
      </w:r>
      <w:r w:rsidR="00657962" w:rsidRPr="00657962">
        <w:rPr>
          <w:rFonts w:ascii="Times New Roman" w:hAnsi="Times New Roman" w:hint="eastAsia"/>
          <w:sz w:val="24"/>
          <w:szCs w:val="21"/>
        </w:rPr>
        <w:t>月</w:t>
      </w:r>
      <w:r w:rsidR="003D7694">
        <w:rPr>
          <w:rFonts w:ascii="Times New Roman" w:hAnsi="Times New Roman" w:hint="eastAsia"/>
          <w:sz w:val="24"/>
          <w:szCs w:val="21"/>
        </w:rPr>
        <w:t>20</w:t>
      </w:r>
      <w:r w:rsidR="00657962" w:rsidRPr="00657962">
        <w:rPr>
          <w:rFonts w:ascii="Times New Roman" w:hAnsi="Times New Roman" w:hint="eastAsia"/>
          <w:sz w:val="24"/>
          <w:szCs w:val="21"/>
        </w:rPr>
        <w:t>日</w:t>
      </w:r>
    </w:p>
    <w:sectPr w:rsidR="00657962">
      <w:footerReference w:type="even" r:id="rId8"/>
      <w:footerReference w:type="default" r:id="rId9"/>
      <w:pgSz w:w="11906" w:h="16838"/>
      <w:pgMar w:top="1418" w:right="1758" w:bottom="1440" w:left="1758" w:header="1247"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765A0" w14:textId="77777777" w:rsidR="00824336" w:rsidRDefault="00824336">
      <w:r>
        <w:separator/>
      </w:r>
    </w:p>
  </w:endnote>
  <w:endnote w:type="continuationSeparator" w:id="0">
    <w:p w14:paraId="43967983" w14:textId="77777777" w:rsidR="00824336" w:rsidRDefault="00824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B08E" w14:textId="77777777" w:rsidR="002867C8" w:rsidRDefault="002867C8">
    <w:pPr>
      <w:pStyle w:val="a9"/>
      <w:framePr w:wrap="around" w:vAnchor="text" w:hAnchor="margin" w:xAlign="center" w:y="1"/>
      <w:rPr>
        <w:rStyle w:val="a5"/>
      </w:rPr>
    </w:pPr>
    <w:r>
      <w:fldChar w:fldCharType="begin"/>
    </w:r>
    <w:r>
      <w:rPr>
        <w:rStyle w:val="a5"/>
      </w:rPr>
      <w:instrText xml:space="preserve">PAGE  </w:instrText>
    </w:r>
    <w:r>
      <w:fldChar w:fldCharType="end"/>
    </w:r>
  </w:p>
  <w:p w14:paraId="36BB1EB0" w14:textId="77777777" w:rsidR="002867C8" w:rsidRDefault="002867C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EB1A" w14:textId="77777777" w:rsidR="002867C8" w:rsidRDefault="002867C8">
    <w:pPr>
      <w:pStyle w:val="a9"/>
      <w:framePr w:wrap="around" w:vAnchor="text" w:hAnchor="margin" w:xAlign="center" w:y="1"/>
      <w:rPr>
        <w:rStyle w:val="a5"/>
      </w:rPr>
    </w:pPr>
    <w:r>
      <w:fldChar w:fldCharType="begin"/>
    </w:r>
    <w:r>
      <w:rPr>
        <w:rStyle w:val="a5"/>
      </w:rPr>
      <w:instrText xml:space="preserve">PAGE  </w:instrText>
    </w:r>
    <w:r>
      <w:fldChar w:fldCharType="separate"/>
    </w:r>
    <w:r w:rsidR="00BF72C8">
      <w:rPr>
        <w:rStyle w:val="a5"/>
        <w:noProof/>
      </w:rPr>
      <w:t>1</w:t>
    </w:r>
    <w:r>
      <w:fldChar w:fldCharType="end"/>
    </w:r>
  </w:p>
  <w:p w14:paraId="4E0C2E9E" w14:textId="77777777" w:rsidR="002867C8" w:rsidRDefault="002867C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D1CBF" w14:textId="77777777" w:rsidR="00824336" w:rsidRDefault="00824336">
      <w:r>
        <w:separator/>
      </w:r>
    </w:p>
  </w:footnote>
  <w:footnote w:type="continuationSeparator" w:id="0">
    <w:p w14:paraId="63768986" w14:textId="77777777" w:rsidR="00824336" w:rsidRDefault="00824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C5C2D"/>
    <w:multiLevelType w:val="hybridMultilevel"/>
    <w:tmpl w:val="4DBA6E16"/>
    <w:lvl w:ilvl="0" w:tplc="D2C0ACB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275763F5"/>
    <w:multiLevelType w:val="hybridMultilevel"/>
    <w:tmpl w:val="CC543B68"/>
    <w:lvl w:ilvl="0" w:tplc="04090001">
      <w:start w:val="1"/>
      <w:numFmt w:val="bullet"/>
      <w:lvlText w:val=""/>
      <w:lvlJc w:val="left"/>
      <w:pPr>
        <w:ind w:left="900" w:hanging="420"/>
      </w:pPr>
      <w:rPr>
        <w:rFonts w:ascii="Wingdings" w:hAnsi="Wingdings" w:hint="default"/>
      </w:rPr>
    </w:lvl>
    <w:lvl w:ilvl="1" w:tplc="FFFFFFFF" w:tentative="1">
      <w:start w:val="1"/>
      <w:numFmt w:val="bullet"/>
      <w:lvlText w:val=""/>
      <w:lvlJc w:val="left"/>
      <w:pPr>
        <w:ind w:left="1320" w:hanging="420"/>
      </w:pPr>
      <w:rPr>
        <w:rFonts w:ascii="Wingdings" w:hAnsi="Wingdings" w:hint="default"/>
      </w:rPr>
    </w:lvl>
    <w:lvl w:ilvl="2" w:tplc="FFFFFFFF" w:tentative="1">
      <w:start w:val="1"/>
      <w:numFmt w:val="bullet"/>
      <w:lvlText w:val=""/>
      <w:lvlJc w:val="left"/>
      <w:pPr>
        <w:ind w:left="1740" w:hanging="420"/>
      </w:pPr>
      <w:rPr>
        <w:rFonts w:ascii="Wingdings" w:hAnsi="Wingdings" w:hint="default"/>
      </w:rPr>
    </w:lvl>
    <w:lvl w:ilvl="3" w:tplc="FFFFFFFF" w:tentative="1">
      <w:start w:val="1"/>
      <w:numFmt w:val="bullet"/>
      <w:lvlText w:val=""/>
      <w:lvlJc w:val="left"/>
      <w:pPr>
        <w:ind w:left="2160" w:hanging="420"/>
      </w:pPr>
      <w:rPr>
        <w:rFonts w:ascii="Wingdings" w:hAnsi="Wingdings" w:hint="default"/>
      </w:rPr>
    </w:lvl>
    <w:lvl w:ilvl="4" w:tplc="FFFFFFFF" w:tentative="1">
      <w:start w:val="1"/>
      <w:numFmt w:val="bullet"/>
      <w:lvlText w:val=""/>
      <w:lvlJc w:val="left"/>
      <w:pPr>
        <w:ind w:left="2580" w:hanging="420"/>
      </w:pPr>
      <w:rPr>
        <w:rFonts w:ascii="Wingdings" w:hAnsi="Wingdings" w:hint="default"/>
      </w:rPr>
    </w:lvl>
    <w:lvl w:ilvl="5" w:tplc="FFFFFFFF" w:tentative="1">
      <w:start w:val="1"/>
      <w:numFmt w:val="bullet"/>
      <w:lvlText w:val=""/>
      <w:lvlJc w:val="left"/>
      <w:pPr>
        <w:ind w:left="3000" w:hanging="420"/>
      </w:pPr>
      <w:rPr>
        <w:rFonts w:ascii="Wingdings" w:hAnsi="Wingdings" w:hint="default"/>
      </w:rPr>
    </w:lvl>
    <w:lvl w:ilvl="6" w:tplc="FFFFFFFF" w:tentative="1">
      <w:start w:val="1"/>
      <w:numFmt w:val="bullet"/>
      <w:lvlText w:val=""/>
      <w:lvlJc w:val="left"/>
      <w:pPr>
        <w:ind w:left="3420" w:hanging="420"/>
      </w:pPr>
      <w:rPr>
        <w:rFonts w:ascii="Wingdings" w:hAnsi="Wingdings" w:hint="default"/>
      </w:rPr>
    </w:lvl>
    <w:lvl w:ilvl="7" w:tplc="FFFFFFFF" w:tentative="1">
      <w:start w:val="1"/>
      <w:numFmt w:val="bullet"/>
      <w:lvlText w:val=""/>
      <w:lvlJc w:val="left"/>
      <w:pPr>
        <w:ind w:left="3840" w:hanging="420"/>
      </w:pPr>
      <w:rPr>
        <w:rFonts w:ascii="Wingdings" w:hAnsi="Wingdings" w:hint="default"/>
      </w:rPr>
    </w:lvl>
    <w:lvl w:ilvl="8" w:tplc="FFFFFFFF" w:tentative="1">
      <w:start w:val="1"/>
      <w:numFmt w:val="bullet"/>
      <w:lvlText w:val=""/>
      <w:lvlJc w:val="left"/>
      <w:pPr>
        <w:ind w:left="4260" w:hanging="420"/>
      </w:pPr>
      <w:rPr>
        <w:rFonts w:ascii="Wingdings" w:hAnsi="Wingdings" w:hint="default"/>
      </w:rPr>
    </w:lvl>
  </w:abstractNum>
  <w:abstractNum w:abstractNumId="2" w15:restartNumberingAfterBreak="0">
    <w:nsid w:val="6EE47FCB"/>
    <w:multiLevelType w:val="hybridMultilevel"/>
    <w:tmpl w:val="34B4515C"/>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num w:numId="1" w16cid:durableId="580413168">
    <w:abstractNumId w:val="0"/>
  </w:num>
  <w:num w:numId="2" w16cid:durableId="1344088925">
    <w:abstractNumId w:val="2"/>
  </w:num>
  <w:num w:numId="3" w16cid:durableId="17572896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1774E"/>
    <w:rsid w:val="00007DC9"/>
    <w:rsid w:val="000129B1"/>
    <w:rsid w:val="0003239F"/>
    <w:rsid w:val="00044830"/>
    <w:rsid w:val="00046B80"/>
    <w:rsid w:val="0005131C"/>
    <w:rsid w:val="0005146D"/>
    <w:rsid w:val="0005181A"/>
    <w:rsid w:val="00060B5F"/>
    <w:rsid w:val="0007282F"/>
    <w:rsid w:val="00074182"/>
    <w:rsid w:val="00076F29"/>
    <w:rsid w:val="00083CB1"/>
    <w:rsid w:val="00086CBA"/>
    <w:rsid w:val="00091CCA"/>
    <w:rsid w:val="000949F2"/>
    <w:rsid w:val="000971BC"/>
    <w:rsid w:val="000A7F8E"/>
    <w:rsid w:val="000B08A8"/>
    <w:rsid w:val="000B1550"/>
    <w:rsid w:val="000B3DC4"/>
    <w:rsid w:val="000C685C"/>
    <w:rsid w:val="000D0F76"/>
    <w:rsid w:val="000D756C"/>
    <w:rsid w:val="000E0E1E"/>
    <w:rsid w:val="000E60EA"/>
    <w:rsid w:val="000F7FF5"/>
    <w:rsid w:val="00110A4F"/>
    <w:rsid w:val="0011270C"/>
    <w:rsid w:val="00114841"/>
    <w:rsid w:val="001170F2"/>
    <w:rsid w:val="00120FFC"/>
    <w:rsid w:val="00134733"/>
    <w:rsid w:val="00137CE9"/>
    <w:rsid w:val="00137E40"/>
    <w:rsid w:val="0014103E"/>
    <w:rsid w:val="00147451"/>
    <w:rsid w:val="00147E2A"/>
    <w:rsid w:val="00151E53"/>
    <w:rsid w:val="00152FD0"/>
    <w:rsid w:val="001616CE"/>
    <w:rsid w:val="00164BAC"/>
    <w:rsid w:val="00171966"/>
    <w:rsid w:val="00173006"/>
    <w:rsid w:val="00175D87"/>
    <w:rsid w:val="001915D6"/>
    <w:rsid w:val="001A5AC6"/>
    <w:rsid w:val="001A621C"/>
    <w:rsid w:val="001A6545"/>
    <w:rsid w:val="001B7C53"/>
    <w:rsid w:val="001C38AB"/>
    <w:rsid w:val="001C438E"/>
    <w:rsid w:val="001C509E"/>
    <w:rsid w:val="001D04C6"/>
    <w:rsid w:val="00200A3C"/>
    <w:rsid w:val="0021201C"/>
    <w:rsid w:val="00216A87"/>
    <w:rsid w:val="00217238"/>
    <w:rsid w:val="00220E8D"/>
    <w:rsid w:val="00225EC4"/>
    <w:rsid w:val="00226BF0"/>
    <w:rsid w:val="00237543"/>
    <w:rsid w:val="0024241C"/>
    <w:rsid w:val="00244D22"/>
    <w:rsid w:val="00244FA9"/>
    <w:rsid w:val="002466DF"/>
    <w:rsid w:val="0025294A"/>
    <w:rsid w:val="00252987"/>
    <w:rsid w:val="00260869"/>
    <w:rsid w:val="00265AE9"/>
    <w:rsid w:val="0026645A"/>
    <w:rsid w:val="00274903"/>
    <w:rsid w:val="00284564"/>
    <w:rsid w:val="002867C8"/>
    <w:rsid w:val="0029437D"/>
    <w:rsid w:val="002A6168"/>
    <w:rsid w:val="002C2C81"/>
    <w:rsid w:val="002D0345"/>
    <w:rsid w:val="002E061C"/>
    <w:rsid w:val="002E2DCA"/>
    <w:rsid w:val="002E3E1C"/>
    <w:rsid w:val="002E4513"/>
    <w:rsid w:val="002E72C6"/>
    <w:rsid w:val="002F2655"/>
    <w:rsid w:val="002F3F14"/>
    <w:rsid w:val="002F745B"/>
    <w:rsid w:val="0030496B"/>
    <w:rsid w:val="00327812"/>
    <w:rsid w:val="00334E7B"/>
    <w:rsid w:val="00336946"/>
    <w:rsid w:val="00352828"/>
    <w:rsid w:val="00352CC5"/>
    <w:rsid w:val="00353386"/>
    <w:rsid w:val="00353F33"/>
    <w:rsid w:val="00367320"/>
    <w:rsid w:val="00367C09"/>
    <w:rsid w:val="00367D10"/>
    <w:rsid w:val="00367EBE"/>
    <w:rsid w:val="00376BE2"/>
    <w:rsid w:val="00376C5A"/>
    <w:rsid w:val="00380B7F"/>
    <w:rsid w:val="00383F72"/>
    <w:rsid w:val="003857A9"/>
    <w:rsid w:val="00386E8A"/>
    <w:rsid w:val="00387530"/>
    <w:rsid w:val="0039699B"/>
    <w:rsid w:val="003A27A7"/>
    <w:rsid w:val="003A5D28"/>
    <w:rsid w:val="003C28B8"/>
    <w:rsid w:val="003C394F"/>
    <w:rsid w:val="003C40F3"/>
    <w:rsid w:val="003D6110"/>
    <w:rsid w:val="003D7694"/>
    <w:rsid w:val="003F5040"/>
    <w:rsid w:val="003F5AFD"/>
    <w:rsid w:val="003F726A"/>
    <w:rsid w:val="00401D00"/>
    <w:rsid w:val="004115CF"/>
    <w:rsid w:val="00413F79"/>
    <w:rsid w:val="0041680F"/>
    <w:rsid w:val="00426750"/>
    <w:rsid w:val="00431272"/>
    <w:rsid w:val="00431E6E"/>
    <w:rsid w:val="00433EA6"/>
    <w:rsid w:val="00433ECE"/>
    <w:rsid w:val="00436069"/>
    <w:rsid w:val="004401BA"/>
    <w:rsid w:val="00442ABE"/>
    <w:rsid w:val="004430CF"/>
    <w:rsid w:val="00452741"/>
    <w:rsid w:val="00453E86"/>
    <w:rsid w:val="00456E54"/>
    <w:rsid w:val="00456F80"/>
    <w:rsid w:val="00464759"/>
    <w:rsid w:val="00472C11"/>
    <w:rsid w:val="00481549"/>
    <w:rsid w:val="004902C9"/>
    <w:rsid w:val="0049528B"/>
    <w:rsid w:val="004A01C9"/>
    <w:rsid w:val="004A4DBF"/>
    <w:rsid w:val="004B352F"/>
    <w:rsid w:val="004C1C73"/>
    <w:rsid w:val="004C66F6"/>
    <w:rsid w:val="004D3275"/>
    <w:rsid w:val="004E050B"/>
    <w:rsid w:val="004E3CF7"/>
    <w:rsid w:val="004E4C4D"/>
    <w:rsid w:val="004E6610"/>
    <w:rsid w:val="004F316E"/>
    <w:rsid w:val="005139F1"/>
    <w:rsid w:val="005229A1"/>
    <w:rsid w:val="005236E1"/>
    <w:rsid w:val="00524232"/>
    <w:rsid w:val="00524C29"/>
    <w:rsid w:val="00524CD8"/>
    <w:rsid w:val="005323B6"/>
    <w:rsid w:val="00533596"/>
    <w:rsid w:val="005352CE"/>
    <w:rsid w:val="00535CBF"/>
    <w:rsid w:val="00536890"/>
    <w:rsid w:val="00537377"/>
    <w:rsid w:val="00542830"/>
    <w:rsid w:val="00542D4B"/>
    <w:rsid w:val="005434EC"/>
    <w:rsid w:val="005461A6"/>
    <w:rsid w:val="00550BA0"/>
    <w:rsid w:val="00551A8C"/>
    <w:rsid w:val="005529A9"/>
    <w:rsid w:val="00557993"/>
    <w:rsid w:val="00575B7B"/>
    <w:rsid w:val="00576972"/>
    <w:rsid w:val="00580375"/>
    <w:rsid w:val="00581C2B"/>
    <w:rsid w:val="005851C3"/>
    <w:rsid w:val="00585A5A"/>
    <w:rsid w:val="00594E8E"/>
    <w:rsid w:val="0059670A"/>
    <w:rsid w:val="005B4F99"/>
    <w:rsid w:val="005C6374"/>
    <w:rsid w:val="005D39E7"/>
    <w:rsid w:val="005E0A17"/>
    <w:rsid w:val="005E2CDA"/>
    <w:rsid w:val="005E3448"/>
    <w:rsid w:val="005E52EE"/>
    <w:rsid w:val="005F094D"/>
    <w:rsid w:val="005F52D7"/>
    <w:rsid w:val="005F58D2"/>
    <w:rsid w:val="005F69C8"/>
    <w:rsid w:val="005F7652"/>
    <w:rsid w:val="00600CE2"/>
    <w:rsid w:val="006167FF"/>
    <w:rsid w:val="00622F8A"/>
    <w:rsid w:val="00637EB3"/>
    <w:rsid w:val="006435BB"/>
    <w:rsid w:val="006438C2"/>
    <w:rsid w:val="00657962"/>
    <w:rsid w:val="00657F27"/>
    <w:rsid w:val="006702BF"/>
    <w:rsid w:val="00674B8E"/>
    <w:rsid w:val="00681E7A"/>
    <w:rsid w:val="006904D9"/>
    <w:rsid w:val="00695CFD"/>
    <w:rsid w:val="006B3C68"/>
    <w:rsid w:val="006B4813"/>
    <w:rsid w:val="006B742D"/>
    <w:rsid w:val="006C08B8"/>
    <w:rsid w:val="006C1368"/>
    <w:rsid w:val="006D1BBC"/>
    <w:rsid w:val="006E07E0"/>
    <w:rsid w:val="006E0CD1"/>
    <w:rsid w:val="006E2698"/>
    <w:rsid w:val="006E32CE"/>
    <w:rsid w:val="006E7A60"/>
    <w:rsid w:val="006F20D8"/>
    <w:rsid w:val="006F2F86"/>
    <w:rsid w:val="006F352F"/>
    <w:rsid w:val="006F6D36"/>
    <w:rsid w:val="00703D1C"/>
    <w:rsid w:val="00704ADC"/>
    <w:rsid w:val="00712C3A"/>
    <w:rsid w:val="00730E7A"/>
    <w:rsid w:val="00733F05"/>
    <w:rsid w:val="00735B62"/>
    <w:rsid w:val="00740690"/>
    <w:rsid w:val="00741442"/>
    <w:rsid w:val="00760FB5"/>
    <w:rsid w:val="00762AC8"/>
    <w:rsid w:val="0076498B"/>
    <w:rsid w:val="00775B0C"/>
    <w:rsid w:val="007809CC"/>
    <w:rsid w:val="00791484"/>
    <w:rsid w:val="007A0590"/>
    <w:rsid w:val="007A1DB0"/>
    <w:rsid w:val="007A3094"/>
    <w:rsid w:val="007A55B9"/>
    <w:rsid w:val="007B57C3"/>
    <w:rsid w:val="007C49D6"/>
    <w:rsid w:val="007C5C7D"/>
    <w:rsid w:val="007D4260"/>
    <w:rsid w:val="007D7732"/>
    <w:rsid w:val="007F38CE"/>
    <w:rsid w:val="007F4DE7"/>
    <w:rsid w:val="007F6E1C"/>
    <w:rsid w:val="00811DC6"/>
    <w:rsid w:val="00812C21"/>
    <w:rsid w:val="00824336"/>
    <w:rsid w:val="00824CD9"/>
    <w:rsid w:val="00826535"/>
    <w:rsid w:val="008345AA"/>
    <w:rsid w:val="00835B01"/>
    <w:rsid w:val="00843039"/>
    <w:rsid w:val="008478F3"/>
    <w:rsid w:val="00852BA6"/>
    <w:rsid w:val="00855CA5"/>
    <w:rsid w:val="00855E87"/>
    <w:rsid w:val="00864E0F"/>
    <w:rsid w:val="008705B0"/>
    <w:rsid w:val="008748ED"/>
    <w:rsid w:val="008821B9"/>
    <w:rsid w:val="00882E52"/>
    <w:rsid w:val="008906EE"/>
    <w:rsid w:val="008B24D8"/>
    <w:rsid w:val="008C0129"/>
    <w:rsid w:val="008C50D3"/>
    <w:rsid w:val="008C5EAE"/>
    <w:rsid w:val="008E3873"/>
    <w:rsid w:val="008E3BF9"/>
    <w:rsid w:val="008E5AD6"/>
    <w:rsid w:val="0090145C"/>
    <w:rsid w:val="00902136"/>
    <w:rsid w:val="00911BC1"/>
    <w:rsid w:val="0091326B"/>
    <w:rsid w:val="00913B7B"/>
    <w:rsid w:val="009211C7"/>
    <w:rsid w:val="009263E9"/>
    <w:rsid w:val="0093260D"/>
    <w:rsid w:val="00935EA5"/>
    <w:rsid w:val="009363BC"/>
    <w:rsid w:val="00936FC1"/>
    <w:rsid w:val="009422DA"/>
    <w:rsid w:val="00950DC7"/>
    <w:rsid w:val="00952DAE"/>
    <w:rsid w:val="009625F7"/>
    <w:rsid w:val="00962D25"/>
    <w:rsid w:val="00964C86"/>
    <w:rsid w:val="00972C13"/>
    <w:rsid w:val="00974B71"/>
    <w:rsid w:val="00976ADE"/>
    <w:rsid w:val="0098089D"/>
    <w:rsid w:val="0098137C"/>
    <w:rsid w:val="00992136"/>
    <w:rsid w:val="00997401"/>
    <w:rsid w:val="009A0BBC"/>
    <w:rsid w:val="009A42CF"/>
    <w:rsid w:val="009A609A"/>
    <w:rsid w:val="009B15D5"/>
    <w:rsid w:val="009B3DEC"/>
    <w:rsid w:val="009B5C78"/>
    <w:rsid w:val="009B6E7F"/>
    <w:rsid w:val="009B7011"/>
    <w:rsid w:val="009D7969"/>
    <w:rsid w:val="009E16BC"/>
    <w:rsid w:val="009E747D"/>
    <w:rsid w:val="009F044F"/>
    <w:rsid w:val="009F71C1"/>
    <w:rsid w:val="009F7294"/>
    <w:rsid w:val="009F7E88"/>
    <w:rsid w:val="00A13DCC"/>
    <w:rsid w:val="00A2103B"/>
    <w:rsid w:val="00A2754D"/>
    <w:rsid w:val="00A341CA"/>
    <w:rsid w:val="00A36E3D"/>
    <w:rsid w:val="00A449F3"/>
    <w:rsid w:val="00A45BF7"/>
    <w:rsid w:val="00A51151"/>
    <w:rsid w:val="00A709FB"/>
    <w:rsid w:val="00A71ED2"/>
    <w:rsid w:val="00A740F2"/>
    <w:rsid w:val="00A749CE"/>
    <w:rsid w:val="00A75B36"/>
    <w:rsid w:val="00A77911"/>
    <w:rsid w:val="00A811C3"/>
    <w:rsid w:val="00A86305"/>
    <w:rsid w:val="00A91263"/>
    <w:rsid w:val="00A96454"/>
    <w:rsid w:val="00AA2871"/>
    <w:rsid w:val="00AA401E"/>
    <w:rsid w:val="00AB126B"/>
    <w:rsid w:val="00AB2E79"/>
    <w:rsid w:val="00AB4BD5"/>
    <w:rsid w:val="00AD0EC0"/>
    <w:rsid w:val="00AD27C4"/>
    <w:rsid w:val="00AD4081"/>
    <w:rsid w:val="00AD53C4"/>
    <w:rsid w:val="00AE0C15"/>
    <w:rsid w:val="00AF2072"/>
    <w:rsid w:val="00AF30BB"/>
    <w:rsid w:val="00AF69AB"/>
    <w:rsid w:val="00AF7E53"/>
    <w:rsid w:val="00B06A35"/>
    <w:rsid w:val="00B119D4"/>
    <w:rsid w:val="00B13C43"/>
    <w:rsid w:val="00B25F19"/>
    <w:rsid w:val="00B305F4"/>
    <w:rsid w:val="00B425D6"/>
    <w:rsid w:val="00B43271"/>
    <w:rsid w:val="00B43B2F"/>
    <w:rsid w:val="00B44A9D"/>
    <w:rsid w:val="00B504A6"/>
    <w:rsid w:val="00B538E9"/>
    <w:rsid w:val="00B64D9D"/>
    <w:rsid w:val="00B65BEF"/>
    <w:rsid w:val="00B65F54"/>
    <w:rsid w:val="00B72072"/>
    <w:rsid w:val="00B95C90"/>
    <w:rsid w:val="00BA141C"/>
    <w:rsid w:val="00BB048A"/>
    <w:rsid w:val="00BB2BE7"/>
    <w:rsid w:val="00BB4A4E"/>
    <w:rsid w:val="00BC3B7D"/>
    <w:rsid w:val="00BC59E7"/>
    <w:rsid w:val="00BE082F"/>
    <w:rsid w:val="00BE1B97"/>
    <w:rsid w:val="00BE21CC"/>
    <w:rsid w:val="00BE3139"/>
    <w:rsid w:val="00BE399D"/>
    <w:rsid w:val="00BE6946"/>
    <w:rsid w:val="00BF0F50"/>
    <w:rsid w:val="00BF32FE"/>
    <w:rsid w:val="00BF3AB4"/>
    <w:rsid w:val="00BF4C40"/>
    <w:rsid w:val="00BF72C8"/>
    <w:rsid w:val="00C11787"/>
    <w:rsid w:val="00C15EB6"/>
    <w:rsid w:val="00C1799B"/>
    <w:rsid w:val="00C22F96"/>
    <w:rsid w:val="00C246CA"/>
    <w:rsid w:val="00C323A5"/>
    <w:rsid w:val="00C339CA"/>
    <w:rsid w:val="00C34666"/>
    <w:rsid w:val="00C35A16"/>
    <w:rsid w:val="00C503A5"/>
    <w:rsid w:val="00C5106A"/>
    <w:rsid w:val="00C517E2"/>
    <w:rsid w:val="00C55F5E"/>
    <w:rsid w:val="00C613C3"/>
    <w:rsid w:val="00C72B67"/>
    <w:rsid w:val="00C82FEE"/>
    <w:rsid w:val="00CA5AFF"/>
    <w:rsid w:val="00CB0774"/>
    <w:rsid w:val="00CF07EE"/>
    <w:rsid w:val="00D00CC9"/>
    <w:rsid w:val="00D01B8D"/>
    <w:rsid w:val="00D03174"/>
    <w:rsid w:val="00D04FEF"/>
    <w:rsid w:val="00D14AB6"/>
    <w:rsid w:val="00D1771C"/>
    <w:rsid w:val="00D1774E"/>
    <w:rsid w:val="00D21132"/>
    <w:rsid w:val="00D304B6"/>
    <w:rsid w:val="00D343EA"/>
    <w:rsid w:val="00D529CD"/>
    <w:rsid w:val="00D55399"/>
    <w:rsid w:val="00D63DB5"/>
    <w:rsid w:val="00D729CB"/>
    <w:rsid w:val="00D85820"/>
    <w:rsid w:val="00D9078D"/>
    <w:rsid w:val="00D91050"/>
    <w:rsid w:val="00D912DA"/>
    <w:rsid w:val="00D94449"/>
    <w:rsid w:val="00DA19C2"/>
    <w:rsid w:val="00DA2A01"/>
    <w:rsid w:val="00DB13E9"/>
    <w:rsid w:val="00DB355C"/>
    <w:rsid w:val="00DC68D6"/>
    <w:rsid w:val="00DC69BE"/>
    <w:rsid w:val="00DD1D29"/>
    <w:rsid w:val="00DD6E33"/>
    <w:rsid w:val="00DE3EF8"/>
    <w:rsid w:val="00DF3CB7"/>
    <w:rsid w:val="00DF3EFB"/>
    <w:rsid w:val="00DF5F5A"/>
    <w:rsid w:val="00E03196"/>
    <w:rsid w:val="00E12D42"/>
    <w:rsid w:val="00E16A25"/>
    <w:rsid w:val="00E26A3D"/>
    <w:rsid w:val="00E33217"/>
    <w:rsid w:val="00E337E3"/>
    <w:rsid w:val="00E35352"/>
    <w:rsid w:val="00E359C1"/>
    <w:rsid w:val="00E37849"/>
    <w:rsid w:val="00E37C61"/>
    <w:rsid w:val="00E44849"/>
    <w:rsid w:val="00E44C74"/>
    <w:rsid w:val="00E65EA6"/>
    <w:rsid w:val="00E713F9"/>
    <w:rsid w:val="00E71C2E"/>
    <w:rsid w:val="00E7626D"/>
    <w:rsid w:val="00E77922"/>
    <w:rsid w:val="00E77F78"/>
    <w:rsid w:val="00E80170"/>
    <w:rsid w:val="00E84979"/>
    <w:rsid w:val="00E920A3"/>
    <w:rsid w:val="00E948CA"/>
    <w:rsid w:val="00EA2596"/>
    <w:rsid w:val="00EB0001"/>
    <w:rsid w:val="00EB1A6D"/>
    <w:rsid w:val="00EB3683"/>
    <w:rsid w:val="00EC17D0"/>
    <w:rsid w:val="00EC1F25"/>
    <w:rsid w:val="00ED7211"/>
    <w:rsid w:val="00ED7A26"/>
    <w:rsid w:val="00EE5803"/>
    <w:rsid w:val="00EE6A7A"/>
    <w:rsid w:val="00EE6C24"/>
    <w:rsid w:val="00EF0352"/>
    <w:rsid w:val="00EF2ACC"/>
    <w:rsid w:val="00F0745F"/>
    <w:rsid w:val="00F076F5"/>
    <w:rsid w:val="00F13383"/>
    <w:rsid w:val="00F16799"/>
    <w:rsid w:val="00F21897"/>
    <w:rsid w:val="00F21D37"/>
    <w:rsid w:val="00F23780"/>
    <w:rsid w:val="00F471C3"/>
    <w:rsid w:val="00F52DDA"/>
    <w:rsid w:val="00F56491"/>
    <w:rsid w:val="00F56C4F"/>
    <w:rsid w:val="00F60535"/>
    <w:rsid w:val="00F61F79"/>
    <w:rsid w:val="00F63CAE"/>
    <w:rsid w:val="00F659A1"/>
    <w:rsid w:val="00F703AB"/>
    <w:rsid w:val="00F73032"/>
    <w:rsid w:val="00F735A7"/>
    <w:rsid w:val="00F744EF"/>
    <w:rsid w:val="00F80CEC"/>
    <w:rsid w:val="00F8162D"/>
    <w:rsid w:val="00F81D3D"/>
    <w:rsid w:val="00F83137"/>
    <w:rsid w:val="00F85E39"/>
    <w:rsid w:val="00F94C41"/>
    <w:rsid w:val="00FA55AF"/>
    <w:rsid w:val="00FA58CA"/>
    <w:rsid w:val="00FA5918"/>
    <w:rsid w:val="00FA75E0"/>
    <w:rsid w:val="00FB2AC1"/>
    <w:rsid w:val="00FB77F7"/>
    <w:rsid w:val="00FC00E4"/>
    <w:rsid w:val="00FC17A3"/>
    <w:rsid w:val="00FC1CDD"/>
    <w:rsid w:val="00FF34CD"/>
    <w:rsid w:val="00FF45E4"/>
    <w:rsid w:val="713C1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o:shapedefaults>
    <o:shapelayout v:ext="edit">
      <o:idmap v:ext="edit" data="2"/>
    </o:shapelayout>
  </w:shapeDefaults>
  <w:decimalSymbol w:val="."/>
  <w:listSeparator w:val=","/>
  <w14:docId w14:val="22FFCDE3"/>
  <w15:chartTrackingRefBased/>
  <w15:docId w15:val="{8146C695-5A4D-4618-9F71-31283637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0E7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眉 字符"/>
    <w:link w:val="a4"/>
    <w:uiPriority w:val="99"/>
    <w:rPr>
      <w:kern w:val="2"/>
      <w:sz w:val="18"/>
      <w:szCs w:val="18"/>
    </w:rPr>
  </w:style>
  <w:style w:type="character" w:styleId="a5">
    <w:name w:val="page number"/>
  </w:style>
  <w:style w:type="character" w:customStyle="1" w:styleId="a6">
    <w:name w:val="批注框文本 字符"/>
    <w:link w:val="a7"/>
    <w:uiPriority w:val="99"/>
    <w:semiHidden/>
    <w:rPr>
      <w:sz w:val="18"/>
      <w:szCs w:val="18"/>
    </w:rPr>
  </w:style>
  <w:style w:type="character" w:customStyle="1" w:styleId="a8">
    <w:name w:val="页脚 字符"/>
    <w:link w:val="a9"/>
    <w:rPr>
      <w:rFonts w:ascii="Times New Roman" w:eastAsia="宋体" w:hAnsi="Times New Roman" w:cs="Times New Roman"/>
      <w:sz w:val="18"/>
      <w:szCs w:val="18"/>
    </w:rPr>
  </w:style>
  <w:style w:type="character" w:customStyle="1" w:styleId="aa">
    <w:name w:val="日期 字符"/>
    <w:link w:val="ab"/>
    <w:uiPriority w:val="99"/>
    <w:semiHidden/>
    <w:rPr>
      <w:kern w:val="2"/>
      <w:sz w:val="21"/>
      <w:szCs w:val="22"/>
    </w:rPr>
  </w:style>
  <w:style w:type="paragraph" w:styleId="ab">
    <w:name w:val="Date"/>
    <w:basedOn w:val="a"/>
    <w:next w:val="a"/>
    <w:link w:val="aa"/>
    <w:uiPriority w:val="99"/>
    <w:unhideWhenUsed/>
    <w:pPr>
      <w:ind w:leftChars="2500" w:left="100"/>
    </w:pPr>
  </w:style>
  <w:style w:type="paragraph" w:styleId="a7">
    <w:name w:val="Balloon Text"/>
    <w:basedOn w:val="a"/>
    <w:link w:val="a6"/>
    <w:uiPriority w:val="99"/>
    <w:unhideWhenUsed/>
    <w:rPr>
      <w:sz w:val="18"/>
      <w:szCs w:val="18"/>
    </w:rPr>
  </w:style>
  <w:style w:type="paragraph" w:styleId="a4">
    <w:name w:val="header"/>
    <w:basedOn w:val="a"/>
    <w:link w:val="a3"/>
    <w:uiPriority w:val="99"/>
    <w:unhideWhenUsed/>
    <w:pPr>
      <w:pBdr>
        <w:bottom w:val="single" w:sz="6" w:space="1" w:color="auto"/>
      </w:pBdr>
      <w:tabs>
        <w:tab w:val="center" w:pos="4153"/>
        <w:tab w:val="right" w:pos="8306"/>
      </w:tabs>
      <w:snapToGrid w:val="0"/>
      <w:jc w:val="center"/>
    </w:pPr>
    <w:rPr>
      <w:sz w:val="18"/>
      <w:szCs w:val="18"/>
    </w:rPr>
  </w:style>
  <w:style w:type="paragraph" w:styleId="a9">
    <w:name w:val="footer"/>
    <w:basedOn w:val="a"/>
    <w:link w:val="a8"/>
    <w:pPr>
      <w:tabs>
        <w:tab w:val="center" w:pos="4153"/>
        <w:tab w:val="right" w:pos="8306"/>
      </w:tabs>
      <w:snapToGrid w:val="0"/>
      <w:jc w:val="left"/>
    </w:pPr>
    <w:rPr>
      <w:rFonts w:ascii="Times New Roman" w:hAnsi="Times New Roman"/>
      <w:sz w:val="18"/>
      <w:szCs w:val="18"/>
    </w:rPr>
  </w:style>
  <w:style w:type="paragraph" w:customStyle="1" w:styleId="ac">
    <w:name w:val="列出段落"/>
    <w:basedOn w:val="a"/>
    <w:uiPriority w:val="34"/>
    <w:qFormat/>
    <w:pPr>
      <w:ind w:firstLineChars="200" w:firstLine="420"/>
    </w:pPr>
  </w:style>
  <w:style w:type="paragraph" w:customStyle="1" w:styleId="DefaultParagraphFontParaChar">
    <w:name w:val="Default Paragraph Font Para Char"/>
    <w:basedOn w:val="a"/>
    <w:pPr>
      <w:widowControl/>
      <w:spacing w:after="160" w:line="240" w:lineRule="exact"/>
      <w:jc w:val="left"/>
    </w:pPr>
    <w:rPr>
      <w:rFonts w:ascii="Tahoma" w:eastAsia="Times New Roman" w:hAnsi="Tahoma"/>
      <w:kern w:val="0"/>
      <w:sz w:val="20"/>
      <w:szCs w:val="20"/>
      <w:lang w:eastAsia="en-US"/>
    </w:rPr>
  </w:style>
  <w:style w:type="character" w:styleId="ad">
    <w:name w:val="Hyperlink"/>
    <w:uiPriority w:val="99"/>
    <w:unhideWhenUsed/>
    <w:rsid w:val="00EC17D0"/>
    <w:rPr>
      <w:color w:val="0000FF"/>
      <w:u w:val="single"/>
    </w:rPr>
  </w:style>
  <w:style w:type="paragraph" w:customStyle="1" w:styleId="Default">
    <w:name w:val="Default"/>
    <w:rsid w:val="00171966"/>
    <w:pPr>
      <w:widowControl w:val="0"/>
      <w:autoSpaceDE w:val="0"/>
      <w:autoSpaceDN w:val="0"/>
      <w:adjustRightInd w:val="0"/>
    </w:pPr>
    <w:rPr>
      <w:rFonts w:ascii="宋体" w:cs="宋体"/>
      <w:color w:val="000000"/>
      <w:sz w:val="24"/>
      <w:szCs w:val="24"/>
    </w:rPr>
  </w:style>
  <w:style w:type="character" w:styleId="ae">
    <w:name w:val="Unresolved Mention"/>
    <w:uiPriority w:val="99"/>
    <w:semiHidden/>
    <w:unhideWhenUsed/>
    <w:rsid w:val="00F21D37"/>
    <w:rPr>
      <w:color w:val="605E5C"/>
      <w:shd w:val="clear" w:color="auto" w:fill="E1DFDD"/>
    </w:rPr>
  </w:style>
  <w:style w:type="paragraph" w:styleId="af">
    <w:name w:val="Revision"/>
    <w:hidden/>
    <w:uiPriority w:val="99"/>
    <w:unhideWhenUsed/>
    <w:rsid w:val="00BE313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F9330-3ED5-426F-8E8F-987E04E9C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389</Words>
  <Characters>2218</Characters>
  <Application>Microsoft Office Word</Application>
  <DocSecurity>0</DocSecurity>
  <PresentationFormat/>
  <Lines>18</Lines>
  <Paragraphs>5</Paragraphs>
  <Slides>0</Slides>
  <Notes>0</Notes>
  <HiddenSlides>0</HiddenSlides>
  <MMClips>0</MMClips>
  <ScaleCrop>false</ScaleCrop>
  <Company>Microsoft</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e24628</dc:creator>
  <cp:keywords/>
  <cp:lastModifiedBy>Chris Green</cp:lastModifiedBy>
  <cp:revision>17</cp:revision>
  <cp:lastPrinted>2013-10-22T09:57:00Z</cp:lastPrinted>
  <dcterms:created xsi:type="dcterms:W3CDTF">2026-10-19T09:30:00Z</dcterms:created>
  <dcterms:modified xsi:type="dcterms:W3CDTF">2026-10-20T10:47:00Z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2052-9.1.0.4885</vt:lpwstr>
  </property>
</Properties>
</file>