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4500C" w14:textId="088273AC" w:rsidR="0024652F" w:rsidRDefault="00FD24BC">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007156DE">
        <w:rPr>
          <w:rFonts w:ascii="Times New Roman" w:hAnsi="Times New Roman"/>
          <w:sz w:val="24"/>
          <w:szCs w:val="24"/>
        </w:rPr>
        <w:t>032</w:t>
      </w:r>
    </w:p>
    <w:p w14:paraId="4DAF8BCA" w14:textId="77777777" w:rsidR="0024652F" w:rsidRPr="007156DE" w:rsidRDefault="0024652F">
      <w:pPr>
        <w:spacing w:line="460" w:lineRule="exact"/>
        <w:ind w:firstLine="57"/>
        <w:rPr>
          <w:rFonts w:ascii="宋体" w:hAnsi="宋体"/>
          <w:sz w:val="24"/>
          <w:szCs w:val="24"/>
        </w:rPr>
      </w:pPr>
    </w:p>
    <w:p w14:paraId="62929D65" w14:textId="77777777" w:rsidR="0024652F" w:rsidRDefault="00FD24BC">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2DAD23CE" w14:textId="77777777" w:rsidR="0024652F" w:rsidRDefault="00FD24BC">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66434FD4" w14:textId="77777777" w:rsidR="0024652F" w:rsidRDefault="00FD24BC">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3F5A687C" w14:textId="77777777" w:rsidR="0024652F" w:rsidRDefault="00FD24BC">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关于收到中国证监会不予核准公司发行股份及支付现金购买资产并募集配套资金决定的公告</w:t>
      </w:r>
    </w:p>
    <w:p w14:paraId="0A67292D" w14:textId="77777777" w:rsidR="0024652F" w:rsidRDefault="00FD24BC" w:rsidP="007156D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32A36BCE" w14:textId="77777777" w:rsidR="0024652F" w:rsidRDefault="0024652F">
      <w:pPr>
        <w:widowControl/>
        <w:tabs>
          <w:tab w:val="center" w:pos="4153"/>
          <w:tab w:val="left" w:pos="6390"/>
        </w:tabs>
        <w:spacing w:line="360" w:lineRule="auto"/>
        <w:jc w:val="left"/>
        <w:rPr>
          <w:rFonts w:ascii="宋体" w:eastAsia="宋体" w:hAnsi="宋体" w:cs="Arial"/>
          <w:sz w:val="24"/>
          <w:szCs w:val="24"/>
        </w:rPr>
      </w:pPr>
    </w:p>
    <w:p w14:paraId="426B8A1D" w14:textId="73336590"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北京京城机电股份有限公司（以下简称</w:t>
      </w:r>
      <w:r>
        <w:rPr>
          <w:rFonts w:ascii="Times New Roman" w:eastAsia="宋体" w:hAnsi="Times New Roman" w:hint="eastAsia"/>
          <w:sz w:val="24"/>
          <w:szCs w:val="24"/>
        </w:rPr>
        <w:t>“</w:t>
      </w:r>
      <w:r>
        <w:rPr>
          <w:rFonts w:ascii="Times New Roman" w:eastAsia="宋体" w:hAnsi="Times New Roman"/>
          <w:sz w:val="24"/>
          <w:szCs w:val="24"/>
        </w:rPr>
        <w:t>公司</w:t>
      </w:r>
      <w:r>
        <w:rPr>
          <w:rFonts w:ascii="Times New Roman" w:eastAsia="宋体" w:hAnsi="Times New Roman" w:hint="eastAsia"/>
          <w:sz w:val="24"/>
          <w:szCs w:val="24"/>
        </w:rPr>
        <w:t>”</w:t>
      </w:r>
      <w:r>
        <w:rPr>
          <w:rFonts w:ascii="Times New Roman" w:eastAsia="宋体" w:hAnsi="Times New Roman"/>
          <w:sz w:val="24"/>
          <w:szCs w:val="24"/>
        </w:rPr>
        <w:t>）于</w:t>
      </w:r>
      <w:r w:rsidR="00276B6A">
        <w:rPr>
          <w:rFonts w:ascii="Times New Roman" w:eastAsia="宋体" w:hAnsi="Times New Roman" w:hint="eastAsia"/>
          <w:sz w:val="24"/>
          <w:szCs w:val="24"/>
        </w:rPr>
        <w:t>近日</w:t>
      </w:r>
      <w:r>
        <w:rPr>
          <w:rFonts w:ascii="Times New Roman" w:eastAsia="宋体" w:hAnsi="Times New Roman"/>
          <w:sz w:val="24"/>
          <w:szCs w:val="24"/>
        </w:rPr>
        <w:t>收到中国证券监督管理委员会（以下简称</w:t>
      </w:r>
      <w:r>
        <w:rPr>
          <w:rFonts w:ascii="Times New Roman" w:eastAsia="宋体" w:hAnsi="Times New Roman" w:hint="eastAsia"/>
          <w:sz w:val="24"/>
          <w:szCs w:val="24"/>
        </w:rPr>
        <w:t>“</w:t>
      </w:r>
      <w:r>
        <w:rPr>
          <w:rFonts w:ascii="Times New Roman" w:eastAsia="宋体" w:hAnsi="Times New Roman"/>
          <w:sz w:val="24"/>
          <w:szCs w:val="24"/>
        </w:rPr>
        <w:t>中国证监会</w:t>
      </w:r>
      <w:r>
        <w:rPr>
          <w:rFonts w:ascii="Times New Roman" w:eastAsia="宋体" w:hAnsi="Times New Roman" w:hint="eastAsia"/>
          <w:sz w:val="24"/>
          <w:szCs w:val="24"/>
        </w:rPr>
        <w:t>”</w:t>
      </w:r>
      <w:r>
        <w:rPr>
          <w:rFonts w:ascii="Times New Roman" w:eastAsia="宋体" w:hAnsi="Times New Roman"/>
          <w:sz w:val="24"/>
          <w:szCs w:val="24"/>
        </w:rPr>
        <w:t>）核发的《关于不予核准北京京城机电股份有限公司发行股份购买资产并募集配套资金</w:t>
      </w:r>
      <w:r w:rsidR="00276B6A">
        <w:rPr>
          <w:rFonts w:ascii="Times New Roman" w:eastAsia="宋体" w:hAnsi="Times New Roman" w:hint="eastAsia"/>
          <w:sz w:val="24"/>
          <w:szCs w:val="24"/>
        </w:rPr>
        <w:t>申请</w:t>
      </w:r>
      <w:r>
        <w:rPr>
          <w:rFonts w:ascii="Times New Roman" w:eastAsia="宋体" w:hAnsi="Times New Roman"/>
          <w:sz w:val="24"/>
          <w:szCs w:val="24"/>
        </w:rPr>
        <w:t>的决定》（证监许可</w:t>
      </w:r>
      <w:r w:rsidR="00276B6A" w:rsidRPr="00574B33">
        <w:rPr>
          <w:rFonts w:ascii="Times New Roman" w:eastAsia="宋体" w:hAnsi="Times New Roman"/>
          <w:sz w:val="24"/>
          <w:szCs w:val="24"/>
        </w:rPr>
        <w:t>〔</w:t>
      </w:r>
      <w:r w:rsidR="00276B6A" w:rsidRPr="00574B33">
        <w:rPr>
          <w:rFonts w:ascii="Times New Roman" w:eastAsia="宋体" w:hAnsi="Times New Roman"/>
          <w:sz w:val="24"/>
          <w:szCs w:val="24"/>
        </w:rPr>
        <w:t>2021</w:t>
      </w:r>
      <w:r w:rsidR="00276B6A" w:rsidRPr="00574B33">
        <w:rPr>
          <w:rFonts w:ascii="Times New Roman" w:eastAsia="宋体" w:hAnsi="Times New Roman"/>
          <w:sz w:val="24"/>
          <w:szCs w:val="24"/>
        </w:rPr>
        <w:t>〕</w:t>
      </w:r>
      <w:r w:rsidR="00276B6A" w:rsidRPr="00574B33">
        <w:rPr>
          <w:rFonts w:ascii="Times New Roman" w:eastAsia="宋体" w:hAnsi="Times New Roman" w:hint="eastAsia"/>
          <w:sz w:val="24"/>
          <w:szCs w:val="24"/>
        </w:rPr>
        <w:t>1</w:t>
      </w:r>
      <w:r w:rsidR="00276B6A" w:rsidRPr="00574B33">
        <w:rPr>
          <w:rFonts w:ascii="Times New Roman" w:eastAsia="宋体" w:hAnsi="Times New Roman"/>
          <w:sz w:val="24"/>
          <w:szCs w:val="24"/>
        </w:rPr>
        <w:t>879</w:t>
      </w:r>
      <w:r>
        <w:rPr>
          <w:rFonts w:ascii="Times New Roman" w:eastAsia="宋体" w:hAnsi="Times New Roman"/>
          <w:sz w:val="24"/>
          <w:szCs w:val="24"/>
        </w:rPr>
        <w:t>号），决定主要内容如下：</w:t>
      </w:r>
    </w:p>
    <w:p w14:paraId="329E50EE" w14:textId="55BF4B4A"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中国证监会上市公司并购重组审核委员会（以下简称</w:t>
      </w:r>
      <w:r>
        <w:rPr>
          <w:rFonts w:ascii="Times New Roman" w:eastAsia="宋体" w:hAnsi="Times New Roman" w:hint="eastAsia"/>
          <w:sz w:val="24"/>
          <w:szCs w:val="24"/>
        </w:rPr>
        <w:t>“</w:t>
      </w:r>
      <w:r>
        <w:rPr>
          <w:rFonts w:ascii="Times New Roman" w:eastAsia="宋体" w:hAnsi="Times New Roman"/>
          <w:sz w:val="24"/>
          <w:szCs w:val="24"/>
        </w:rPr>
        <w:t>并购重组委</w:t>
      </w:r>
      <w:r>
        <w:rPr>
          <w:rFonts w:ascii="Times New Roman" w:eastAsia="宋体" w:hAnsi="Times New Roman" w:hint="eastAsia"/>
          <w:sz w:val="24"/>
          <w:szCs w:val="24"/>
        </w:rPr>
        <w:t>”</w:t>
      </w:r>
      <w:r>
        <w:rPr>
          <w:rFonts w:ascii="Times New Roman" w:eastAsia="宋体" w:hAnsi="Times New Roman"/>
          <w:sz w:val="24"/>
          <w:szCs w:val="24"/>
        </w:rPr>
        <w:t>）于</w:t>
      </w:r>
      <w:r>
        <w:rPr>
          <w:rFonts w:ascii="Times New Roman" w:eastAsia="宋体" w:hAnsi="Times New Roman"/>
          <w:sz w:val="24"/>
          <w:szCs w:val="24"/>
        </w:rPr>
        <w:t>2021</w:t>
      </w:r>
      <w:r>
        <w:rPr>
          <w:rFonts w:ascii="Times New Roman" w:eastAsia="宋体" w:hAnsi="Times New Roman"/>
          <w:sz w:val="24"/>
          <w:szCs w:val="24"/>
        </w:rPr>
        <w:t>年</w:t>
      </w:r>
      <w:r>
        <w:rPr>
          <w:rFonts w:ascii="Times New Roman" w:eastAsia="宋体" w:hAnsi="Times New Roman"/>
          <w:sz w:val="24"/>
          <w:szCs w:val="24"/>
        </w:rPr>
        <w:t>5</w:t>
      </w:r>
      <w:r>
        <w:rPr>
          <w:rFonts w:ascii="Times New Roman" w:eastAsia="宋体" w:hAnsi="Times New Roman"/>
          <w:sz w:val="24"/>
          <w:szCs w:val="24"/>
        </w:rPr>
        <w:t>月</w:t>
      </w:r>
      <w:r>
        <w:rPr>
          <w:rFonts w:ascii="Times New Roman" w:eastAsia="宋体" w:hAnsi="Times New Roman"/>
          <w:sz w:val="24"/>
          <w:szCs w:val="24"/>
        </w:rPr>
        <w:t>19</w:t>
      </w:r>
      <w:r>
        <w:rPr>
          <w:rFonts w:ascii="Times New Roman" w:eastAsia="宋体" w:hAnsi="Times New Roman"/>
          <w:sz w:val="24"/>
          <w:szCs w:val="24"/>
        </w:rPr>
        <w:t>日举行</w:t>
      </w:r>
      <w:r>
        <w:rPr>
          <w:rFonts w:ascii="Times New Roman" w:eastAsia="宋体" w:hAnsi="Times New Roman"/>
          <w:sz w:val="24"/>
          <w:szCs w:val="24"/>
        </w:rPr>
        <w:t>2021</w:t>
      </w:r>
      <w:r>
        <w:rPr>
          <w:rFonts w:ascii="Times New Roman" w:eastAsia="宋体" w:hAnsi="Times New Roman"/>
          <w:sz w:val="24"/>
          <w:szCs w:val="24"/>
        </w:rPr>
        <w:t>年第</w:t>
      </w:r>
      <w:r>
        <w:rPr>
          <w:rFonts w:ascii="Times New Roman" w:eastAsia="宋体" w:hAnsi="Times New Roman"/>
          <w:sz w:val="24"/>
          <w:szCs w:val="24"/>
        </w:rPr>
        <w:t>10</w:t>
      </w:r>
      <w:r>
        <w:rPr>
          <w:rFonts w:ascii="Times New Roman" w:eastAsia="宋体" w:hAnsi="Times New Roman"/>
          <w:sz w:val="24"/>
          <w:szCs w:val="24"/>
        </w:rPr>
        <w:t>次并购重组委会议，依法对公司的发行股份购买资产并募集配套资金方案（以下简称</w:t>
      </w:r>
      <w:r>
        <w:rPr>
          <w:rFonts w:ascii="Times New Roman" w:eastAsia="宋体" w:hAnsi="Times New Roman" w:hint="eastAsia"/>
          <w:sz w:val="24"/>
          <w:szCs w:val="24"/>
        </w:rPr>
        <w:t>“</w:t>
      </w:r>
      <w:r>
        <w:rPr>
          <w:rFonts w:ascii="Times New Roman" w:eastAsia="宋体" w:hAnsi="Times New Roman"/>
          <w:sz w:val="24"/>
          <w:szCs w:val="24"/>
        </w:rPr>
        <w:t>方案</w:t>
      </w:r>
      <w:r>
        <w:rPr>
          <w:rFonts w:ascii="Times New Roman" w:eastAsia="宋体" w:hAnsi="Times New Roman" w:hint="eastAsia"/>
          <w:sz w:val="24"/>
          <w:szCs w:val="24"/>
        </w:rPr>
        <w:t>”</w:t>
      </w:r>
      <w:r>
        <w:rPr>
          <w:rFonts w:ascii="Times New Roman" w:eastAsia="宋体" w:hAnsi="Times New Roman"/>
          <w:sz w:val="24"/>
          <w:szCs w:val="24"/>
        </w:rPr>
        <w:t>）进行了审核。</w:t>
      </w:r>
    </w:p>
    <w:p w14:paraId="7E937E7E" w14:textId="0D0A326E"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并购重组委认为，</w:t>
      </w:r>
      <w:r w:rsidR="008174CE" w:rsidRPr="008174CE">
        <w:rPr>
          <w:rFonts w:ascii="Times New Roman" w:eastAsia="宋体" w:hAnsi="Times New Roman" w:hint="eastAsia"/>
          <w:sz w:val="24"/>
          <w:szCs w:val="24"/>
        </w:rPr>
        <w:t>申请人未充分披露标的资产的持续盈利能力及业绩预测的合理性，不符合《上市公司重大资产重组管理办法》第四十三条的规定。</w:t>
      </w:r>
    </w:p>
    <w:p w14:paraId="7B68A546" w14:textId="046D2DFA"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并购重组委会议以投票方式对公司方案进行了表决，同意票数未达到</w:t>
      </w:r>
      <w:r>
        <w:rPr>
          <w:rFonts w:ascii="Times New Roman" w:eastAsia="宋体" w:hAnsi="Times New Roman"/>
          <w:sz w:val="24"/>
          <w:szCs w:val="24"/>
        </w:rPr>
        <w:t>3</w:t>
      </w:r>
      <w:r>
        <w:rPr>
          <w:rFonts w:ascii="Times New Roman" w:eastAsia="宋体" w:hAnsi="Times New Roman"/>
          <w:sz w:val="24"/>
          <w:szCs w:val="24"/>
        </w:rPr>
        <w:t>票，方案未获通过。根据《公司法》《证券法》《上市公司重大资产重组管理办法》等有关规定，现依法对公司本次发行股份购买资产申请</w:t>
      </w:r>
      <w:proofErr w:type="gramStart"/>
      <w:r>
        <w:rPr>
          <w:rFonts w:ascii="Times New Roman" w:eastAsia="宋体" w:hAnsi="Times New Roman"/>
          <w:sz w:val="24"/>
          <w:szCs w:val="24"/>
        </w:rPr>
        <w:t>作出</w:t>
      </w:r>
      <w:proofErr w:type="gramEnd"/>
      <w:r>
        <w:rPr>
          <w:rFonts w:ascii="Times New Roman" w:eastAsia="宋体" w:hAnsi="Times New Roman"/>
          <w:sz w:val="24"/>
          <w:szCs w:val="24"/>
        </w:rPr>
        <w:t>不予核准的决定。</w:t>
      </w:r>
    </w:p>
    <w:p w14:paraId="78997838" w14:textId="6B897AAD"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公司董事会应当自收到本决定之日起</w:t>
      </w:r>
      <w:r>
        <w:rPr>
          <w:rFonts w:ascii="Times New Roman" w:eastAsia="宋体" w:hAnsi="Times New Roman"/>
          <w:sz w:val="24"/>
          <w:szCs w:val="24"/>
        </w:rPr>
        <w:t>10</w:t>
      </w:r>
      <w:r>
        <w:rPr>
          <w:rFonts w:ascii="Times New Roman" w:eastAsia="宋体" w:hAnsi="Times New Roman"/>
          <w:sz w:val="24"/>
          <w:szCs w:val="24"/>
        </w:rPr>
        <w:t>日内对是否修改或终止本次方案</w:t>
      </w:r>
      <w:proofErr w:type="gramStart"/>
      <w:r>
        <w:rPr>
          <w:rFonts w:ascii="Times New Roman" w:eastAsia="宋体" w:hAnsi="Times New Roman"/>
          <w:sz w:val="24"/>
          <w:szCs w:val="24"/>
        </w:rPr>
        <w:t>作出</w:t>
      </w:r>
      <w:proofErr w:type="gramEnd"/>
      <w:r>
        <w:rPr>
          <w:rFonts w:ascii="Times New Roman" w:eastAsia="宋体" w:hAnsi="Times New Roman"/>
          <w:sz w:val="24"/>
          <w:szCs w:val="24"/>
        </w:rPr>
        <w:t>决议，同时应当按照有关规定及时履行信息披露义务。</w:t>
      </w:r>
    </w:p>
    <w:p w14:paraId="32A5FE0C" w14:textId="77777777" w:rsidR="0024652F" w:rsidRDefault="00FD24BC" w:rsidP="00A2735C">
      <w:pPr>
        <w:widowControl/>
        <w:tabs>
          <w:tab w:val="center" w:pos="4153"/>
          <w:tab w:val="left" w:pos="6390"/>
        </w:tabs>
        <w:spacing w:line="440" w:lineRule="exact"/>
        <w:ind w:firstLineChars="200" w:firstLine="480"/>
        <w:rPr>
          <w:rFonts w:ascii="Times New Roman" w:eastAsia="宋体" w:hAnsi="Times New Roman"/>
          <w:color w:val="000000"/>
          <w:kern w:val="0"/>
          <w:sz w:val="24"/>
          <w:szCs w:val="24"/>
          <w:lang w:bidi="ar"/>
        </w:rPr>
      </w:pPr>
      <w:r>
        <w:rPr>
          <w:rFonts w:ascii="Times New Roman" w:eastAsia="宋体" w:hAnsi="Times New Roman"/>
          <w:sz w:val="24"/>
          <w:szCs w:val="24"/>
        </w:rPr>
        <w:t>按照中国证监会的上述决定，公司董事会将结合公司实际情况对本次方案进行审慎研究，于收到此决定之日起</w:t>
      </w:r>
      <w:r>
        <w:rPr>
          <w:rFonts w:ascii="Times New Roman" w:eastAsia="宋体" w:hAnsi="Times New Roman"/>
          <w:sz w:val="24"/>
          <w:szCs w:val="24"/>
        </w:rPr>
        <w:t>10</w:t>
      </w:r>
      <w:r>
        <w:rPr>
          <w:rFonts w:ascii="Times New Roman" w:eastAsia="宋体" w:hAnsi="Times New Roman"/>
          <w:sz w:val="24"/>
          <w:szCs w:val="24"/>
        </w:rPr>
        <w:t>日内对是否修改或终止本次方案</w:t>
      </w:r>
      <w:proofErr w:type="gramStart"/>
      <w:r>
        <w:rPr>
          <w:rFonts w:ascii="Times New Roman" w:eastAsia="宋体" w:hAnsi="Times New Roman"/>
          <w:sz w:val="24"/>
          <w:szCs w:val="24"/>
        </w:rPr>
        <w:t>作出</w:t>
      </w:r>
      <w:proofErr w:type="gramEnd"/>
      <w:r>
        <w:rPr>
          <w:rFonts w:ascii="Times New Roman" w:eastAsia="宋体" w:hAnsi="Times New Roman"/>
          <w:sz w:val="24"/>
          <w:szCs w:val="24"/>
        </w:rPr>
        <w:t>决议，并按照有关规定及时履行信息披露义务。敬请广大投资者关注公司后续相关公告，并注意投资风险。</w:t>
      </w:r>
    </w:p>
    <w:p w14:paraId="250FD606" w14:textId="77777777" w:rsidR="0024652F" w:rsidRDefault="00FD24BC" w:rsidP="00A2735C">
      <w:pPr>
        <w:widowControl/>
        <w:tabs>
          <w:tab w:val="center" w:pos="4153"/>
          <w:tab w:val="left" w:pos="6390"/>
        </w:tabs>
        <w:spacing w:line="440" w:lineRule="exact"/>
        <w:ind w:firstLineChars="200" w:firstLine="480"/>
        <w:rPr>
          <w:rFonts w:ascii="Times New Roman" w:eastAsia="宋体" w:hAnsi="Times New Roman"/>
          <w:sz w:val="24"/>
          <w:szCs w:val="24"/>
        </w:rPr>
      </w:pPr>
      <w:r>
        <w:rPr>
          <w:rFonts w:ascii="Times New Roman" w:eastAsia="宋体" w:hAnsi="Times New Roman"/>
          <w:sz w:val="24"/>
          <w:szCs w:val="24"/>
        </w:rPr>
        <w:t>特此公告。</w:t>
      </w:r>
    </w:p>
    <w:p w14:paraId="68593847" w14:textId="77777777" w:rsidR="0024652F" w:rsidRDefault="00FD2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084683FC" w14:textId="7B6A6D16" w:rsidR="0024652F" w:rsidRDefault="00FD24BC" w:rsidP="00D71850">
      <w:pPr>
        <w:widowControl/>
        <w:tabs>
          <w:tab w:val="center" w:pos="4153"/>
          <w:tab w:val="left" w:pos="6390"/>
        </w:tabs>
        <w:spacing w:line="360" w:lineRule="auto"/>
        <w:ind w:firstLineChars="200" w:firstLine="480"/>
        <w:jc w:val="right"/>
        <w:rPr>
          <w:rFonts w:ascii="Times New Roman" w:eastAsia="宋体" w:hAnsi="Times New Roman"/>
        </w:rPr>
      </w:pPr>
      <w:r>
        <w:rPr>
          <w:rFonts w:ascii="Times New Roman" w:eastAsia="宋体" w:hAnsi="Times New Roman"/>
          <w:kern w:val="0"/>
          <w:sz w:val="24"/>
          <w:szCs w:val="24"/>
        </w:rPr>
        <w:t xml:space="preserve">         </w:t>
      </w:r>
      <w:bookmarkStart w:id="1" w:name="_GoBack"/>
      <w:bookmarkEnd w:id="1"/>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551B10">
        <w:rPr>
          <w:rFonts w:ascii="Times New Roman" w:eastAsia="宋体" w:hAnsi="Times New Roman"/>
          <w:kern w:val="0"/>
          <w:sz w:val="24"/>
          <w:szCs w:val="24"/>
        </w:rPr>
        <w:t>6</w:t>
      </w:r>
      <w:r>
        <w:rPr>
          <w:rFonts w:ascii="Times New Roman" w:eastAsia="宋体" w:hAnsi="Times New Roman"/>
          <w:kern w:val="0"/>
          <w:sz w:val="24"/>
          <w:szCs w:val="24"/>
        </w:rPr>
        <w:t>月</w:t>
      </w:r>
      <w:r w:rsidR="00551B10">
        <w:rPr>
          <w:rFonts w:ascii="Times New Roman" w:eastAsia="宋体" w:hAnsi="Times New Roman"/>
          <w:kern w:val="0"/>
          <w:sz w:val="24"/>
          <w:szCs w:val="24"/>
        </w:rPr>
        <w:t>9</w:t>
      </w:r>
      <w:r>
        <w:rPr>
          <w:rFonts w:ascii="Times New Roman" w:eastAsia="宋体" w:hAnsi="Times New Roman"/>
          <w:kern w:val="0"/>
          <w:sz w:val="24"/>
          <w:szCs w:val="24"/>
        </w:rPr>
        <w:t>日</w:t>
      </w:r>
    </w:p>
    <w:sectPr w:rsidR="00246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57897" w14:textId="77777777" w:rsidR="00B42154" w:rsidRDefault="00B42154" w:rsidP="008174CE">
      <w:r>
        <w:separator/>
      </w:r>
    </w:p>
  </w:endnote>
  <w:endnote w:type="continuationSeparator" w:id="0">
    <w:p w14:paraId="30BE5D58" w14:textId="77777777" w:rsidR="00B42154" w:rsidRDefault="00B42154" w:rsidP="0081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EE874" w14:textId="77777777" w:rsidR="00B42154" w:rsidRDefault="00B42154" w:rsidP="008174CE">
      <w:r>
        <w:separator/>
      </w:r>
    </w:p>
  </w:footnote>
  <w:footnote w:type="continuationSeparator" w:id="0">
    <w:p w14:paraId="7C16BC57" w14:textId="77777777" w:rsidR="00B42154" w:rsidRDefault="00B42154" w:rsidP="00817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2F"/>
    <w:rsid w:val="000B71AE"/>
    <w:rsid w:val="001969B8"/>
    <w:rsid w:val="0024652F"/>
    <w:rsid w:val="00276B6A"/>
    <w:rsid w:val="00396A9B"/>
    <w:rsid w:val="00551B10"/>
    <w:rsid w:val="00574B33"/>
    <w:rsid w:val="005A2F97"/>
    <w:rsid w:val="007156DE"/>
    <w:rsid w:val="008174CE"/>
    <w:rsid w:val="00A2735C"/>
    <w:rsid w:val="00B42154"/>
    <w:rsid w:val="00C6626B"/>
    <w:rsid w:val="00D71850"/>
    <w:rsid w:val="00F1033F"/>
    <w:rsid w:val="00FD24BC"/>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7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817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74CE"/>
    <w:rPr>
      <w:rFonts w:ascii="等线" w:eastAsia="等线" w:hAnsi="等线"/>
      <w:kern w:val="2"/>
      <w:sz w:val="18"/>
      <w:szCs w:val="18"/>
    </w:rPr>
  </w:style>
  <w:style w:type="paragraph" w:styleId="a4">
    <w:name w:val="footer"/>
    <w:basedOn w:val="a"/>
    <w:link w:val="Char0"/>
    <w:rsid w:val="008174CE"/>
    <w:pPr>
      <w:tabs>
        <w:tab w:val="center" w:pos="4153"/>
        <w:tab w:val="right" w:pos="8306"/>
      </w:tabs>
      <w:snapToGrid w:val="0"/>
      <w:jc w:val="left"/>
    </w:pPr>
    <w:rPr>
      <w:sz w:val="18"/>
      <w:szCs w:val="18"/>
    </w:rPr>
  </w:style>
  <w:style w:type="character" w:customStyle="1" w:styleId="Char0">
    <w:name w:val="页脚 Char"/>
    <w:basedOn w:val="a0"/>
    <w:link w:val="a4"/>
    <w:rsid w:val="008174CE"/>
    <w:rPr>
      <w:rFonts w:ascii="等线" w:eastAsia="等线" w:hAnsi="等线"/>
      <w:kern w:val="2"/>
      <w:sz w:val="18"/>
      <w:szCs w:val="18"/>
    </w:rPr>
  </w:style>
  <w:style w:type="paragraph" w:styleId="a5">
    <w:name w:val="Balloon Text"/>
    <w:basedOn w:val="a"/>
    <w:link w:val="Char1"/>
    <w:rsid w:val="007156DE"/>
    <w:rPr>
      <w:sz w:val="18"/>
      <w:szCs w:val="18"/>
    </w:rPr>
  </w:style>
  <w:style w:type="character" w:customStyle="1" w:styleId="Char1">
    <w:name w:val="批注框文本 Char"/>
    <w:basedOn w:val="a0"/>
    <w:link w:val="a5"/>
    <w:rsid w:val="007156DE"/>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817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74CE"/>
    <w:rPr>
      <w:rFonts w:ascii="等线" w:eastAsia="等线" w:hAnsi="等线"/>
      <w:kern w:val="2"/>
      <w:sz w:val="18"/>
      <w:szCs w:val="18"/>
    </w:rPr>
  </w:style>
  <w:style w:type="paragraph" w:styleId="a4">
    <w:name w:val="footer"/>
    <w:basedOn w:val="a"/>
    <w:link w:val="Char0"/>
    <w:rsid w:val="008174CE"/>
    <w:pPr>
      <w:tabs>
        <w:tab w:val="center" w:pos="4153"/>
        <w:tab w:val="right" w:pos="8306"/>
      </w:tabs>
      <w:snapToGrid w:val="0"/>
      <w:jc w:val="left"/>
    </w:pPr>
    <w:rPr>
      <w:sz w:val="18"/>
      <w:szCs w:val="18"/>
    </w:rPr>
  </w:style>
  <w:style w:type="character" w:customStyle="1" w:styleId="Char0">
    <w:name w:val="页脚 Char"/>
    <w:basedOn w:val="a0"/>
    <w:link w:val="a4"/>
    <w:rsid w:val="008174CE"/>
    <w:rPr>
      <w:rFonts w:ascii="等线" w:eastAsia="等线" w:hAnsi="等线"/>
      <w:kern w:val="2"/>
      <w:sz w:val="18"/>
      <w:szCs w:val="18"/>
    </w:rPr>
  </w:style>
  <w:style w:type="paragraph" w:styleId="a5">
    <w:name w:val="Balloon Text"/>
    <w:basedOn w:val="a"/>
    <w:link w:val="Char1"/>
    <w:rsid w:val="007156DE"/>
    <w:rPr>
      <w:sz w:val="18"/>
      <w:szCs w:val="18"/>
    </w:rPr>
  </w:style>
  <w:style w:type="character" w:customStyle="1" w:styleId="Char1">
    <w:name w:val="批注框文本 Char"/>
    <w:basedOn w:val="a0"/>
    <w:link w:val="a5"/>
    <w:rsid w:val="007156DE"/>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12</cp:revision>
  <dcterms:created xsi:type="dcterms:W3CDTF">2021-04-09T11:38:00Z</dcterms:created>
  <dcterms:modified xsi:type="dcterms:W3CDTF">2021-06-09T09:45:00Z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