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9321" w14:textId="77777777" w:rsidR="00AD67FA" w:rsidRDefault="00B7585D">
      <w:pPr>
        <w:spacing w:beforeLines="50" w:before="156" w:afterLines="50" w:after="156"/>
        <w:jc w:val="center"/>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北京京城机电股份有限公司独立非执行董事</w:t>
      </w:r>
    </w:p>
    <w:p w14:paraId="5EEB3E90" w14:textId="1312BE0F" w:rsidR="000C7C4C" w:rsidRDefault="00B7585D" w:rsidP="000C7C4C">
      <w:pPr>
        <w:spacing w:beforeLines="50" w:before="156" w:afterLines="50" w:after="156" w:line="460" w:lineRule="exact"/>
        <w:jc w:val="center"/>
        <w:rPr>
          <w:rFonts w:ascii="Times New Roman" w:eastAsia="楷体_GB2312" w:hAnsi="Times New Roman" w:cs="Times New Roman"/>
          <w:b/>
          <w:bCs/>
          <w:sz w:val="32"/>
          <w:szCs w:val="32"/>
        </w:rPr>
      </w:pPr>
      <w:bookmarkStart w:id="0" w:name="a0"/>
      <w:r>
        <w:rPr>
          <w:rFonts w:ascii="楷体_GB2312" w:eastAsia="楷体_GB2312" w:hAnsi="Times New Roman" w:cs="Times New Roman" w:hint="eastAsia"/>
          <w:b/>
          <w:bCs/>
          <w:sz w:val="32"/>
          <w:szCs w:val="32"/>
        </w:rPr>
        <w:t>关于公司第十届董事会</w:t>
      </w:r>
      <w:r w:rsidR="00B52F7E">
        <w:rPr>
          <w:rFonts w:ascii="楷体_GB2312" w:eastAsia="楷体_GB2312" w:hAnsi="Times New Roman" w:cs="Times New Roman" w:hint="eastAsia"/>
          <w:b/>
          <w:bCs/>
          <w:sz w:val="32"/>
          <w:szCs w:val="32"/>
        </w:rPr>
        <w:t>第</w:t>
      </w:r>
      <w:r w:rsidR="004E4B5E">
        <w:rPr>
          <w:rFonts w:ascii="楷体_GB2312" w:eastAsia="楷体_GB2312" w:hAnsi="Times New Roman" w:cs="Times New Roman" w:hint="eastAsia"/>
          <w:b/>
          <w:bCs/>
          <w:sz w:val="32"/>
          <w:szCs w:val="32"/>
        </w:rPr>
        <w:t>十二</w:t>
      </w:r>
      <w:r w:rsidR="00E51830">
        <w:rPr>
          <w:rFonts w:ascii="楷体_GB2312" w:eastAsia="楷体_GB2312" w:hAnsi="Times New Roman" w:cs="Times New Roman" w:hint="eastAsia"/>
          <w:b/>
          <w:bCs/>
          <w:sz w:val="32"/>
          <w:szCs w:val="32"/>
        </w:rPr>
        <w:t>次</w:t>
      </w:r>
      <w:r w:rsidR="00BE38C6">
        <w:rPr>
          <w:rFonts w:ascii="楷体_GB2312" w:eastAsia="楷体_GB2312" w:hAnsi="Times New Roman" w:cs="Times New Roman" w:hint="eastAsia"/>
          <w:b/>
          <w:bCs/>
          <w:sz w:val="32"/>
          <w:szCs w:val="32"/>
        </w:rPr>
        <w:t>临时</w:t>
      </w:r>
      <w:r>
        <w:rPr>
          <w:rFonts w:ascii="楷体_GB2312" w:eastAsia="楷体_GB2312" w:hAnsi="Times New Roman" w:cs="Times New Roman" w:hint="eastAsia"/>
          <w:b/>
          <w:bCs/>
          <w:sz w:val="32"/>
          <w:szCs w:val="32"/>
        </w:rPr>
        <w:t>会议相关事项</w:t>
      </w:r>
      <w:bookmarkEnd w:id="0"/>
      <w:r>
        <w:rPr>
          <w:rFonts w:ascii="楷体_GB2312" w:eastAsia="楷体_GB2312" w:hAnsi="Times New Roman" w:cs="Times New Roman" w:hint="eastAsia"/>
          <w:b/>
          <w:bCs/>
          <w:sz w:val="32"/>
          <w:szCs w:val="32"/>
        </w:rPr>
        <w:t>的</w:t>
      </w:r>
    </w:p>
    <w:p w14:paraId="4261C1D3" w14:textId="77777777" w:rsidR="000C7C4C" w:rsidRDefault="000C7C4C" w:rsidP="000C7C4C">
      <w:pPr>
        <w:spacing w:beforeLines="50" w:before="156" w:afterLines="50" w:after="156"/>
        <w:jc w:val="center"/>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事前认可意见</w:t>
      </w:r>
    </w:p>
    <w:p w14:paraId="1D547B08" w14:textId="2ECB2546" w:rsidR="00B52F7E" w:rsidRPr="00B52F7E" w:rsidRDefault="00B52F7E" w:rsidP="000C7C4C">
      <w:pPr>
        <w:spacing w:line="440" w:lineRule="exact"/>
        <w:ind w:firstLineChars="200" w:firstLine="560"/>
        <w:rPr>
          <w:rFonts w:ascii="楷体" w:eastAsia="楷体" w:hAnsi="楷体" w:cs="Times New Roman"/>
          <w:sz w:val="28"/>
          <w:szCs w:val="28"/>
        </w:rPr>
      </w:pPr>
      <w:r w:rsidRPr="00B52F7E">
        <w:rPr>
          <w:rFonts w:ascii="楷体" w:eastAsia="楷体" w:hAnsi="楷体" w:cs="Times New Roman" w:hint="eastAsia"/>
          <w:sz w:val="28"/>
          <w:szCs w:val="28"/>
        </w:rPr>
        <w:t>北京京城机电股份有限公司（以下简称“公司”或“上市公司”）拟向</w:t>
      </w:r>
      <w:r w:rsidRPr="00B52F7E">
        <w:rPr>
          <w:rFonts w:ascii="楷体" w:eastAsia="楷体" w:hAnsi="楷体" w:cs="Times New Roman"/>
          <w:sz w:val="28"/>
          <w:szCs w:val="28"/>
        </w:rPr>
        <w:t>李红等17个自然人及青岛艾特诺经济信息咨询有限公司</w:t>
      </w:r>
      <w:r w:rsidRPr="00B52F7E">
        <w:rPr>
          <w:rFonts w:ascii="楷体" w:eastAsia="楷体" w:hAnsi="楷体" w:cs="Times New Roman" w:hint="eastAsia"/>
          <w:sz w:val="28"/>
          <w:szCs w:val="28"/>
        </w:rPr>
        <w:t>发行股份及支付现金购买其持有的</w:t>
      </w:r>
      <w:r w:rsidRPr="00B52F7E">
        <w:rPr>
          <w:rFonts w:ascii="楷体" w:eastAsia="楷体" w:hAnsi="楷体" w:cs="Times New Roman"/>
          <w:sz w:val="28"/>
          <w:szCs w:val="28"/>
        </w:rPr>
        <w:t>青岛北洋天青数联智能股份有限公司</w:t>
      </w:r>
      <w:r w:rsidRPr="00B52F7E">
        <w:rPr>
          <w:rFonts w:ascii="楷体" w:eastAsia="楷体" w:hAnsi="楷体" w:cs="Times New Roman" w:hint="eastAsia"/>
          <w:sz w:val="28"/>
          <w:szCs w:val="28"/>
        </w:rPr>
        <w:t>（以下简称“北洋天青”）</w:t>
      </w:r>
      <w:r w:rsidRPr="00B52F7E">
        <w:rPr>
          <w:rFonts w:ascii="楷体" w:eastAsia="楷体" w:hAnsi="楷体" w:cs="Times New Roman"/>
          <w:sz w:val="28"/>
          <w:szCs w:val="28"/>
        </w:rPr>
        <w:t>80.00</w:t>
      </w:r>
      <w:r w:rsidRPr="00B52F7E">
        <w:rPr>
          <w:rFonts w:ascii="楷体" w:eastAsia="楷体" w:hAnsi="楷体" w:cs="Times New Roman" w:hint="eastAsia"/>
          <w:sz w:val="28"/>
          <w:szCs w:val="28"/>
        </w:rPr>
        <w:t>%的股份，并向不超过</w:t>
      </w:r>
      <w:r w:rsidRPr="00B52F7E">
        <w:rPr>
          <w:rFonts w:ascii="楷体" w:eastAsia="楷体" w:hAnsi="楷体" w:cs="Times New Roman"/>
          <w:sz w:val="28"/>
          <w:szCs w:val="28"/>
        </w:rPr>
        <w:t>35</w:t>
      </w:r>
      <w:r w:rsidRPr="00B52F7E">
        <w:rPr>
          <w:rFonts w:ascii="楷体" w:eastAsia="楷体" w:hAnsi="楷体" w:cs="Times New Roman" w:hint="eastAsia"/>
          <w:sz w:val="28"/>
          <w:szCs w:val="28"/>
        </w:rPr>
        <w:t>名投资者非公开发行股份募集配套资金（以下简称“本次交易”）。</w:t>
      </w:r>
    </w:p>
    <w:p w14:paraId="4D00B6A6" w14:textId="38FA941B" w:rsidR="00B52F7E" w:rsidRPr="00B52F7E" w:rsidRDefault="00B52F7E" w:rsidP="00B52F7E">
      <w:pPr>
        <w:spacing w:line="440" w:lineRule="exact"/>
        <w:ind w:firstLineChars="200" w:firstLine="560"/>
        <w:rPr>
          <w:rFonts w:ascii="楷体" w:eastAsia="楷体" w:hAnsi="楷体" w:cs="Times New Roman"/>
          <w:sz w:val="28"/>
          <w:szCs w:val="28"/>
        </w:rPr>
      </w:pPr>
      <w:r w:rsidRPr="00B52F7E">
        <w:rPr>
          <w:rFonts w:ascii="楷体" w:eastAsia="楷体" w:hAnsi="楷体" w:cs="Times New Roman" w:hint="eastAsia"/>
          <w:sz w:val="28"/>
          <w:szCs w:val="28"/>
        </w:rPr>
        <w:t>根据《关于在上市公司简历独立董事制度的指导意见》、《上市公司重大资产重组管理办法》、《关于规范上市公司重大资产重组若干问题的规定》、《上海证券交易所股票上市规则》等规章、规范性文件及《公司章程》的有关规定，我们作为公司的独立董事，本着独立、客观、公正的原则，已审阅了拟提交公司第</w:t>
      </w:r>
      <w:r w:rsidR="00BE38C6">
        <w:rPr>
          <w:rFonts w:ascii="楷体" w:eastAsia="楷体" w:hAnsi="楷体" w:cs="Times New Roman" w:hint="eastAsia"/>
          <w:sz w:val="28"/>
          <w:szCs w:val="28"/>
        </w:rPr>
        <w:t>十</w:t>
      </w:r>
      <w:r w:rsidRPr="00B52F7E">
        <w:rPr>
          <w:rFonts w:ascii="楷体" w:eastAsia="楷体" w:hAnsi="楷体" w:cs="Times New Roman" w:hint="eastAsia"/>
          <w:sz w:val="28"/>
          <w:szCs w:val="28"/>
        </w:rPr>
        <w:t>届董事会第</w:t>
      </w:r>
      <w:r w:rsidR="004E4B5E">
        <w:rPr>
          <w:rFonts w:ascii="楷体" w:eastAsia="楷体" w:hAnsi="楷体" w:cs="Times New Roman" w:hint="eastAsia"/>
          <w:sz w:val="28"/>
          <w:szCs w:val="28"/>
        </w:rPr>
        <w:t>十二</w:t>
      </w:r>
      <w:r w:rsidR="00E51830">
        <w:rPr>
          <w:rFonts w:ascii="楷体" w:eastAsia="楷体" w:hAnsi="楷体" w:cs="Times New Roman" w:hint="eastAsia"/>
          <w:sz w:val="28"/>
          <w:szCs w:val="28"/>
        </w:rPr>
        <w:t>次</w:t>
      </w:r>
      <w:r w:rsidR="00BE38C6">
        <w:rPr>
          <w:rFonts w:ascii="楷体" w:eastAsia="楷体" w:hAnsi="楷体" w:cs="Times New Roman" w:hint="eastAsia"/>
          <w:sz w:val="28"/>
          <w:szCs w:val="28"/>
        </w:rPr>
        <w:t>临时</w:t>
      </w:r>
      <w:r w:rsidRPr="00B52F7E">
        <w:rPr>
          <w:rFonts w:ascii="楷体" w:eastAsia="楷体" w:hAnsi="楷体" w:cs="Times New Roman" w:hint="eastAsia"/>
          <w:sz w:val="28"/>
          <w:szCs w:val="28"/>
        </w:rPr>
        <w:t>会议审议的本次交易的相关文件，在了解相关信息的基础上，对公司本次交易发表意见如下：</w:t>
      </w:r>
    </w:p>
    <w:p w14:paraId="429EA84A" w14:textId="1EBFCB90" w:rsidR="00AD67FA" w:rsidRDefault="00B7585D">
      <w:pPr>
        <w:spacing w:line="440" w:lineRule="exact"/>
        <w:ind w:firstLineChars="200" w:firstLine="560"/>
        <w:rPr>
          <w:rFonts w:ascii="楷体" w:eastAsia="楷体" w:hAnsi="楷体" w:cs="Times New Roman"/>
          <w:sz w:val="28"/>
          <w:szCs w:val="28"/>
        </w:rPr>
      </w:pPr>
      <w:bookmarkStart w:id="1" w:name="_Hlk7532063"/>
      <w:r>
        <w:rPr>
          <w:rFonts w:ascii="楷体" w:eastAsia="楷体" w:hAnsi="楷体" w:cs="Times New Roman"/>
          <w:sz w:val="28"/>
          <w:szCs w:val="28"/>
        </w:rPr>
        <w:t>1、</w:t>
      </w:r>
      <w:r w:rsidRPr="00B7585D">
        <w:rPr>
          <w:rFonts w:ascii="楷体" w:eastAsia="楷体" w:hAnsi="楷体" w:cs="Times New Roman" w:hint="eastAsia"/>
          <w:sz w:val="28"/>
          <w:szCs w:val="28"/>
        </w:rPr>
        <w:t>本次交易不构成重大资产重组，</w:t>
      </w:r>
      <w:r>
        <w:rPr>
          <w:rFonts w:ascii="楷体" w:eastAsia="楷体" w:hAnsi="楷体" w:cs="Times New Roman"/>
          <w:sz w:val="28"/>
          <w:szCs w:val="28"/>
        </w:rPr>
        <w:t>本次交易方案符合《中华人民共和国公司法》</w:t>
      </w:r>
      <w:r w:rsidR="0065303D">
        <w:rPr>
          <w:rFonts w:ascii="楷体" w:eastAsia="楷体" w:hAnsi="楷体" w:cs="Times New Roman" w:hint="eastAsia"/>
          <w:sz w:val="28"/>
          <w:szCs w:val="28"/>
        </w:rPr>
        <w:t>、</w:t>
      </w:r>
      <w:r>
        <w:rPr>
          <w:rFonts w:ascii="楷体" w:eastAsia="楷体" w:hAnsi="楷体" w:cs="Times New Roman"/>
          <w:sz w:val="28"/>
          <w:szCs w:val="28"/>
        </w:rPr>
        <w:t>《中华人民共和国证券法》、《上市公司重大资产重组管理办法》</w:t>
      </w:r>
      <w:r w:rsidR="0065303D">
        <w:rPr>
          <w:rFonts w:ascii="楷体" w:eastAsia="楷体" w:hAnsi="楷体" w:cs="Times New Roman" w:hint="eastAsia"/>
          <w:sz w:val="28"/>
          <w:szCs w:val="28"/>
        </w:rPr>
        <w:t>、</w:t>
      </w:r>
      <w:r>
        <w:rPr>
          <w:rFonts w:ascii="楷体" w:eastAsia="楷体" w:hAnsi="楷体" w:cs="Times New Roman"/>
          <w:sz w:val="28"/>
          <w:szCs w:val="28"/>
        </w:rPr>
        <w:t>《上市公司证券发行管理办法》及其他有关法律、法规和中国证监会颁布的规范性文件的规定。方案合理、切实可行，没有损害中小股东的利益。</w:t>
      </w:r>
    </w:p>
    <w:p w14:paraId="5BAB0156" w14:textId="263CF0EB" w:rsidR="00AD67FA" w:rsidRDefault="00B7585D">
      <w:pPr>
        <w:spacing w:line="440" w:lineRule="exact"/>
        <w:ind w:firstLineChars="200" w:firstLine="560"/>
        <w:rPr>
          <w:rFonts w:ascii="楷体" w:eastAsia="楷体" w:hAnsi="楷体" w:cs="Times New Roman"/>
          <w:sz w:val="28"/>
          <w:szCs w:val="28"/>
        </w:rPr>
      </w:pPr>
      <w:r>
        <w:rPr>
          <w:rFonts w:ascii="楷体" w:eastAsia="楷体" w:hAnsi="楷体" w:cs="Times New Roman"/>
          <w:sz w:val="28"/>
          <w:szCs w:val="28"/>
        </w:rPr>
        <w:t>2、《</w:t>
      </w:r>
      <w:r>
        <w:rPr>
          <w:rFonts w:ascii="楷体" w:eastAsia="楷体" w:hAnsi="楷体" w:cs="Times New Roman" w:hint="eastAsia"/>
          <w:sz w:val="28"/>
          <w:szCs w:val="28"/>
        </w:rPr>
        <w:t>北京京城机电股份有限公司</w:t>
      </w:r>
      <w:r>
        <w:rPr>
          <w:rFonts w:ascii="楷体" w:eastAsia="楷体" w:hAnsi="楷体" w:cs="Times New Roman"/>
          <w:sz w:val="28"/>
          <w:szCs w:val="28"/>
        </w:rPr>
        <w:t>发行股份及支付现金购买资产并募集配套资金</w:t>
      </w:r>
      <w:r>
        <w:rPr>
          <w:rFonts w:ascii="楷体" w:eastAsia="楷体" w:hAnsi="楷体" w:cs="Times New Roman" w:hint="eastAsia"/>
          <w:sz w:val="28"/>
          <w:szCs w:val="28"/>
        </w:rPr>
        <w:t>报告书（草案）</w:t>
      </w:r>
      <w:r>
        <w:rPr>
          <w:rFonts w:ascii="楷体" w:eastAsia="楷体" w:hAnsi="楷体" w:cs="Times New Roman"/>
          <w:sz w:val="28"/>
          <w:szCs w:val="28"/>
        </w:rPr>
        <w:t>》</w:t>
      </w:r>
      <w:r>
        <w:rPr>
          <w:rFonts w:ascii="楷体" w:eastAsia="楷体" w:hAnsi="楷体" w:cs="Times New Roman" w:hint="eastAsia"/>
          <w:sz w:val="28"/>
          <w:szCs w:val="28"/>
        </w:rPr>
        <w:t>及其摘要</w:t>
      </w:r>
      <w:r>
        <w:rPr>
          <w:rFonts w:ascii="楷体" w:eastAsia="楷体" w:hAnsi="楷体" w:cs="Times New Roman"/>
          <w:sz w:val="28"/>
          <w:szCs w:val="28"/>
        </w:rPr>
        <w:t>符合相关法律法规及监管规则的要求，具备基本的可行性和可操作性，无重大法律政策障碍。</w:t>
      </w:r>
    </w:p>
    <w:p w14:paraId="4A5F3402" w14:textId="7F63E565" w:rsidR="00AD67FA" w:rsidRDefault="00B7585D">
      <w:pPr>
        <w:spacing w:line="440" w:lineRule="exact"/>
        <w:ind w:firstLineChars="200" w:firstLine="560"/>
        <w:rPr>
          <w:rFonts w:ascii="楷体" w:eastAsia="楷体" w:hAnsi="楷体" w:cs="Times New Roman"/>
          <w:sz w:val="28"/>
          <w:szCs w:val="28"/>
        </w:rPr>
      </w:pPr>
      <w:r>
        <w:rPr>
          <w:rFonts w:ascii="楷体" w:eastAsia="楷体" w:hAnsi="楷体" w:cs="Times New Roman"/>
          <w:sz w:val="28"/>
          <w:szCs w:val="28"/>
        </w:rPr>
        <w:t>3、</w:t>
      </w:r>
      <w:r w:rsidRPr="00B7585D">
        <w:rPr>
          <w:rFonts w:ascii="楷体" w:eastAsia="楷体" w:hAnsi="楷体" w:cs="Times New Roman" w:hint="eastAsia"/>
          <w:sz w:val="28"/>
          <w:szCs w:val="28"/>
        </w:rPr>
        <w:t>公司就本次交易与各相关方签订的附生效条件的交易协议系按照自愿、公平及合理的原则协商达成，符合《公司法》、《证券法》、《上市公司重大资产重组管理办法》等有关法律、法规及规范性文件的规定，不存在损害公司及全体股东、特别是中小股东利益的情况。</w:t>
      </w:r>
    </w:p>
    <w:p w14:paraId="415AFC8E" w14:textId="133BAF06" w:rsidR="00AD67FA" w:rsidRDefault="00B7585D">
      <w:pPr>
        <w:spacing w:line="440" w:lineRule="exact"/>
        <w:ind w:firstLineChars="200" w:firstLine="560"/>
        <w:rPr>
          <w:rFonts w:ascii="楷体" w:eastAsia="楷体" w:hAnsi="楷体" w:cs="Times New Roman"/>
          <w:sz w:val="28"/>
          <w:szCs w:val="28"/>
          <w:lang w:val="en-GB"/>
        </w:rPr>
      </w:pPr>
      <w:r>
        <w:rPr>
          <w:rFonts w:ascii="楷体" w:eastAsia="楷体" w:hAnsi="楷体" w:cs="Times New Roman"/>
          <w:sz w:val="28"/>
          <w:szCs w:val="28"/>
        </w:rPr>
        <w:t>4、本次交易实施前，</w:t>
      </w:r>
      <w:r w:rsidRPr="00B7585D">
        <w:rPr>
          <w:rFonts w:ascii="楷体" w:eastAsia="楷体" w:hAnsi="楷体" w:cs="Times New Roman" w:hint="eastAsia"/>
          <w:sz w:val="28"/>
          <w:szCs w:val="28"/>
        </w:rPr>
        <w:t>北京京城机电控股有限责任公司持有公</w:t>
      </w:r>
      <w:r>
        <w:rPr>
          <w:rFonts w:ascii="楷体" w:eastAsia="楷体" w:hAnsi="楷体" w:cs="Times New Roman" w:hint="eastAsia"/>
          <w:sz w:val="28"/>
          <w:szCs w:val="28"/>
          <w:lang w:val="en-GB"/>
        </w:rPr>
        <w:t>司</w:t>
      </w:r>
      <w:r>
        <w:rPr>
          <w:rFonts w:ascii="楷体" w:eastAsia="楷体" w:hAnsi="楷体" w:cs="Times New Roman"/>
          <w:sz w:val="28"/>
          <w:szCs w:val="28"/>
          <w:lang w:val="en-GB"/>
        </w:rPr>
        <w:t>50.67%的股份，为公司的控股股东</w:t>
      </w:r>
      <w:r w:rsidRPr="00B7585D">
        <w:rPr>
          <w:rFonts w:ascii="楷体" w:eastAsia="楷体" w:hAnsi="楷体" w:cs="Times New Roman"/>
          <w:sz w:val="28"/>
          <w:szCs w:val="28"/>
          <w:lang w:val="en-GB"/>
        </w:rPr>
        <w:t>。本次交易完成后，</w:t>
      </w:r>
      <w:r>
        <w:rPr>
          <w:rFonts w:ascii="楷体" w:eastAsia="楷体" w:hAnsi="楷体" w:cs="Times New Roman" w:hint="eastAsia"/>
          <w:sz w:val="28"/>
          <w:szCs w:val="28"/>
          <w:lang w:val="en-GB"/>
        </w:rPr>
        <w:t>公司控股股东</w:t>
      </w:r>
      <w:r w:rsidR="00BE38C6">
        <w:rPr>
          <w:rFonts w:ascii="楷体" w:eastAsia="楷体" w:hAnsi="楷体" w:cs="Times New Roman" w:hint="eastAsia"/>
          <w:sz w:val="28"/>
          <w:szCs w:val="28"/>
          <w:lang w:val="en-GB"/>
        </w:rPr>
        <w:t>、</w:t>
      </w:r>
      <w:r w:rsidR="00BE38C6">
        <w:rPr>
          <w:rFonts w:ascii="楷体" w:eastAsia="楷体" w:hAnsi="楷体" w:cs="Times New Roman" w:hint="eastAsia"/>
          <w:sz w:val="28"/>
          <w:szCs w:val="28"/>
          <w:lang w:val="en-GB"/>
        </w:rPr>
        <w:lastRenderedPageBreak/>
        <w:t>实际控制人</w:t>
      </w:r>
      <w:r>
        <w:rPr>
          <w:rFonts w:ascii="楷体" w:eastAsia="楷体" w:hAnsi="楷体" w:cs="Times New Roman" w:hint="eastAsia"/>
          <w:sz w:val="28"/>
          <w:szCs w:val="28"/>
          <w:lang w:val="en-GB"/>
        </w:rPr>
        <w:t>仍为北京京城机电控股有限责任公司，</w:t>
      </w:r>
      <w:r w:rsidRPr="00B7585D">
        <w:rPr>
          <w:rFonts w:ascii="楷体" w:eastAsia="楷体" w:hAnsi="楷体" w:cs="Times New Roman"/>
          <w:sz w:val="28"/>
          <w:szCs w:val="28"/>
          <w:lang w:val="en-GB"/>
        </w:rPr>
        <w:t>本次交易不会导致公司控制权发生变化。</w:t>
      </w:r>
    </w:p>
    <w:p w14:paraId="5A97A688" w14:textId="73B62DDA" w:rsidR="00AD67FA" w:rsidRPr="00B7585D" w:rsidRDefault="00B7585D">
      <w:pPr>
        <w:spacing w:line="440" w:lineRule="exact"/>
        <w:ind w:firstLineChars="200" w:firstLine="560"/>
        <w:rPr>
          <w:rFonts w:ascii="楷体" w:eastAsia="楷体" w:hAnsi="楷体" w:cs="Times New Roman"/>
          <w:sz w:val="28"/>
          <w:szCs w:val="28"/>
          <w:lang w:val="en-GB"/>
        </w:rPr>
      </w:pPr>
      <w:r w:rsidRPr="00B7585D">
        <w:rPr>
          <w:rFonts w:ascii="楷体" w:eastAsia="楷体" w:hAnsi="楷体" w:cs="Times New Roman"/>
          <w:sz w:val="28"/>
          <w:szCs w:val="28"/>
          <w:lang w:val="en-GB"/>
        </w:rPr>
        <w:t>5、</w:t>
      </w:r>
      <w:r w:rsidRPr="00B7585D">
        <w:rPr>
          <w:rFonts w:ascii="楷体" w:eastAsia="楷体" w:hAnsi="楷体" w:cs="Times New Roman" w:hint="eastAsia"/>
          <w:sz w:val="28"/>
          <w:szCs w:val="28"/>
          <w:lang w:val="en-GB"/>
        </w:rPr>
        <w:t>本次交易中，标的资产的交易价格以</w:t>
      </w:r>
      <w:r w:rsidR="008A39E2">
        <w:rPr>
          <w:rFonts w:ascii="楷体" w:eastAsia="楷体" w:hAnsi="楷体" w:cs="Times New Roman" w:hint="eastAsia"/>
          <w:sz w:val="28"/>
          <w:szCs w:val="28"/>
          <w:lang w:val="en-GB"/>
        </w:rPr>
        <w:t>符合《证券法》要求</w:t>
      </w:r>
      <w:r w:rsidRPr="00B7585D">
        <w:rPr>
          <w:rFonts w:ascii="楷体" w:eastAsia="楷体" w:hAnsi="楷体" w:cs="Times New Roman" w:hint="eastAsia"/>
          <w:sz w:val="28"/>
          <w:szCs w:val="28"/>
          <w:lang w:val="en-GB"/>
        </w:rPr>
        <w:t>的资产评估机构出具的评估报告的评估结果为依据，由交易各方协商确定，符合《上市公司重大资产重组管理办法》及其他有关法律、法规和政策的规定，本次交易定价方式符合相关规定，</w:t>
      </w:r>
      <w:r w:rsidR="008A39E2" w:rsidRPr="00360B14">
        <w:rPr>
          <w:rFonts w:ascii="楷体" w:eastAsia="楷体" w:hAnsi="楷体" w:cs="Times New Roman" w:hint="eastAsia"/>
          <w:sz w:val="28"/>
          <w:szCs w:val="28"/>
          <w:lang w:val="en-GB"/>
        </w:rPr>
        <w:t>保证了标的资产价格的公允性，</w:t>
      </w:r>
      <w:r w:rsidRPr="00B7585D">
        <w:rPr>
          <w:rFonts w:ascii="楷体" w:eastAsia="楷体" w:hAnsi="楷体" w:cs="Times New Roman" w:hint="eastAsia"/>
          <w:sz w:val="28"/>
          <w:szCs w:val="28"/>
          <w:lang w:val="en-GB"/>
        </w:rPr>
        <w:t>不存在损害公司及全体股东、特别是中小股东利益的情况。</w:t>
      </w:r>
    </w:p>
    <w:p w14:paraId="06DC8C2C" w14:textId="2BB14E10" w:rsidR="00AD67FA" w:rsidRPr="000C7C4C" w:rsidRDefault="000C7C4C">
      <w:pPr>
        <w:spacing w:line="440" w:lineRule="exact"/>
        <w:ind w:firstLineChars="200" w:firstLine="560"/>
        <w:rPr>
          <w:rFonts w:ascii="楷体" w:eastAsia="楷体" w:hAnsi="楷体" w:cs="Times New Roman"/>
          <w:sz w:val="28"/>
          <w:szCs w:val="28"/>
          <w:lang w:val="en-GB"/>
        </w:rPr>
      </w:pPr>
      <w:r>
        <w:rPr>
          <w:rFonts w:ascii="楷体" w:eastAsia="楷体" w:hAnsi="楷体" w:cs="Times New Roman" w:hint="eastAsia"/>
          <w:sz w:val="28"/>
          <w:szCs w:val="28"/>
          <w:lang w:val="en-GB"/>
        </w:rPr>
        <w:t>6、</w:t>
      </w:r>
      <w:r w:rsidR="00B7585D" w:rsidRPr="00B7585D">
        <w:rPr>
          <w:rFonts w:ascii="楷体" w:eastAsia="楷体" w:hAnsi="楷体" w:cs="Times New Roman"/>
          <w:sz w:val="28"/>
          <w:szCs w:val="28"/>
          <w:lang w:val="en-GB"/>
        </w:rPr>
        <w:t>公司通过本次交易，把握了行业契机进行优质资源整合，有利于增强公司的持续经营能力</w:t>
      </w:r>
      <w:r w:rsidR="00B7585D" w:rsidRPr="00B7585D">
        <w:rPr>
          <w:rFonts w:ascii="楷体" w:eastAsia="楷体" w:hAnsi="楷体" w:cs="Times New Roman" w:hint="eastAsia"/>
          <w:sz w:val="28"/>
          <w:szCs w:val="28"/>
          <w:lang w:val="en-GB"/>
        </w:rPr>
        <w:t>和可持续发展能力</w:t>
      </w:r>
      <w:r w:rsidR="00B7585D" w:rsidRPr="00B7585D">
        <w:rPr>
          <w:rFonts w:ascii="楷体" w:eastAsia="楷体" w:hAnsi="楷体" w:cs="Times New Roman"/>
          <w:sz w:val="28"/>
          <w:szCs w:val="28"/>
          <w:lang w:val="en-GB"/>
        </w:rPr>
        <w:t>，有利于公司的长远发展，符合公司和全体股东的利益，不存在损害公司</w:t>
      </w:r>
      <w:r w:rsidR="00B7585D" w:rsidRPr="000C7C4C">
        <w:rPr>
          <w:rFonts w:ascii="楷体" w:eastAsia="楷体" w:hAnsi="楷体" w:cs="Times New Roman"/>
          <w:sz w:val="28"/>
          <w:szCs w:val="28"/>
          <w:lang w:val="en-GB"/>
        </w:rPr>
        <w:t>中小股东利益的情况。</w:t>
      </w:r>
    </w:p>
    <w:p w14:paraId="4C0C75E2" w14:textId="1BBBE64C" w:rsidR="000C7C4C" w:rsidRPr="000C7C4C" w:rsidRDefault="000C7C4C" w:rsidP="000C7C4C">
      <w:pPr>
        <w:spacing w:line="440" w:lineRule="exact"/>
        <w:ind w:firstLineChars="200" w:firstLine="560"/>
        <w:rPr>
          <w:rFonts w:ascii="楷体" w:eastAsia="楷体" w:hAnsi="楷体" w:cs="Times New Roman"/>
          <w:sz w:val="28"/>
          <w:szCs w:val="28"/>
          <w:lang w:val="en-GB"/>
        </w:rPr>
      </w:pPr>
      <w:r w:rsidRPr="000C7C4C">
        <w:rPr>
          <w:rFonts w:ascii="楷体" w:eastAsia="楷体" w:hAnsi="楷体" w:cs="Times New Roman" w:hint="eastAsia"/>
          <w:sz w:val="28"/>
          <w:szCs w:val="28"/>
          <w:lang w:val="en-GB"/>
        </w:rPr>
        <w:t>我们对公司本次发行股份及支付现金</w:t>
      </w:r>
      <w:r w:rsidRPr="000C7C4C">
        <w:rPr>
          <w:rFonts w:ascii="楷体" w:eastAsia="楷体" w:hAnsi="楷体" w:cs="Times New Roman"/>
          <w:sz w:val="28"/>
          <w:szCs w:val="28"/>
          <w:lang w:val="en-GB"/>
        </w:rPr>
        <w:t>购买</w:t>
      </w:r>
      <w:r w:rsidRPr="000C7C4C">
        <w:rPr>
          <w:rFonts w:ascii="楷体" w:eastAsia="楷体" w:hAnsi="楷体" w:cs="Times New Roman" w:hint="eastAsia"/>
          <w:sz w:val="28"/>
          <w:szCs w:val="28"/>
          <w:lang w:val="en-GB"/>
        </w:rPr>
        <w:t>资产并募集配套资金的相关内容表示认可，并且同意将相关议案提交公司第</w:t>
      </w:r>
      <w:r>
        <w:rPr>
          <w:rFonts w:ascii="楷体" w:eastAsia="楷体" w:hAnsi="楷体" w:cs="Times New Roman" w:hint="eastAsia"/>
          <w:sz w:val="28"/>
          <w:szCs w:val="28"/>
          <w:lang w:val="en-GB"/>
        </w:rPr>
        <w:t>十</w:t>
      </w:r>
      <w:r w:rsidRPr="000C7C4C">
        <w:rPr>
          <w:rFonts w:ascii="楷体" w:eastAsia="楷体" w:hAnsi="楷体" w:cs="Times New Roman" w:hint="eastAsia"/>
          <w:sz w:val="28"/>
          <w:szCs w:val="28"/>
          <w:lang w:val="en-GB"/>
        </w:rPr>
        <w:t>届董事会第</w:t>
      </w:r>
      <w:r w:rsidR="004E4B5E">
        <w:rPr>
          <w:rFonts w:ascii="楷体" w:eastAsia="楷体" w:hAnsi="楷体" w:cs="Times New Roman" w:hint="eastAsia"/>
          <w:sz w:val="28"/>
          <w:szCs w:val="28"/>
          <w:lang w:val="en-GB"/>
        </w:rPr>
        <w:t>十二</w:t>
      </w:r>
      <w:r w:rsidR="00E51830">
        <w:rPr>
          <w:rFonts w:ascii="楷体" w:eastAsia="楷体" w:hAnsi="楷体" w:cs="Times New Roman" w:hint="eastAsia"/>
          <w:sz w:val="28"/>
          <w:szCs w:val="28"/>
          <w:lang w:val="en-GB"/>
        </w:rPr>
        <w:t>次</w:t>
      </w:r>
      <w:r w:rsidR="006A34AE">
        <w:rPr>
          <w:rFonts w:ascii="楷体" w:eastAsia="楷体" w:hAnsi="楷体" w:cs="Times New Roman" w:hint="eastAsia"/>
          <w:sz w:val="28"/>
          <w:szCs w:val="28"/>
          <w:lang w:val="en-GB"/>
        </w:rPr>
        <w:t>临时</w:t>
      </w:r>
      <w:r w:rsidRPr="000C7C4C">
        <w:rPr>
          <w:rFonts w:ascii="楷体" w:eastAsia="楷体" w:hAnsi="楷体" w:cs="Times New Roman" w:hint="eastAsia"/>
          <w:sz w:val="28"/>
          <w:szCs w:val="28"/>
          <w:lang w:val="en-GB"/>
        </w:rPr>
        <w:t>会议审议。</w:t>
      </w:r>
    </w:p>
    <w:p w14:paraId="55FA2284" w14:textId="77777777" w:rsidR="00AD67FA" w:rsidRPr="000C7C4C" w:rsidRDefault="00AD67FA">
      <w:pPr>
        <w:spacing w:line="440" w:lineRule="exact"/>
        <w:ind w:firstLineChars="200" w:firstLine="560"/>
        <w:rPr>
          <w:rFonts w:ascii="楷体" w:eastAsia="楷体" w:hAnsi="楷体" w:cs="Times New Roman"/>
          <w:sz w:val="28"/>
          <w:szCs w:val="28"/>
        </w:rPr>
      </w:pPr>
    </w:p>
    <w:p w14:paraId="780AF412" w14:textId="77777777" w:rsidR="00AD67FA" w:rsidRDefault="00AD67FA">
      <w:pPr>
        <w:spacing w:line="440" w:lineRule="exact"/>
        <w:ind w:firstLineChars="200" w:firstLine="560"/>
        <w:rPr>
          <w:rFonts w:ascii="楷体" w:eastAsia="楷体" w:hAnsi="楷体" w:cs="Times New Roman"/>
          <w:sz w:val="28"/>
          <w:szCs w:val="28"/>
        </w:rPr>
      </w:pPr>
    </w:p>
    <w:p w14:paraId="574259BD" w14:textId="77777777" w:rsidR="00AD67FA" w:rsidRDefault="00AD67FA">
      <w:pPr>
        <w:spacing w:line="440" w:lineRule="exact"/>
        <w:ind w:firstLineChars="200" w:firstLine="560"/>
        <w:rPr>
          <w:rFonts w:ascii="楷体" w:eastAsia="楷体" w:hAnsi="楷体" w:cs="Times New Roman"/>
          <w:sz w:val="28"/>
          <w:szCs w:val="28"/>
        </w:rPr>
      </w:pPr>
    </w:p>
    <w:bookmarkEnd w:id="1"/>
    <w:p w14:paraId="27798399" w14:textId="634F6FDF" w:rsidR="00AD67FA" w:rsidRDefault="00B077F5" w:rsidP="00B077F5">
      <w:pPr>
        <w:autoSpaceDE w:val="0"/>
        <w:autoSpaceDN w:val="0"/>
        <w:adjustRightInd w:val="0"/>
        <w:spacing w:line="500" w:lineRule="exact"/>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 xml:space="preserve"> </w:t>
      </w:r>
      <w:r>
        <w:rPr>
          <w:rFonts w:ascii="Times New Roman" w:eastAsia="楷体" w:hAnsi="Times New Roman" w:cs="Times New Roman"/>
          <w:sz w:val="28"/>
          <w:szCs w:val="28"/>
        </w:rPr>
        <w:t xml:space="preserve">                              </w:t>
      </w:r>
      <w:r w:rsidR="00B7585D">
        <w:rPr>
          <w:rFonts w:ascii="Times New Roman" w:eastAsia="楷体" w:hAnsi="Times New Roman" w:cs="Times New Roman"/>
          <w:sz w:val="28"/>
          <w:szCs w:val="28"/>
        </w:rPr>
        <w:t>北京京城机电股份有限公司</w:t>
      </w:r>
    </w:p>
    <w:p w14:paraId="7BBA598C" w14:textId="30AC8DDD" w:rsidR="00AD67FA" w:rsidRDefault="00B077F5" w:rsidP="00B077F5">
      <w:pPr>
        <w:autoSpaceDE w:val="0"/>
        <w:autoSpaceDN w:val="0"/>
        <w:adjustRightInd w:val="0"/>
        <w:spacing w:line="500" w:lineRule="exact"/>
        <w:jc w:val="center"/>
        <w:rPr>
          <w:rFonts w:ascii="Times New Roman" w:eastAsia="楷体" w:hAnsi="Times New Roman" w:cs="Times New Roman"/>
          <w:sz w:val="28"/>
          <w:szCs w:val="28"/>
        </w:rPr>
      </w:pPr>
      <w:r>
        <w:rPr>
          <w:rFonts w:ascii="Times New Roman" w:eastAsia="楷体" w:hAnsi="Times New Roman" w:cs="Times New Roman"/>
          <w:sz w:val="28"/>
          <w:szCs w:val="28"/>
        </w:rPr>
        <w:t xml:space="preserve">                               </w:t>
      </w:r>
      <w:r w:rsidR="00B7585D">
        <w:rPr>
          <w:rFonts w:ascii="Times New Roman" w:eastAsia="楷体" w:hAnsi="Times New Roman" w:cs="Times New Roman"/>
          <w:sz w:val="28"/>
          <w:szCs w:val="28"/>
        </w:rPr>
        <w:t>第</w:t>
      </w:r>
      <w:r w:rsidR="00B7585D">
        <w:rPr>
          <w:rFonts w:ascii="Times New Roman" w:eastAsia="楷体" w:hAnsi="Times New Roman" w:cs="Times New Roman" w:hint="eastAsia"/>
          <w:sz w:val="28"/>
          <w:szCs w:val="28"/>
        </w:rPr>
        <w:t>十</w:t>
      </w:r>
      <w:r w:rsidR="00B7585D">
        <w:rPr>
          <w:rFonts w:ascii="Times New Roman" w:eastAsia="楷体" w:hAnsi="Times New Roman" w:cs="Times New Roman"/>
          <w:sz w:val="28"/>
          <w:szCs w:val="28"/>
        </w:rPr>
        <w:t>届董事会独立非执行董事</w:t>
      </w:r>
    </w:p>
    <w:p w14:paraId="370A4F50" w14:textId="78267F25" w:rsidR="00AD67FA" w:rsidRDefault="00B077F5" w:rsidP="00B077F5">
      <w:pPr>
        <w:autoSpaceDE w:val="0"/>
        <w:autoSpaceDN w:val="0"/>
        <w:adjustRightInd w:val="0"/>
        <w:spacing w:line="500" w:lineRule="exact"/>
        <w:jc w:val="center"/>
        <w:rPr>
          <w:rFonts w:ascii="Times New Roman" w:eastAsia="楷体" w:hAnsi="Times New Roman" w:cs="Times New Roman"/>
          <w:sz w:val="28"/>
          <w:szCs w:val="28"/>
        </w:rPr>
      </w:pPr>
      <w:r>
        <w:rPr>
          <w:rFonts w:ascii="Times New Roman" w:eastAsia="楷体" w:hAnsi="Times New Roman" w:cs="Times New Roman" w:hint="eastAsia"/>
          <w:sz w:val="28"/>
          <w:szCs w:val="28"/>
        </w:rPr>
        <w:t xml:space="preserve"> </w:t>
      </w:r>
      <w:r>
        <w:rPr>
          <w:rFonts w:ascii="Times New Roman" w:eastAsia="楷体" w:hAnsi="Times New Roman" w:cs="Times New Roman"/>
          <w:sz w:val="28"/>
          <w:szCs w:val="28"/>
        </w:rPr>
        <w:t xml:space="preserve">                             </w:t>
      </w:r>
      <w:r w:rsidR="00B7585D">
        <w:rPr>
          <w:rFonts w:ascii="Times New Roman" w:eastAsia="楷体" w:hAnsi="Times New Roman" w:cs="Times New Roman"/>
          <w:sz w:val="28"/>
          <w:szCs w:val="28"/>
        </w:rPr>
        <w:t>熊建辉、赵旭光、刘景泰、栾大龙</w:t>
      </w:r>
    </w:p>
    <w:p w14:paraId="219188DB" w14:textId="350ED7EE" w:rsidR="00AD67FA" w:rsidRDefault="00B7585D">
      <w:pPr>
        <w:spacing w:line="500" w:lineRule="exact"/>
        <w:ind w:firstLineChars="1900" w:firstLine="5320"/>
        <w:rPr>
          <w:rFonts w:ascii="楷体" w:eastAsia="楷体" w:hAnsi="楷体"/>
          <w:sz w:val="28"/>
          <w:szCs w:val="28"/>
        </w:rPr>
      </w:pPr>
      <w:r>
        <w:rPr>
          <w:rFonts w:ascii="Times New Roman" w:eastAsia="楷体" w:hAnsi="Times New Roman" w:cs="Times New Roman"/>
          <w:sz w:val="28"/>
          <w:szCs w:val="28"/>
        </w:rPr>
        <w:t>202</w:t>
      </w:r>
      <w:r w:rsidR="00AB783D">
        <w:rPr>
          <w:rFonts w:ascii="Times New Roman" w:eastAsia="楷体" w:hAnsi="Times New Roman" w:cs="Times New Roman"/>
          <w:sz w:val="28"/>
          <w:szCs w:val="28"/>
        </w:rPr>
        <w:t>1</w:t>
      </w:r>
      <w:r>
        <w:rPr>
          <w:rFonts w:ascii="Times New Roman" w:eastAsia="楷体" w:hAnsi="Times New Roman" w:cs="Times New Roman"/>
          <w:sz w:val="28"/>
          <w:szCs w:val="28"/>
        </w:rPr>
        <w:t>年</w:t>
      </w:r>
      <w:r w:rsidR="00254FF9">
        <w:rPr>
          <w:rFonts w:ascii="Times New Roman" w:eastAsia="楷体" w:hAnsi="Times New Roman" w:cs="Times New Roman"/>
          <w:sz w:val="28"/>
          <w:szCs w:val="28"/>
        </w:rPr>
        <w:t>9</w:t>
      </w:r>
      <w:r w:rsidR="00254FF9">
        <w:rPr>
          <w:rFonts w:ascii="Times New Roman" w:eastAsia="楷体" w:hAnsi="Times New Roman" w:cs="Times New Roman" w:hint="eastAsia"/>
          <w:sz w:val="28"/>
          <w:szCs w:val="28"/>
        </w:rPr>
        <w:t>月</w:t>
      </w:r>
      <w:r w:rsidR="00164F7B">
        <w:rPr>
          <w:rFonts w:ascii="Times New Roman" w:eastAsia="楷体" w:hAnsi="Times New Roman" w:cs="Times New Roman"/>
          <w:sz w:val="28"/>
          <w:szCs w:val="28"/>
        </w:rPr>
        <w:t>3</w:t>
      </w:r>
      <w:r>
        <w:rPr>
          <w:rFonts w:ascii="Times New Roman" w:eastAsia="楷体" w:hAnsi="Times New Roman" w:cs="Times New Roman"/>
          <w:sz w:val="28"/>
          <w:szCs w:val="28"/>
        </w:rPr>
        <w:t>日</w:t>
      </w:r>
    </w:p>
    <w:sectPr w:rsidR="00AD67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3BA48" w14:textId="77777777" w:rsidR="004628E4" w:rsidRDefault="004628E4" w:rsidP="000C7C4C">
      <w:r>
        <w:separator/>
      </w:r>
    </w:p>
  </w:endnote>
  <w:endnote w:type="continuationSeparator" w:id="0">
    <w:p w14:paraId="156D292F" w14:textId="77777777" w:rsidR="004628E4" w:rsidRDefault="004628E4" w:rsidP="000C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F103" w14:textId="77777777" w:rsidR="004628E4" w:rsidRDefault="004628E4" w:rsidP="000C7C4C">
      <w:r>
        <w:separator/>
      </w:r>
    </w:p>
  </w:footnote>
  <w:footnote w:type="continuationSeparator" w:id="0">
    <w:p w14:paraId="5F928A34" w14:textId="77777777" w:rsidR="004628E4" w:rsidRDefault="004628E4" w:rsidP="000C7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446040"/>
    <w:rsid w:val="9FFDA320"/>
    <w:rsid w:val="F537020A"/>
    <w:rsid w:val="FEFD032D"/>
    <w:rsid w:val="000C7C4C"/>
    <w:rsid w:val="00164F7B"/>
    <w:rsid w:val="00191635"/>
    <w:rsid w:val="00194448"/>
    <w:rsid w:val="001A631F"/>
    <w:rsid w:val="001B28C8"/>
    <w:rsid w:val="001F0729"/>
    <w:rsid w:val="001F7477"/>
    <w:rsid w:val="00252632"/>
    <w:rsid w:val="00254FF9"/>
    <w:rsid w:val="00331E1F"/>
    <w:rsid w:val="0034133B"/>
    <w:rsid w:val="003635B9"/>
    <w:rsid w:val="00380BC7"/>
    <w:rsid w:val="003E0177"/>
    <w:rsid w:val="003E71E6"/>
    <w:rsid w:val="003F202E"/>
    <w:rsid w:val="003F549D"/>
    <w:rsid w:val="0040282E"/>
    <w:rsid w:val="00437173"/>
    <w:rsid w:val="004628E4"/>
    <w:rsid w:val="00475F0B"/>
    <w:rsid w:val="004E4B5E"/>
    <w:rsid w:val="004F3482"/>
    <w:rsid w:val="004F4080"/>
    <w:rsid w:val="00543FEC"/>
    <w:rsid w:val="00557598"/>
    <w:rsid w:val="005C18BE"/>
    <w:rsid w:val="005E74EC"/>
    <w:rsid w:val="00621064"/>
    <w:rsid w:val="006332B3"/>
    <w:rsid w:val="006467FC"/>
    <w:rsid w:val="0065164E"/>
    <w:rsid w:val="0065303D"/>
    <w:rsid w:val="006850B7"/>
    <w:rsid w:val="006A34AE"/>
    <w:rsid w:val="006C357C"/>
    <w:rsid w:val="006D22CB"/>
    <w:rsid w:val="0071062C"/>
    <w:rsid w:val="00774611"/>
    <w:rsid w:val="007B526E"/>
    <w:rsid w:val="007C07EF"/>
    <w:rsid w:val="00804409"/>
    <w:rsid w:val="008332F9"/>
    <w:rsid w:val="008632F0"/>
    <w:rsid w:val="008669A8"/>
    <w:rsid w:val="00882C3A"/>
    <w:rsid w:val="008A39E2"/>
    <w:rsid w:val="008E7E99"/>
    <w:rsid w:val="009137F1"/>
    <w:rsid w:val="00951C9E"/>
    <w:rsid w:val="009B387C"/>
    <w:rsid w:val="009E0AD0"/>
    <w:rsid w:val="00AA7DB9"/>
    <w:rsid w:val="00AB783D"/>
    <w:rsid w:val="00AC6A5F"/>
    <w:rsid w:val="00AD4868"/>
    <w:rsid w:val="00AD48D3"/>
    <w:rsid w:val="00AD67FA"/>
    <w:rsid w:val="00B020B4"/>
    <w:rsid w:val="00B053BC"/>
    <w:rsid w:val="00B077F5"/>
    <w:rsid w:val="00B2776C"/>
    <w:rsid w:val="00B44204"/>
    <w:rsid w:val="00B52F7E"/>
    <w:rsid w:val="00B7585D"/>
    <w:rsid w:val="00BE38C6"/>
    <w:rsid w:val="00BF4295"/>
    <w:rsid w:val="00C133CA"/>
    <w:rsid w:val="00C4491B"/>
    <w:rsid w:val="00C61B6F"/>
    <w:rsid w:val="00D51B58"/>
    <w:rsid w:val="00D62532"/>
    <w:rsid w:val="00D64280"/>
    <w:rsid w:val="00DD1905"/>
    <w:rsid w:val="00DE5FC9"/>
    <w:rsid w:val="00E51830"/>
    <w:rsid w:val="00E91BE3"/>
    <w:rsid w:val="00EA52BC"/>
    <w:rsid w:val="00EF43D7"/>
    <w:rsid w:val="00F41151"/>
    <w:rsid w:val="00F4357A"/>
    <w:rsid w:val="00FA0844"/>
    <w:rsid w:val="00FB3BEF"/>
    <w:rsid w:val="00FD0404"/>
    <w:rsid w:val="00FD31B0"/>
    <w:rsid w:val="1F446040"/>
    <w:rsid w:val="335700A7"/>
    <w:rsid w:val="479A391E"/>
    <w:rsid w:val="5A092221"/>
    <w:rsid w:val="698028F5"/>
    <w:rsid w:val="6B312394"/>
    <w:rsid w:val="6CFFBF16"/>
    <w:rsid w:val="6F6862EF"/>
    <w:rsid w:val="701D1405"/>
    <w:rsid w:val="7A76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893C8"/>
  <w15:docId w15:val="{8739C746-C672-45DB-9C58-04D1FB0E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nhideWhenUsed/>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rFonts w:cs="Times New Roman"/>
      <w:kern w:val="0"/>
      <w:sz w:val="24"/>
    </w:rPr>
  </w:style>
  <w:style w:type="paragraph" w:styleId="ac">
    <w:name w:val="annotation subject"/>
    <w:basedOn w:val="a3"/>
    <w:next w:val="a3"/>
    <w:link w:val="ad"/>
    <w:unhideWhenUsed/>
    <w:qFormat/>
    <w:rPr>
      <w:b/>
      <w:bCs/>
    </w:rPr>
  </w:style>
  <w:style w:type="character" w:styleId="ae">
    <w:name w:val="annotation reference"/>
    <w:basedOn w:val="a0"/>
    <w:unhideWhenUsed/>
    <w:rPr>
      <w:sz w:val="21"/>
      <w:szCs w:val="21"/>
    </w:rPr>
  </w:style>
  <w:style w:type="character" w:customStyle="1" w:styleId="aa">
    <w:name w:val="页眉 字符"/>
    <w:basedOn w:val="a0"/>
    <w:link w:val="a9"/>
    <w:rPr>
      <w:kern w:val="2"/>
      <w:sz w:val="18"/>
      <w:szCs w:val="18"/>
    </w:rPr>
  </w:style>
  <w:style w:type="character" w:customStyle="1" w:styleId="a8">
    <w:name w:val="页脚 字符"/>
    <w:basedOn w:val="a0"/>
    <w:link w:val="a7"/>
    <w:rPr>
      <w:kern w:val="2"/>
      <w:sz w:val="18"/>
      <w:szCs w:val="18"/>
    </w:rPr>
  </w:style>
  <w:style w:type="character" w:customStyle="1" w:styleId="a4">
    <w:name w:val="批注文字 字符"/>
    <w:basedOn w:val="a0"/>
    <w:link w:val="a3"/>
    <w:semiHidden/>
    <w:qFormat/>
    <w:rPr>
      <w:kern w:val="2"/>
      <w:sz w:val="21"/>
      <w:szCs w:val="24"/>
    </w:rPr>
  </w:style>
  <w:style w:type="character" w:customStyle="1" w:styleId="ad">
    <w:name w:val="批注主题 字符"/>
    <w:basedOn w:val="a4"/>
    <w:link w:val="ac"/>
    <w:semiHidden/>
    <w:qFormat/>
    <w:rPr>
      <w:b/>
      <w:bCs/>
      <w:kern w:val="2"/>
      <w:sz w:val="21"/>
      <w:szCs w:val="24"/>
    </w:rPr>
  </w:style>
  <w:style w:type="character" w:customStyle="1" w:styleId="a6">
    <w:name w:val="批注框文本 字符"/>
    <w:basedOn w:val="a0"/>
    <w:link w:val="a5"/>
    <w:semiHidden/>
    <w:qFormat/>
    <w:rPr>
      <w:kern w:val="2"/>
      <w:sz w:val="18"/>
      <w:szCs w:val="18"/>
    </w:rPr>
  </w:style>
  <w:style w:type="paragraph" w:customStyle="1" w:styleId="1">
    <w:name w:val="列表段落1"/>
    <w:basedOn w:val="a"/>
    <w:uiPriority w:val="99"/>
    <w:unhideWhenUsed/>
    <w:qFormat/>
    <w:pPr>
      <w:ind w:firstLineChars="200" w:firstLine="420"/>
    </w:pPr>
  </w:style>
  <w:style w:type="paragraph" w:customStyle="1" w:styleId="af">
    <w:name w:val="文件正文"/>
    <w:qFormat/>
    <w:pPr>
      <w:spacing w:beforeLines="50" w:before="50" w:line="360" w:lineRule="auto"/>
      <w:ind w:firstLineChars="200" w:firstLine="200"/>
      <w:jc w:val="both"/>
    </w:pPr>
    <w:rPr>
      <w:rFonts w:ascii="Times New Roman" w:hAnsi="Times New Roman"/>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9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193</Words>
  <Characters>1101</Characters>
  <Application>Microsoft Office Word</Application>
  <DocSecurity>0</DocSecurity>
  <Lines>9</Lines>
  <Paragraphs>2</Paragraphs>
  <ScaleCrop>false</ScaleCrop>
  <Company>BTIC</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wangjing</dc:creator>
  <cp:lastModifiedBy>康达韦沛雨</cp:lastModifiedBy>
  <cp:revision>32</cp:revision>
  <cp:lastPrinted>2020-12-28T11:15:00Z</cp:lastPrinted>
  <dcterms:created xsi:type="dcterms:W3CDTF">2019-03-12T12:46:00Z</dcterms:created>
  <dcterms:modified xsi:type="dcterms:W3CDTF">2021-09-01T06:40:00Z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