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FF648" w14:textId="428EB18B" w:rsidR="00A33668" w:rsidRPr="003701A3" w:rsidRDefault="00A33668" w:rsidP="00A33668">
      <w:pPr>
        <w:pStyle w:val="a5"/>
      </w:pPr>
      <w:bookmarkStart w:id="0" w:name="_Hlk18081913"/>
      <w:r w:rsidRPr="003701A3">
        <w:rPr>
          <w:rFonts w:hint="eastAsia"/>
        </w:rPr>
        <w:t>中信建投证券股份有限公司关于北京京城机电股份有限公司发行股份及支付现</w:t>
      </w:r>
      <w:r w:rsidR="00E25107">
        <w:rPr>
          <w:rFonts w:hint="eastAsia"/>
        </w:rPr>
        <w:t>金购买资产并募集配套资金方案调整不构成重组方案重大调整的核查意见</w:t>
      </w:r>
      <w:bookmarkStart w:id="1" w:name="_GoBack"/>
      <w:bookmarkEnd w:id="1"/>
    </w:p>
    <w:p w14:paraId="5E02F95A" w14:textId="77777777" w:rsidR="003A7A17" w:rsidRDefault="003A7A17" w:rsidP="00A33668">
      <w:pPr>
        <w:widowControl/>
        <w:tabs>
          <w:tab w:val="center" w:pos="4153"/>
          <w:tab w:val="left" w:pos="6390"/>
        </w:tabs>
        <w:spacing w:line="360" w:lineRule="auto"/>
        <w:ind w:firstLineChars="200" w:firstLine="480"/>
        <w:rPr>
          <w:rFonts w:ascii="Times New Roman" w:eastAsia="宋体" w:hAnsi="Times New Roman"/>
          <w:sz w:val="24"/>
          <w:szCs w:val="24"/>
        </w:rPr>
      </w:pPr>
    </w:p>
    <w:p w14:paraId="3324E529" w14:textId="0BB73974" w:rsidR="003A7A17" w:rsidRDefault="003A7A17" w:rsidP="003A7A17">
      <w:pPr>
        <w:spacing w:beforeLines="50" w:before="156" w:afterLines="50" w:after="156" w:line="360" w:lineRule="auto"/>
        <w:ind w:firstLineChars="200" w:firstLine="480"/>
        <w:rPr>
          <w:rFonts w:ascii="宋体" w:eastAsia="宋体" w:hAnsi="宋体"/>
          <w:bCs/>
          <w:color w:val="000000"/>
          <w:sz w:val="24"/>
          <w:szCs w:val="24"/>
        </w:rPr>
      </w:pPr>
      <w:r w:rsidRPr="00316500">
        <w:rPr>
          <w:rFonts w:ascii="宋体" w:eastAsia="宋体" w:hAnsi="宋体" w:hint="eastAsia"/>
          <w:bCs/>
          <w:color w:val="000000"/>
          <w:sz w:val="24"/>
          <w:szCs w:val="24"/>
        </w:rPr>
        <w:t>如无特别说明，本核查意见与《北京京城机电股份有限公司发行股份及支付现金购买资产并募集配套资金报告书（草案）</w:t>
      </w:r>
      <w:r w:rsidR="008A6408">
        <w:rPr>
          <w:rFonts w:ascii="宋体" w:eastAsia="宋体" w:hAnsi="宋体" w:hint="eastAsia"/>
          <w:bCs/>
          <w:color w:val="000000"/>
          <w:sz w:val="24"/>
          <w:szCs w:val="24"/>
        </w:rPr>
        <w:t>（修订稿）</w:t>
      </w:r>
      <w:r w:rsidRPr="00316500">
        <w:rPr>
          <w:rFonts w:ascii="宋体" w:eastAsia="宋体" w:hAnsi="宋体" w:hint="eastAsia"/>
          <w:bCs/>
          <w:color w:val="000000"/>
          <w:sz w:val="24"/>
          <w:szCs w:val="24"/>
        </w:rPr>
        <w:t>》中释义一致。</w:t>
      </w:r>
    </w:p>
    <w:p w14:paraId="1B18297C" w14:textId="30B9317F" w:rsidR="00A33668" w:rsidRPr="003701A3" w:rsidRDefault="00A33668" w:rsidP="00A33668">
      <w:pPr>
        <w:widowControl/>
        <w:tabs>
          <w:tab w:val="center" w:pos="4153"/>
          <w:tab w:val="left" w:pos="6390"/>
        </w:tabs>
        <w:spacing w:line="360" w:lineRule="auto"/>
        <w:ind w:firstLineChars="200" w:firstLine="480"/>
        <w:rPr>
          <w:rFonts w:ascii="Times New Roman" w:eastAsia="宋体" w:hAnsi="Times New Roman"/>
          <w:sz w:val="24"/>
          <w:szCs w:val="24"/>
        </w:rPr>
      </w:pPr>
      <w:r w:rsidRPr="003701A3">
        <w:rPr>
          <w:rFonts w:ascii="Times New Roman" w:eastAsia="宋体" w:hAnsi="Times New Roman" w:hint="eastAsia"/>
          <w:sz w:val="24"/>
          <w:szCs w:val="24"/>
        </w:rPr>
        <w:t>中</w:t>
      </w:r>
      <w:proofErr w:type="gramStart"/>
      <w:r w:rsidRPr="003701A3">
        <w:rPr>
          <w:rFonts w:ascii="Times New Roman" w:eastAsia="宋体" w:hAnsi="Times New Roman" w:hint="eastAsia"/>
          <w:sz w:val="24"/>
          <w:szCs w:val="24"/>
        </w:rPr>
        <w:t>信建投证券</w:t>
      </w:r>
      <w:proofErr w:type="gramEnd"/>
      <w:r w:rsidRPr="003701A3">
        <w:rPr>
          <w:rFonts w:ascii="Times New Roman" w:eastAsia="宋体" w:hAnsi="Times New Roman" w:hint="eastAsia"/>
          <w:sz w:val="24"/>
          <w:szCs w:val="24"/>
        </w:rPr>
        <w:t>股份有限公司（以下简称“中信建投”、“本独立财务顾问”）作为</w:t>
      </w:r>
      <w:r>
        <w:rPr>
          <w:rFonts w:ascii="Times New Roman" w:eastAsia="宋体" w:hAnsi="Times New Roman"/>
          <w:sz w:val="24"/>
          <w:szCs w:val="24"/>
        </w:rPr>
        <w:t>北京京城机电股份有限公司（以下简称</w:t>
      </w:r>
      <w:r w:rsidR="006B2EA9">
        <w:rPr>
          <w:rFonts w:ascii="Times New Roman" w:eastAsia="宋体" w:hAnsi="Times New Roman" w:hint="eastAsia"/>
          <w:sz w:val="24"/>
          <w:szCs w:val="24"/>
        </w:rPr>
        <w:t>“</w:t>
      </w:r>
      <w:r>
        <w:rPr>
          <w:rFonts w:ascii="Times New Roman" w:eastAsia="宋体" w:hAnsi="Times New Roman"/>
          <w:sz w:val="24"/>
          <w:szCs w:val="24"/>
        </w:rPr>
        <w:t>公司</w:t>
      </w:r>
      <w:r w:rsidR="006B2EA9">
        <w:rPr>
          <w:rFonts w:ascii="Times New Roman" w:eastAsia="宋体" w:hAnsi="Times New Roman" w:hint="eastAsia"/>
          <w:sz w:val="24"/>
          <w:szCs w:val="24"/>
        </w:rPr>
        <w:t>”</w:t>
      </w:r>
      <w:r>
        <w:rPr>
          <w:rFonts w:ascii="Times New Roman" w:eastAsia="宋体" w:hAnsi="Times New Roman"/>
          <w:sz w:val="24"/>
          <w:szCs w:val="24"/>
        </w:rPr>
        <w:t>）</w:t>
      </w:r>
      <w:r w:rsidRPr="003701A3">
        <w:rPr>
          <w:rFonts w:ascii="Times New Roman" w:eastAsia="宋体" w:hAnsi="Times New Roman" w:hint="eastAsia"/>
          <w:sz w:val="24"/>
          <w:szCs w:val="24"/>
        </w:rPr>
        <w:t>发行股份及支付现金购买资产并募集配套资金（以下简称“本次交易”）的独立财务顾问，就本次交易方案调整情况进行核查并发表如下意见：</w:t>
      </w:r>
    </w:p>
    <w:bookmarkEnd w:id="0"/>
    <w:p w14:paraId="4109304D" w14:textId="5636D14C" w:rsidR="000D66D7" w:rsidRPr="004F4123" w:rsidRDefault="000D66D7" w:rsidP="000D66D7">
      <w:pPr>
        <w:widowControl/>
        <w:tabs>
          <w:tab w:val="center" w:pos="4153"/>
          <w:tab w:val="left" w:pos="6390"/>
        </w:tabs>
        <w:spacing w:line="360" w:lineRule="auto"/>
        <w:ind w:firstLineChars="200" w:firstLine="482"/>
        <w:rPr>
          <w:rFonts w:ascii="Times New Roman" w:eastAsia="宋体" w:hAnsi="Times New Roman"/>
          <w:b/>
          <w:bCs/>
          <w:sz w:val="24"/>
          <w:szCs w:val="24"/>
        </w:rPr>
      </w:pPr>
      <w:r w:rsidRPr="004F4123">
        <w:rPr>
          <w:rFonts w:ascii="Times New Roman" w:eastAsia="宋体" w:hAnsi="Times New Roman" w:hint="eastAsia"/>
          <w:b/>
          <w:bCs/>
          <w:sz w:val="24"/>
          <w:szCs w:val="24"/>
        </w:rPr>
        <w:t>一、</w:t>
      </w:r>
      <w:r w:rsidR="008E221B">
        <w:rPr>
          <w:rFonts w:ascii="Times New Roman" w:eastAsia="宋体" w:hAnsi="Times New Roman" w:hint="eastAsia"/>
          <w:b/>
          <w:bCs/>
          <w:sz w:val="24"/>
          <w:szCs w:val="24"/>
        </w:rPr>
        <w:t>本次交易方案</w:t>
      </w:r>
      <w:r w:rsidRPr="004F4123">
        <w:rPr>
          <w:rFonts w:ascii="Times New Roman" w:eastAsia="宋体" w:hAnsi="Times New Roman" w:hint="eastAsia"/>
          <w:b/>
          <w:bCs/>
          <w:sz w:val="24"/>
          <w:szCs w:val="24"/>
        </w:rPr>
        <w:t>调整的具体情况</w:t>
      </w:r>
    </w:p>
    <w:p w14:paraId="316D060D" w14:textId="6CE4B04D" w:rsidR="00C718D6" w:rsidRDefault="008E221B" w:rsidP="000D66D7">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本次交易方案</w:t>
      </w:r>
      <w:r w:rsidR="00BC6CA6" w:rsidRPr="00BC6CA6">
        <w:rPr>
          <w:rFonts w:ascii="Times New Roman" w:eastAsia="宋体" w:hAnsi="Times New Roman" w:hint="eastAsia"/>
          <w:sz w:val="24"/>
          <w:szCs w:val="24"/>
        </w:rPr>
        <w:t>，与前次方案相比，主要对以下几项内容进行了</w:t>
      </w:r>
      <w:r w:rsidR="00BC6CA6">
        <w:rPr>
          <w:rFonts w:ascii="Times New Roman" w:eastAsia="宋体" w:hAnsi="Times New Roman" w:hint="eastAsia"/>
          <w:sz w:val="24"/>
          <w:szCs w:val="24"/>
        </w:rPr>
        <w:t>调整：</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103"/>
        <w:gridCol w:w="2974"/>
        <w:gridCol w:w="3262"/>
        <w:gridCol w:w="1183"/>
      </w:tblGrid>
      <w:tr w:rsidR="00D81708" w:rsidRPr="00327846" w14:paraId="31716BEB" w14:textId="77777777" w:rsidTr="00B53915">
        <w:trPr>
          <w:trHeight w:val="397"/>
          <w:tblHeader/>
          <w:jc w:val="center"/>
        </w:trPr>
        <w:tc>
          <w:tcPr>
            <w:tcW w:w="647" w:type="pct"/>
            <w:tcBorders>
              <w:top w:val="single" w:sz="12" w:space="0" w:color="auto"/>
              <w:left w:val="nil"/>
              <w:bottom w:val="single" w:sz="4" w:space="0" w:color="auto"/>
              <w:right w:val="single" w:sz="4" w:space="0" w:color="auto"/>
            </w:tcBorders>
            <w:noWrap/>
            <w:vAlign w:val="center"/>
          </w:tcPr>
          <w:p w14:paraId="77F5378E" w14:textId="77777777" w:rsidR="00D81708" w:rsidRPr="00327846" w:rsidRDefault="00D81708" w:rsidP="00B53915">
            <w:pPr>
              <w:jc w:val="center"/>
              <w:rPr>
                <w:rFonts w:ascii="Times New Roman" w:eastAsia="宋体" w:hAnsi="Times New Roman"/>
                <w:color w:val="000000"/>
                <w:kern w:val="0"/>
              </w:rPr>
            </w:pPr>
            <w:bookmarkStart w:id="2" w:name="_Hlk88041980"/>
            <w:r w:rsidRPr="00327846">
              <w:rPr>
                <w:rFonts w:ascii="Times New Roman" w:eastAsia="宋体" w:hAnsi="Times New Roman"/>
                <w:b/>
                <w:bCs/>
                <w:color w:val="000000"/>
                <w:kern w:val="0"/>
              </w:rPr>
              <w:t>项目</w:t>
            </w:r>
          </w:p>
        </w:tc>
        <w:tc>
          <w:tcPr>
            <w:tcW w:w="1745" w:type="pct"/>
            <w:tcBorders>
              <w:top w:val="single" w:sz="12" w:space="0" w:color="auto"/>
              <w:left w:val="single" w:sz="4" w:space="0" w:color="auto"/>
              <w:bottom w:val="single" w:sz="4" w:space="0" w:color="auto"/>
              <w:right w:val="single" w:sz="4" w:space="0" w:color="auto"/>
            </w:tcBorders>
            <w:vAlign w:val="center"/>
          </w:tcPr>
          <w:p w14:paraId="15613A19" w14:textId="77777777" w:rsidR="00D81708" w:rsidRPr="00327846" w:rsidRDefault="00D81708" w:rsidP="00B53915">
            <w:pPr>
              <w:jc w:val="center"/>
              <w:rPr>
                <w:rFonts w:ascii="Times New Roman" w:eastAsia="宋体" w:hAnsi="Times New Roman"/>
                <w:color w:val="000000"/>
                <w:kern w:val="0"/>
              </w:rPr>
            </w:pPr>
            <w:r w:rsidRPr="00327846">
              <w:rPr>
                <w:rFonts w:ascii="Times New Roman" w:eastAsia="宋体" w:hAnsi="Times New Roman"/>
                <w:b/>
                <w:bCs/>
                <w:color w:val="000000"/>
                <w:kern w:val="0"/>
              </w:rPr>
              <w:t>调整前</w:t>
            </w:r>
          </w:p>
        </w:tc>
        <w:tc>
          <w:tcPr>
            <w:tcW w:w="1914" w:type="pct"/>
            <w:tcBorders>
              <w:top w:val="single" w:sz="12" w:space="0" w:color="auto"/>
              <w:left w:val="single" w:sz="4" w:space="0" w:color="auto"/>
              <w:bottom w:val="single" w:sz="4" w:space="0" w:color="auto"/>
              <w:right w:val="single" w:sz="4" w:space="0" w:color="auto"/>
            </w:tcBorders>
            <w:noWrap/>
            <w:vAlign w:val="center"/>
          </w:tcPr>
          <w:p w14:paraId="4DFEA021" w14:textId="77777777" w:rsidR="00D81708" w:rsidRPr="00327846" w:rsidRDefault="00D81708" w:rsidP="00B53915">
            <w:pPr>
              <w:jc w:val="center"/>
              <w:rPr>
                <w:rFonts w:ascii="Times New Roman" w:eastAsia="宋体" w:hAnsi="Times New Roman"/>
                <w:color w:val="000000"/>
                <w:kern w:val="0"/>
              </w:rPr>
            </w:pPr>
            <w:r w:rsidRPr="00327846">
              <w:rPr>
                <w:rFonts w:ascii="Times New Roman" w:eastAsia="宋体" w:hAnsi="Times New Roman"/>
                <w:b/>
                <w:bCs/>
                <w:color w:val="000000"/>
                <w:kern w:val="0"/>
              </w:rPr>
              <w:t>调整后</w:t>
            </w:r>
          </w:p>
        </w:tc>
        <w:tc>
          <w:tcPr>
            <w:tcW w:w="694" w:type="pct"/>
            <w:tcBorders>
              <w:top w:val="single" w:sz="12" w:space="0" w:color="auto"/>
              <w:left w:val="single" w:sz="4" w:space="0" w:color="auto"/>
              <w:bottom w:val="single" w:sz="4" w:space="0" w:color="auto"/>
              <w:right w:val="nil"/>
            </w:tcBorders>
            <w:vAlign w:val="center"/>
          </w:tcPr>
          <w:p w14:paraId="3C520408" w14:textId="77777777" w:rsidR="00D81708" w:rsidRPr="00327846" w:rsidRDefault="00D81708" w:rsidP="00B53915">
            <w:pPr>
              <w:jc w:val="center"/>
              <w:rPr>
                <w:rFonts w:ascii="Times New Roman" w:eastAsia="宋体" w:hAnsi="Times New Roman"/>
                <w:color w:val="000000"/>
                <w:kern w:val="0"/>
              </w:rPr>
            </w:pPr>
            <w:r w:rsidRPr="00327846">
              <w:rPr>
                <w:rFonts w:ascii="Times New Roman" w:eastAsia="宋体" w:hAnsi="Times New Roman"/>
                <w:b/>
                <w:bCs/>
                <w:color w:val="000000"/>
                <w:kern w:val="0"/>
              </w:rPr>
              <w:t>调整情况</w:t>
            </w:r>
          </w:p>
        </w:tc>
      </w:tr>
      <w:tr w:rsidR="00D81708" w:rsidRPr="00327846" w14:paraId="7D09A83B" w14:textId="77777777" w:rsidTr="00B53915">
        <w:trPr>
          <w:trHeight w:val="397"/>
          <w:jc w:val="center"/>
        </w:trPr>
        <w:tc>
          <w:tcPr>
            <w:tcW w:w="5000" w:type="pct"/>
            <w:gridSpan w:val="4"/>
            <w:tcBorders>
              <w:top w:val="single" w:sz="4" w:space="0" w:color="auto"/>
              <w:left w:val="nil"/>
              <w:bottom w:val="single" w:sz="4" w:space="0" w:color="auto"/>
              <w:right w:val="nil"/>
            </w:tcBorders>
            <w:noWrap/>
            <w:vAlign w:val="center"/>
          </w:tcPr>
          <w:p w14:paraId="6745D502" w14:textId="77777777" w:rsidR="00D81708" w:rsidRPr="00327846" w:rsidRDefault="00D81708" w:rsidP="00B53915">
            <w:pPr>
              <w:jc w:val="center"/>
              <w:rPr>
                <w:rFonts w:ascii="Times New Roman" w:eastAsia="宋体" w:hAnsi="Times New Roman"/>
                <w:color w:val="000000"/>
                <w:kern w:val="0"/>
              </w:rPr>
            </w:pPr>
            <w:r w:rsidRPr="00327846">
              <w:rPr>
                <w:rFonts w:ascii="Times New Roman" w:eastAsia="宋体" w:hAnsi="Times New Roman"/>
                <w:b/>
                <w:bCs/>
                <w:color w:val="000000"/>
                <w:kern w:val="0"/>
              </w:rPr>
              <w:t>方案要素</w:t>
            </w:r>
          </w:p>
        </w:tc>
      </w:tr>
      <w:tr w:rsidR="00D81708" w:rsidRPr="00327846" w14:paraId="5753EFBF" w14:textId="77777777" w:rsidTr="00B53915">
        <w:trPr>
          <w:trHeight w:val="397"/>
          <w:jc w:val="center"/>
        </w:trPr>
        <w:tc>
          <w:tcPr>
            <w:tcW w:w="647" w:type="pct"/>
            <w:tcBorders>
              <w:top w:val="single" w:sz="4" w:space="0" w:color="auto"/>
              <w:left w:val="nil"/>
              <w:bottom w:val="single" w:sz="4" w:space="0" w:color="auto"/>
              <w:right w:val="single" w:sz="4" w:space="0" w:color="auto"/>
            </w:tcBorders>
            <w:noWrap/>
            <w:vAlign w:val="center"/>
          </w:tcPr>
          <w:p w14:paraId="7687DEF5"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交易对象</w:t>
            </w:r>
          </w:p>
        </w:tc>
        <w:tc>
          <w:tcPr>
            <w:tcW w:w="1745" w:type="pct"/>
            <w:tcBorders>
              <w:top w:val="single" w:sz="4" w:space="0" w:color="auto"/>
              <w:left w:val="single" w:sz="4" w:space="0" w:color="auto"/>
              <w:bottom w:val="single" w:sz="4" w:space="0" w:color="auto"/>
              <w:right w:val="single" w:sz="4" w:space="0" w:color="auto"/>
            </w:tcBorders>
            <w:vAlign w:val="center"/>
          </w:tcPr>
          <w:p w14:paraId="55816333"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李红、赵庆、杨平、青岛艾特诺、王晓晖、夏涛、王华东、钱雨</w:t>
            </w:r>
            <w:proofErr w:type="gramStart"/>
            <w:r w:rsidRPr="00327846">
              <w:rPr>
                <w:rFonts w:ascii="Times New Roman" w:eastAsia="宋体" w:hAnsi="Times New Roman"/>
                <w:color w:val="000000"/>
                <w:kern w:val="0"/>
              </w:rPr>
              <w:t>嫣</w:t>
            </w:r>
            <w:proofErr w:type="gramEnd"/>
            <w:r w:rsidRPr="00327846">
              <w:rPr>
                <w:rFonts w:ascii="Times New Roman" w:eastAsia="宋体" w:hAnsi="Times New Roman"/>
                <w:color w:val="000000"/>
                <w:kern w:val="0"/>
              </w:rPr>
              <w:t>、肖中海、修军、傅敦、陈政言、张利、徐炳雷、阳伦胜、辛兰、英入才、李威</w:t>
            </w:r>
          </w:p>
        </w:tc>
        <w:tc>
          <w:tcPr>
            <w:tcW w:w="1914" w:type="pct"/>
            <w:tcBorders>
              <w:top w:val="single" w:sz="4" w:space="0" w:color="auto"/>
              <w:left w:val="single" w:sz="4" w:space="0" w:color="auto"/>
              <w:bottom w:val="single" w:sz="4" w:space="0" w:color="auto"/>
              <w:right w:val="single" w:sz="4" w:space="0" w:color="auto"/>
            </w:tcBorders>
            <w:noWrap/>
            <w:vAlign w:val="center"/>
          </w:tcPr>
          <w:p w14:paraId="5FC781A7"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李红、赵庆、杨平、青岛艾特诺、王晓晖、夏涛、王华东、钱雨</w:t>
            </w:r>
            <w:proofErr w:type="gramStart"/>
            <w:r w:rsidRPr="00327846">
              <w:rPr>
                <w:rFonts w:ascii="Times New Roman" w:eastAsia="宋体" w:hAnsi="Times New Roman"/>
                <w:color w:val="000000"/>
                <w:kern w:val="0"/>
              </w:rPr>
              <w:t>嫣</w:t>
            </w:r>
            <w:proofErr w:type="gramEnd"/>
            <w:r w:rsidRPr="00327846">
              <w:rPr>
                <w:rFonts w:ascii="Times New Roman" w:eastAsia="宋体" w:hAnsi="Times New Roman"/>
                <w:color w:val="000000"/>
                <w:kern w:val="0"/>
              </w:rPr>
              <w:t>、肖中海、修军、傅敦、陈政言、张利、徐炳雷、阳伦胜、辛兰、英入才、李威</w:t>
            </w:r>
          </w:p>
        </w:tc>
        <w:tc>
          <w:tcPr>
            <w:tcW w:w="694" w:type="pct"/>
            <w:tcBorders>
              <w:top w:val="single" w:sz="4" w:space="0" w:color="auto"/>
              <w:left w:val="single" w:sz="4" w:space="0" w:color="auto"/>
              <w:bottom w:val="single" w:sz="4" w:space="0" w:color="auto"/>
              <w:right w:val="nil"/>
            </w:tcBorders>
            <w:vAlign w:val="center"/>
          </w:tcPr>
          <w:p w14:paraId="03C5D39D" w14:textId="77777777" w:rsidR="00D81708" w:rsidRPr="00327846" w:rsidRDefault="00D81708" w:rsidP="00B53915">
            <w:pPr>
              <w:jc w:val="center"/>
              <w:rPr>
                <w:rFonts w:ascii="Times New Roman" w:eastAsia="宋体" w:hAnsi="Times New Roman"/>
                <w:color w:val="000000"/>
                <w:kern w:val="0"/>
              </w:rPr>
            </w:pPr>
            <w:proofErr w:type="gramStart"/>
            <w:r w:rsidRPr="00327846">
              <w:rPr>
                <w:rFonts w:ascii="Times New Roman" w:eastAsia="宋体" w:hAnsi="Times New Roman"/>
                <w:color w:val="000000"/>
                <w:kern w:val="0"/>
              </w:rPr>
              <w:t>无调整</w:t>
            </w:r>
            <w:proofErr w:type="gramEnd"/>
          </w:p>
        </w:tc>
      </w:tr>
      <w:tr w:rsidR="00D81708" w:rsidRPr="00327846" w14:paraId="15955740" w14:textId="77777777" w:rsidTr="00B53915">
        <w:trPr>
          <w:trHeight w:val="397"/>
          <w:jc w:val="center"/>
        </w:trPr>
        <w:tc>
          <w:tcPr>
            <w:tcW w:w="647" w:type="pct"/>
            <w:tcBorders>
              <w:top w:val="single" w:sz="4" w:space="0" w:color="auto"/>
              <w:left w:val="nil"/>
              <w:bottom w:val="single" w:sz="4" w:space="0" w:color="auto"/>
              <w:right w:val="single" w:sz="4" w:space="0" w:color="auto"/>
            </w:tcBorders>
            <w:noWrap/>
            <w:vAlign w:val="center"/>
          </w:tcPr>
          <w:p w14:paraId="4A2157B1"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交易标的</w:t>
            </w:r>
          </w:p>
        </w:tc>
        <w:tc>
          <w:tcPr>
            <w:tcW w:w="1745" w:type="pct"/>
            <w:tcBorders>
              <w:top w:val="single" w:sz="4" w:space="0" w:color="auto"/>
              <w:left w:val="single" w:sz="4" w:space="0" w:color="auto"/>
              <w:bottom w:val="single" w:sz="4" w:space="0" w:color="auto"/>
              <w:right w:val="single" w:sz="4" w:space="0" w:color="auto"/>
            </w:tcBorders>
            <w:vAlign w:val="center"/>
          </w:tcPr>
          <w:p w14:paraId="7C2DEAF4"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北洋天青</w:t>
            </w:r>
            <w:r w:rsidRPr="00327846">
              <w:rPr>
                <w:rFonts w:ascii="Times New Roman" w:eastAsia="宋体" w:hAnsi="Times New Roman"/>
                <w:color w:val="000000"/>
                <w:kern w:val="0"/>
              </w:rPr>
              <w:t>80%</w:t>
            </w:r>
            <w:r w:rsidRPr="00327846">
              <w:rPr>
                <w:rFonts w:ascii="Times New Roman" w:eastAsia="宋体" w:hAnsi="Times New Roman"/>
                <w:color w:val="000000"/>
                <w:kern w:val="0"/>
              </w:rPr>
              <w:t>股权</w:t>
            </w:r>
          </w:p>
        </w:tc>
        <w:tc>
          <w:tcPr>
            <w:tcW w:w="1914" w:type="pct"/>
            <w:tcBorders>
              <w:top w:val="single" w:sz="4" w:space="0" w:color="auto"/>
              <w:left w:val="single" w:sz="4" w:space="0" w:color="auto"/>
              <w:bottom w:val="single" w:sz="4" w:space="0" w:color="auto"/>
              <w:right w:val="single" w:sz="4" w:space="0" w:color="auto"/>
            </w:tcBorders>
            <w:noWrap/>
            <w:vAlign w:val="center"/>
          </w:tcPr>
          <w:p w14:paraId="089B81B0"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北洋天青</w:t>
            </w:r>
            <w:r w:rsidRPr="00327846">
              <w:rPr>
                <w:rFonts w:ascii="Times New Roman" w:eastAsia="宋体" w:hAnsi="Times New Roman"/>
                <w:color w:val="000000"/>
                <w:kern w:val="0"/>
              </w:rPr>
              <w:t>80%</w:t>
            </w:r>
            <w:r w:rsidRPr="00327846">
              <w:rPr>
                <w:rFonts w:ascii="Times New Roman" w:eastAsia="宋体" w:hAnsi="Times New Roman"/>
                <w:color w:val="000000"/>
                <w:kern w:val="0"/>
              </w:rPr>
              <w:t>股权</w:t>
            </w:r>
          </w:p>
        </w:tc>
        <w:tc>
          <w:tcPr>
            <w:tcW w:w="694" w:type="pct"/>
            <w:tcBorders>
              <w:top w:val="single" w:sz="4" w:space="0" w:color="auto"/>
              <w:left w:val="single" w:sz="4" w:space="0" w:color="auto"/>
              <w:bottom w:val="single" w:sz="4" w:space="0" w:color="auto"/>
              <w:right w:val="nil"/>
            </w:tcBorders>
            <w:vAlign w:val="center"/>
          </w:tcPr>
          <w:p w14:paraId="50CAF7E8" w14:textId="77777777" w:rsidR="00D81708" w:rsidRPr="00327846" w:rsidRDefault="00D81708" w:rsidP="00B53915">
            <w:pPr>
              <w:jc w:val="center"/>
              <w:rPr>
                <w:rFonts w:ascii="Times New Roman" w:eastAsia="宋体" w:hAnsi="Times New Roman"/>
                <w:color w:val="000000"/>
                <w:kern w:val="0"/>
              </w:rPr>
            </w:pPr>
            <w:proofErr w:type="gramStart"/>
            <w:r w:rsidRPr="00327846">
              <w:rPr>
                <w:rFonts w:ascii="Times New Roman" w:eastAsia="宋体" w:hAnsi="Times New Roman"/>
                <w:color w:val="000000"/>
                <w:kern w:val="0"/>
              </w:rPr>
              <w:t>无调整</w:t>
            </w:r>
            <w:proofErr w:type="gramEnd"/>
          </w:p>
        </w:tc>
      </w:tr>
      <w:tr w:rsidR="00D81708" w:rsidRPr="00327846" w14:paraId="6627B20A" w14:textId="77777777" w:rsidTr="00B53915">
        <w:trPr>
          <w:trHeight w:val="397"/>
          <w:jc w:val="center"/>
        </w:trPr>
        <w:tc>
          <w:tcPr>
            <w:tcW w:w="647" w:type="pct"/>
            <w:tcBorders>
              <w:top w:val="single" w:sz="4" w:space="0" w:color="auto"/>
              <w:left w:val="nil"/>
              <w:bottom w:val="single" w:sz="4" w:space="0" w:color="auto"/>
              <w:right w:val="single" w:sz="4" w:space="0" w:color="auto"/>
            </w:tcBorders>
            <w:noWrap/>
            <w:vAlign w:val="center"/>
          </w:tcPr>
          <w:p w14:paraId="1D40EF2B"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交易作价</w:t>
            </w:r>
          </w:p>
        </w:tc>
        <w:tc>
          <w:tcPr>
            <w:tcW w:w="1745" w:type="pct"/>
            <w:tcBorders>
              <w:top w:val="single" w:sz="4" w:space="0" w:color="auto"/>
              <w:left w:val="single" w:sz="4" w:space="0" w:color="auto"/>
              <w:bottom w:val="single" w:sz="4" w:space="0" w:color="auto"/>
              <w:right w:val="single" w:sz="4" w:space="0" w:color="auto"/>
            </w:tcBorders>
            <w:vAlign w:val="center"/>
          </w:tcPr>
          <w:p w14:paraId="5F2411F2"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北洋天青</w:t>
            </w:r>
            <w:r w:rsidRPr="00327846">
              <w:rPr>
                <w:rFonts w:ascii="Times New Roman" w:eastAsia="宋体" w:hAnsi="Times New Roman"/>
                <w:color w:val="000000"/>
                <w:kern w:val="0"/>
              </w:rPr>
              <w:t>80%</w:t>
            </w:r>
            <w:r w:rsidRPr="00327846">
              <w:rPr>
                <w:rFonts w:ascii="Times New Roman" w:eastAsia="宋体" w:hAnsi="Times New Roman"/>
                <w:color w:val="000000"/>
                <w:kern w:val="0"/>
              </w:rPr>
              <w:t>股权交易作价</w:t>
            </w:r>
            <w:r w:rsidRPr="00327846">
              <w:rPr>
                <w:rFonts w:ascii="Times New Roman" w:eastAsia="宋体" w:hAnsi="Times New Roman"/>
                <w:color w:val="000000"/>
                <w:kern w:val="0"/>
              </w:rPr>
              <w:t>24,640.00</w:t>
            </w:r>
            <w:r w:rsidRPr="00327846">
              <w:rPr>
                <w:rFonts w:ascii="Times New Roman" w:eastAsia="宋体" w:hAnsi="Times New Roman"/>
                <w:color w:val="000000"/>
                <w:kern w:val="0"/>
              </w:rPr>
              <w:t>万元</w:t>
            </w:r>
          </w:p>
        </w:tc>
        <w:tc>
          <w:tcPr>
            <w:tcW w:w="1914" w:type="pct"/>
            <w:tcBorders>
              <w:top w:val="single" w:sz="4" w:space="0" w:color="auto"/>
              <w:left w:val="single" w:sz="4" w:space="0" w:color="auto"/>
              <w:bottom w:val="single" w:sz="4" w:space="0" w:color="auto"/>
              <w:right w:val="single" w:sz="4" w:space="0" w:color="auto"/>
            </w:tcBorders>
            <w:noWrap/>
            <w:vAlign w:val="center"/>
          </w:tcPr>
          <w:p w14:paraId="05D15C24"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北洋天青</w:t>
            </w:r>
            <w:r w:rsidRPr="00327846">
              <w:rPr>
                <w:rFonts w:ascii="Times New Roman" w:eastAsia="宋体" w:hAnsi="Times New Roman"/>
                <w:color w:val="000000"/>
                <w:kern w:val="0"/>
              </w:rPr>
              <w:t>80%</w:t>
            </w:r>
            <w:r w:rsidRPr="00327846">
              <w:rPr>
                <w:rFonts w:ascii="Times New Roman" w:eastAsia="宋体" w:hAnsi="Times New Roman"/>
                <w:color w:val="000000"/>
                <w:kern w:val="0"/>
              </w:rPr>
              <w:t>股权交易作价</w:t>
            </w:r>
            <w:r w:rsidRPr="00327846">
              <w:rPr>
                <w:rFonts w:ascii="Times New Roman" w:eastAsia="宋体" w:hAnsi="Times New Roman"/>
                <w:color w:val="000000"/>
                <w:kern w:val="0"/>
              </w:rPr>
              <w:t>24,640.00</w:t>
            </w:r>
            <w:r w:rsidRPr="00327846">
              <w:rPr>
                <w:rFonts w:ascii="Times New Roman" w:eastAsia="宋体" w:hAnsi="Times New Roman"/>
                <w:color w:val="000000"/>
                <w:kern w:val="0"/>
              </w:rPr>
              <w:t>万元</w:t>
            </w:r>
          </w:p>
        </w:tc>
        <w:tc>
          <w:tcPr>
            <w:tcW w:w="694" w:type="pct"/>
            <w:tcBorders>
              <w:top w:val="single" w:sz="4" w:space="0" w:color="auto"/>
              <w:left w:val="single" w:sz="4" w:space="0" w:color="auto"/>
              <w:bottom w:val="single" w:sz="4" w:space="0" w:color="auto"/>
              <w:right w:val="nil"/>
            </w:tcBorders>
            <w:vAlign w:val="center"/>
          </w:tcPr>
          <w:p w14:paraId="4BC881C8" w14:textId="77777777" w:rsidR="00D81708" w:rsidRPr="00327846" w:rsidRDefault="00D81708" w:rsidP="00B53915">
            <w:pPr>
              <w:jc w:val="center"/>
              <w:rPr>
                <w:rFonts w:ascii="Times New Roman" w:eastAsia="宋体" w:hAnsi="Times New Roman"/>
                <w:color w:val="000000"/>
                <w:kern w:val="0"/>
              </w:rPr>
            </w:pPr>
            <w:proofErr w:type="gramStart"/>
            <w:r w:rsidRPr="00327846">
              <w:rPr>
                <w:rFonts w:ascii="Times New Roman" w:eastAsia="宋体" w:hAnsi="Times New Roman"/>
                <w:color w:val="000000"/>
                <w:kern w:val="0"/>
              </w:rPr>
              <w:t>无调整</w:t>
            </w:r>
            <w:proofErr w:type="gramEnd"/>
          </w:p>
        </w:tc>
      </w:tr>
      <w:tr w:rsidR="00D81708" w:rsidRPr="00327846" w14:paraId="39E19466" w14:textId="77777777" w:rsidTr="00B53915">
        <w:trPr>
          <w:trHeight w:val="397"/>
          <w:jc w:val="center"/>
        </w:trPr>
        <w:tc>
          <w:tcPr>
            <w:tcW w:w="647" w:type="pct"/>
            <w:tcBorders>
              <w:top w:val="single" w:sz="4" w:space="0" w:color="auto"/>
              <w:left w:val="nil"/>
              <w:bottom w:val="single" w:sz="4" w:space="0" w:color="auto"/>
              <w:right w:val="single" w:sz="4" w:space="0" w:color="auto"/>
            </w:tcBorders>
            <w:noWrap/>
            <w:vAlign w:val="center"/>
          </w:tcPr>
          <w:p w14:paraId="1BE6286A"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发行股份购买资产股份发行价格</w:t>
            </w:r>
          </w:p>
        </w:tc>
        <w:tc>
          <w:tcPr>
            <w:tcW w:w="1745" w:type="pct"/>
            <w:tcBorders>
              <w:top w:val="single" w:sz="4" w:space="0" w:color="auto"/>
              <w:left w:val="single" w:sz="4" w:space="0" w:color="auto"/>
              <w:bottom w:val="single" w:sz="4" w:space="0" w:color="auto"/>
              <w:right w:val="single" w:sz="4" w:space="0" w:color="auto"/>
            </w:tcBorders>
            <w:vAlign w:val="center"/>
          </w:tcPr>
          <w:p w14:paraId="67A92ADE"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3.42</w:t>
            </w:r>
            <w:r w:rsidRPr="00327846">
              <w:rPr>
                <w:rFonts w:ascii="Times New Roman" w:eastAsia="宋体" w:hAnsi="Times New Roman"/>
                <w:color w:val="000000"/>
                <w:kern w:val="0"/>
              </w:rPr>
              <w:t>元</w:t>
            </w:r>
            <w:r w:rsidRPr="00327846">
              <w:rPr>
                <w:rFonts w:ascii="Times New Roman" w:eastAsia="宋体" w:hAnsi="Times New Roman"/>
                <w:color w:val="000000"/>
                <w:kern w:val="0"/>
              </w:rPr>
              <w:t>/</w:t>
            </w:r>
            <w:r w:rsidRPr="00327846">
              <w:rPr>
                <w:rFonts w:ascii="Times New Roman" w:eastAsia="宋体" w:hAnsi="Times New Roman"/>
                <w:color w:val="000000"/>
                <w:kern w:val="0"/>
              </w:rPr>
              <w:t>股</w:t>
            </w:r>
          </w:p>
        </w:tc>
        <w:tc>
          <w:tcPr>
            <w:tcW w:w="1914" w:type="pct"/>
            <w:tcBorders>
              <w:top w:val="single" w:sz="4" w:space="0" w:color="auto"/>
              <w:left w:val="single" w:sz="4" w:space="0" w:color="auto"/>
              <w:bottom w:val="single" w:sz="4" w:space="0" w:color="auto"/>
              <w:right w:val="single" w:sz="4" w:space="0" w:color="auto"/>
            </w:tcBorders>
            <w:noWrap/>
            <w:vAlign w:val="center"/>
          </w:tcPr>
          <w:p w14:paraId="5FDE87F9"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3.42</w:t>
            </w:r>
            <w:r w:rsidRPr="00327846">
              <w:rPr>
                <w:rFonts w:ascii="Times New Roman" w:eastAsia="宋体" w:hAnsi="Times New Roman"/>
                <w:color w:val="000000"/>
                <w:kern w:val="0"/>
              </w:rPr>
              <w:t>元</w:t>
            </w:r>
            <w:r w:rsidRPr="00327846">
              <w:rPr>
                <w:rFonts w:ascii="Times New Roman" w:eastAsia="宋体" w:hAnsi="Times New Roman"/>
                <w:color w:val="000000"/>
                <w:kern w:val="0"/>
              </w:rPr>
              <w:t>/</w:t>
            </w:r>
            <w:r w:rsidRPr="00327846">
              <w:rPr>
                <w:rFonts w:ascii="Times New Roman" w:eastAsia="宋体" w:hAnsi="Times New Roman"/>
                <w:color w:val="000000"/>
                <w:kern w:val="0"/>
              </w:rPr>
              <w:t>股</w:t>
            </w:r>
          </w:p>
        </w:tc>
        <w:tc>
          <w:tcPr>
            <w:tcW w:w="694" w:type="pct"/>
            <w:tcBorders>
              <w:top w:val="single" w:sz="4" w:space="0" w:color="auto"/>
              <w:left w:val="single" w:sz="4" w:space="0" w:color="auto"/>
              <w:bottom w:val="single" w:sz="4" w:space="0" w:color="auto"/>
              <w:right w:val="nil"/>
            </w:tcBorders>
            <w:vAlign w:val="center"/>
          </w:tcPr>
          <w:p w14:paraId="771348ED" w14:textId="77777777" w:rsidR="00D81708" w:rsidRPr="00327846" w:rsidRDefault="00D81708" w:rsidP="00B53915">
            <w:pPr>
              <w:jc w:val="center"/>
              <w:rPr>
                <w:rFonts w:ascii="Times New Roman" w:eastAsia="宋体" w:hAnsi="Times New Roman"/>
                <w:color w:val="000000"/>
                <w:kern w:val="0"/>
              </w:rPr>
            </w:pPr>
            <w:proofErr w:type="gramStart"/>
            <w:r w:rsidRPr="00327846">
              <w:rPr>
                <w:rFonts w:ascii="Times New Roman" w:eastAsia="宋体" w:hAnsi="Times New Roman"/>
                <w:color w:val="000000"/>
                <w:kern w:val="0"/>
              </w:rPr>
              <w:t>无调整</w:t>
            </w:r>
            <w:proofErr w:type="gramEnd"/>
          </w:p>
        </w:tc>
      </w:tr>
      <w:tr w:rsidR="00D81708" w:rsidRPr="00327846" w14:paraId="1FB9A523" w14:textId="77777777" w:rsidTr="00B53915">
        <w:trPr>
          <w:trHeight w:val="397"/>
          <w:jc w:val="center"/>
        </w:trPr>
        <w:tc>
          <w:tcPr>
            <w:tcW w:w="647" w:type="pct"/>
            <w:tcBorders>
              <w:top w:val="single" w:sz="4" w:space="0" w:color="auto"/>
              <w:left w:val="nil"/>
              <w:bottom w:val="single" w:sz="4" w:space="0" w:color="auto"/>
              <w:right w:val="single" w:sz="4" w:space="0" w:color="auto"/>
            </w:tcBorders>
            <w:noWrap/>
            <w:vAlign w:val="center"/>
          </w:tcPr>
          <w:p w14:paraId="1E06E0E7"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支付对价发行的股份数量</w:t>
            </w:r>
          </w:p>
        </w:tc>
        <w:tc>
          <w:tcPr>
            <w:tcW w:w="1745" w:type="pct"/>
            <w:tcBorders>
              <w:top w:val="single" w:sz="4" w:space="0" w:color="auto"/>
              <w:left w:val="single" w:sz="4" w:space="0" w:color="auto"/>
              <w:bottom w:val="single" w:sz="4" w:space="0" w:color="auto"/>
              <w:right w:val="single" w:sz="4" w:space="0" w:color="auto"/>
            </w:tcBorders>
            <w:vAlign w:val="center"/>
          </w:tcPr>
          <w:p w14:paraId="08EEBB37"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46,481,314</w:t>
            </w:r>
            <w:r w:rsidRPr="00327846">
              <w:rPr>
                <w:rFonts w:ascii="Times New Roman" w:eastAsia="宋体" w:hAnsi="Times New Roman"/>
                <w:color w:val="000000"/>
                <w:kern w:val="0"/>
              </w:rPr>
              <w:t>股</w:t>
            </w:r>
          </w:p>
        </w:tc>
        <w:tc>
          <w:tcPr>
            <w:tcW w:w="1914" w:type="pct"/>
            <w:tcBorders>
              <w:top w:val="single" w:sz="4" w:space="0" w:color="auto"/>
              <w:left w:val="single" w:sz="4" w:space="0" w:color="auto"/>
              <w:bottom w:val="single" w:sz="4" w:space="0" w:color="auto"/>
              <w:right w:val="single" w:sz="4" w:space="0" w:color="auto"/>
            </w:tcBorders>
            <w:noWrap/>
            <w:vAlign w:val="center"/>
          </w:tcPr>
          <w:p w14:paraId="4990D06C"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46,481,314</w:t>
            </w:r>
            <w:r w:rsidRPr="00327846">
              <w:rPr>
                <w:rFonts w:ascii="Times New Roman" w:eastAsia="宋体" w:hAnsi="Times New Roman"/>
                <w:color w:val="000000"/>
                <w:kern w:val="0"/>
              </w:rPr>
              <w:t>股</w:t>
            </w:r>
          </w:p>
        </w:tc>
        <w:tc>
          <w:tcPr>
            <w:tcW w:w="694" w:type="pct"/>
            <w:tcBorders>
              <w:top w:val="single" w:sz="4" w:space="0" w:color="auto"/>
              <w:left w:val="single" w:sz="4" w:space="0" w:color="auto"/>
              <w:bottom w:val="single" w:sz="4" w:space="0" w:color="auto"/>
              <w:right w:val="nil"/>
            </w:tcBorders>
            <w:vAlign w:val="center"/>
          </w:tcPr>
          <w:p w14:paraId="539895DA" w14:textId="77777777" w:rsidR="00D81708" w:rsidRPr="00327846" w:rsidRDefault="00D81708" w:rsidP="00B53915">
            <w:pPr>
              <w:jc w:val="center"/>
              <w:rPr>
                <w:rFonts w:ascii="Times New Roman" w:eastAsia="宋体" w:hAnsi="Times New Roman"/>
                <w:color w:val="000000"/>
                <w:kern w:val="0"/>
              </w:rPr>
            </w:pPr>
            <w:proofErr w:type="gramStart"/>
            <w:r w:rsidRPr="00327846">
              <w:rPr>
                <w:rFonts w:ascii="Times New Roman" w:eastAsia="宋体" w:hAnsi="Times New Roman"/>
                <w:color w:val="000000"/>
                <w:kern w:val="0"/>
              </w:rPr>
              <w:t>无调整</w:t>
            </w:r>
            <w:proofErr w:type="gramEnd"/>
          </w:p>
        </w:tc>
      </w:tr>
      <w:tr w:rsidR="00D81708" w:rsidRPr="00327846" w14:paraId="507C2475" w14:textId="77777777" w:rsidTr="00B53915">
        <w:trPr>
          <w:trHeight w:val="397"/>
          <w:jc w:val="center"/>
        </w:trPr>
        <w:tc>
          <w:tcPr>
            <w:tcW w:w="647" w:type="pct"/>
            <w:tcBorders>
              <w:top w:val="single" w:sz="4" w:space="0" w:color="auto"/>
              <w:left w:val="nil"/>
              <w:bottom w:val="single" w:sz="4" w:space="0" w:color="auto"/>
              <w:right w:val="single" w:sz="4" w:space="0" w:color="auto"/>
            </w:tcBorders>
            <w:noWrap/>
            <w:vAlign w:val="center"/>
          </w:tcPr>
          <w:p w14:paraId="3000FA7F"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评估基准日</w:t>
            </w:r>
          </w:p>
        </w:tc>
        <w:tc>
          <w:tcPr>
            <w:tcW w:w="1745" w:type="pct"/>
            <w:tcBorders>
              <w:top w:val="single" w:sz="4" w:space="0" w:color="auto"/>
              <w:left w:val="single" w:sz="4" w:space="0" w:color="auto"/>
              <w:bottom w:val="single" w:sz="4" w:space="0" w:color="auto"/>
              <w:right w:val="single" w:sz="4" w:space="0" w:color="auto"/>
            </w:tcBorders>
            <w:vAlign w:val="center"/>
          </w:tcPr>
          <w:p w14:paraId="30969841"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2020</w:t>
            </w:r>
            <w:r w:rsidRPr="00327846">
              <w:rPr>
                <w:rFonts w:ascii="Times New Roman" w:eastAsia="宋体" w:hAnsi="Times New Roman"/>
                <w:color w:val="000000"/>
                <w:kern w:val="0"/>
              </w:rPr>
              <w:t>年</w:t>
            </w:r>
            <w:r w:rsidRPr="00327846">
              <w:rPr>
                <w:rFonts w:ascii="Times New Roman" w:eastAsia="宋体" w:hAnsi="Times New Roman"/>
                <w:color w:val="000000"/>
                <w:kern w:val="0"/>
              </w:rPr>
              <w:t>6</w:t>
            </w:r>
            <w:r w:rsidRPr="00327846">
              <w:rPr>
                <w:rFonts w:ascii="Times New Roman" w:eastAsia="宋体" w:hAnsi="Times New Roman"/>
                <w:color w:val="000000"/>
                <w:kern w:val="0"/>
              </w:rPr>
              <w:t>月</w:t>
            </w:r>
            <w:r w:rsidRPr="00327846">
              <w:rPr>
                <w:rFonts w:ascii="Times New Roman" w:eastAsia="宋体" w:hAnsi="Times New Roman"/>
                <w:color w:val="000000"/>
                <w:kern w:val="0"/>
              </w:rPr>
              <w:t>30</w:t>
            </w:r>
            <w:r w:rsidRPr="00327846">
              <w:rPr>
                <w:rFonts w:ascii="Times New Roman" w:eastAsia="宋体" w:hAnsi="Times New Roman"/>
                <w:color w:val="000000"/>
                <w:kern w:val="0"/>
              </w:rPr>
              <w:t>日</w:t>
            </w:r>
          </w:p>
        </w:tc>
        <w:tc>
          <w:tcPr>
            <w:tcW w:w="1914" w:type="pct"/>
            <w:tcBorders>
              <w:top w:val="single" w:sz="4" w:space="0" w:color="auto"/>
              <w:left w:val="single" w:sz="4" w:space="0" w:color="auto"/>
              <w:bottom w:val="single" w:sz="4" w:space="0" w:color="auto"/>
              <w:right w:val="single" w:sz="4" w:space="0" w:color="auto"/>
            </w:tcBorders>
            <w:noWrap/>
            <w:vAlign w:val="center"/>
          </w:tcPr>
          <w:p w14:paraId="1C5BBF58"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2020</w:t>
            </w:r>
            <w:r w:rsidRPr="00327846">
              <w:rPr>
                <w:rFonts w:ascii="Times New Roman" w:eastAsia="宋体" w:hAnsi="Times New Roman"/>
                <w:color w:val="000000"/>
                <w:kern w:val="0"/>
              </w:rPr>
              <w:t>年</w:t>
            </w:r>
            <w:r w:rsidRPr="00327846">
              <w:rPr>
                <w:rFonts w:ascii="Times New Roman" w:eastAsia="宋体" w:hAnsi="Times New Roman"/>
                <w:color w:val="000000"/>
                <w:kern w:val="0"/>
              </w:rPr>
              <w:t>6</w:t>
            </w:r>
            <w:r w:rsidRPr="00327846">
              <w:rPr>
                <w:rFonts w:ascii="Times New Roman" w:eastAsia="宋体" w:hAnsi="Times New Roman"/>
                <w:color w:val="000000"/>
                <w:kern w:val="0"/>
              </w:rPr>
              <w:t>月</w:t>
            </w:r>
            <w:r w:rsidRPr="00327846">
              <w:rPr>
                <w:rFonts w:ascii="Times New Roman" w:eastAsia="宋体" w:hAnsi="Times New Roman"/>
                <w:color w:val="000000"/>
                <w:kern w:val="0"/>
              </w:rPr>
              <w:t>30</w:t>
            </w:r>
            <w:r w:rsidRPr="00327846">
              <w:rPr>
                <w:rFonts w:ascii="Times New Roman" w:eastAsia="宋体" w:hAnsi="Times New Roman"/>
                <w:color w:val="000000"/>
                <w:kern w:val="0"/>
              </w:rPr>
              <w:t>日</w:t>
            </w:r>
          </w:p>
        </w:tc>
        <w:tc>
          <w:tcPr>
            <w:tcW w:w="694" w:type="pct"/>
            <w:tcBorders>
              <w:top w:val="single" w:sz="4" w:space="0" w:color="auto"/>
              <w:left w:val="single" w:sz="4" w:space="0" w:color="auto"/>
              <w:bottom w:val="single" w:sz="4" w:space="0" w:color="auto"/>
              <w:right w:val="nil"/>
            </w:tcBorders>
            <w:vAlign w:val="center"/>
          </w:tcPr>
          <w:p w14:paraId="06C8629F" w14:textId="77777777" w:rsidR="00D81708" w:rsidRPr="00327846" w:rsidRDefault="00D81708" w:rsidP="00B53915">
            <w:pPr>
              <w:jc w:val="center"/>
              <w:rPr>
                <w:rFonts w:ascii="Times New Roman" w:eastAsia="宋体" w:hAnsi="Times New Roman"/>
                <w:color w:val="000000"/>
                <w:kern w:val="0"/>
              </w:rPr>
            </w:pPr>
            <w:proofErr w:type="gramStart"/>
            <w:r w:rsidRPr="00327846">
              <w:rPr>
                <w:rFonts w:ascii="Times New Roman" w:eastAsia="宋体" w:hAnsi="Times New Roman"/>
                <w:color w:val="000000"/>
                <w:kern w:val="0"/>
              </w:rPr>
              <w:t>无调整</w:t>
            </w:r>
            <w:proofErr w:type="gramEnd"/>
          </w:p>
        </w:tc>
      </w:tr>
      <w:tr w:rsidR="00D81708" w:rsidRPr="00327846" w14:paraId="4652C374" w14:textId="77777777" w:rsidTr="00B53915">
        <w:trPr>
          <w:trHeight w:val="397"/>
          <w:jc w:val="center"/>
        </w:trPr>
        <w:tc>
          <w:tcPr>
            <w:tcW w:w="647" w:type="pct"/>
            <w:tcBorders>
              <w:top w:val="single" w:sz="4" w:space="0" w:color="auto"/>
              <w:left w:val="nil"/>
              <w:bottom w:val="single" w:sz="4" w:space="0" w:color="auto"/>
              <w:right w:val="single" w:sz="4" w:space="0" w:color="auto"/>
            </w:tcBorders>
            <w:noWrap/>
            <w:vAlign w:val="center"/>
          </w:tcPr>
          <w:p w14:paraId="458F8D45"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加期评估基准日</w:t>
            </w:r>
          </w:p>
        </w:tc>
        <w:tc>
          <w:tcPr>
            <w:tcW w:w="1745" w:type="pct"/>
            <w:tcBorders>
              <w:top w:val="single" w:sz="4" w:space="0" w:color="auto"/>
              <w:left w:val="single" w:sz="4" w:space="0" w:color="auto"/>
              <w:bottom w:val="single" w:sz="4" w:space="0" w:color="auto"/>
              <w:right w:val="single" w:sz="4" w:space="0" w:color="auto"/>
            </w:tcBorders>
            <w:vAlign w:val="center"/>
          </w:tcPr>
          <w:p w14:paraId="2F2B7811"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无</w:t>
            </w:r>
          </w:p>
        </w:tc>
        <w:tc>
          <w:tcPr>
            <w:tcW w:w="1914" w:type="pct"/>
            <w:tcBorders>
              <w:top w:val="single" w:sz="4" w:space="0" w:color="auto"/>
              <w:left w:val="single" w:sz="4" w:space="0" w:color="auto"/>
              <w:bottom w:val="single" w:sz="4" w:space="0" w:color="auto"/>
              <w:right w:val="single" w:sz="4" w:space="0" w:color="auto"/>
            </w:tcBorders>
            <w:noWrap/>
            <w:vAlign w:val="center"/>
          </w:tcPr>
          <w:p w14:paraId="31AA0283"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2020</w:t>
            </w:r>
            <w:r w:rsidRPr="00327846">
              <w:rPr>
                <w:rFonts w:ascii="Times New Roman" w:eastAsia="宋体" w:hAnsi="Times New Roman"/>
                <w:color w:val="000000"/>
                <w:kern w:val="0"/>
              </w:rPr>
              <w:t>年</w:t>
            </w:r>
            <w:r w:rsidRPr="00327846">
              <w:rPr>
                <w:rFonts w:ascii="Times New Roman" w:eastAsia="宋体" w:hAnsi="Times New Roman"/>
                <w:color w:val="000000"/>
                <w:kern w:val="0"/>
              </w:rPr>
              <w:t>12</w:t>
            </w:r>
            <w:r w:rsidRPr="00327846">
              <w:rPr>
                <w:rFonts w:ascii="Times New Roman" w:eastAsia="宋体" w:hAnsi="Times New Roman"/>
                <w:color w:val="000000"/>
                <w:kern w:val="0"/>
              </w:rPr>
              <w:t>月</w:t>
            </w:r>
            <w:r w:rsidRPr="00327846">
              <w:rPr>
                <w:rFonts w:ascii="Times New Roman" w:eastAsia="宋体" w:hAnsi="Times New Roman"/>
                <w:color w:val="000000"/>
                <w:kern w:val="0"/>
              </w:rPr>
              <w:t>31</w:t>
            </w:r>
            <w:r w:rsidRPr="00327846">
              <w:rPr>
                <w:rFonts w:ascii="Times New Roman" w:eastAsia="宋体" w:hAnsi="Times New Roman"/>
                <w:color w:val="000000"/>
                <w:kern w:val="0"/>
              </w:rPr>
              <w:t>日</w:t>
            </w:r>
          </w:p>
        </w:tc>
        <w:tc>
          <w:tcPr>
            <w:tcW w:w="694" w:type="pct"/>
            <w:tcBorders>
              <w:top w:val="single" w:sz="4" w:space="0" w:color="auto"/>
              <w:left w:val="single" w:sz="4" w:space="0" w:color="auto"/>
              <w:bottom w:val="single" w:sz="4" w:space="0" w:color="auto"/>
              <w:right w:val="nil"/>
            </w:tcBorders>
            <w:vAlign w:val="center"/>
          </w:tcPr>
          <w:p w14:paraId="622F295D" w14:textId="77777777" w:rsidR="00D81708" w:rsidRPr="00327846" w:rsidRDefault="00D81708" w:rsidP="00B53915">
            <w:pPr>
              <w:ind w:leftChars="-51" w:left="-107" w:rightChars="-28" w:right="-59"/>
              <w:jc w:val="center"/>
              <w:rPr>
                <w:rFonts w:ascii="Times New Roman" w:eastAsia="宋体" w:hAnsi="Times New Roman"/>
                <w:color w:val="000000"/>
                <w:kern w:val="0"/>
              </w:rPr>
            </w:pPr>
            <w:r w:rsidRPr="00327846">
              <w:rPr>
                <w:rFonts w:ascii="Times New Roman" w:eastAsia="宋体" w:hAnsi="Times New Roman"/>
                <w:color w:val="000000"/>
                <w:kern w:val="0"/>
              </w:rPr>
              <w:t>加期评估结果不影响本</w:t>
            </w:r>
            <w:r w:rsidRPr="00327846">
              <w:rPr>
                <w:rFonts w:ascii="Times New Roman" w:eastAsia="宋体" w:hAnsi="Times New Roman"/>
                <w:color w:val="000000"/>
                <w:kern w:val="0"/>
              </w:rPr>
              <w:lastRenderedPageBreak/>
              <w:t>次交易作价</w:t>
            </w:r>
          </w:p>
        </w:tc>
      </w:tr>
      <w:tr w:rsidR="00D81708" w:rsidRPr="00327846" w14:paraId="0E383104" w14:textId="77777777" w:rsidTr="00B53915">
        <w:trPr>
          <w:trHeight w:val="397"/>
          <w:jc w:val="center"/>
        </w:trPr>
        <w:tc>
          <w:tcPr>
            <w:tcW w:w="647" w:type="pct"/>
            <w:tcBorders>
              <w:top w:val="single" w:sz="4" w:space="0" w:color="auto"/>
              <w:left w:val="nil"/>
              <w:bottom w:val="single" w:sz="4" w:space="0" w:color="auto"/>
              <w:right w:val="single" w:sz="4" w:space="0" w:color="auto"/>
            </w:tcBorders>
            <w:noWrap/>
            <w:vAlign w:val="center"/>
          </w:tcPr>
          <w:p w14:paraId="70211DD7"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lastRenderedPageBreak/>
              <w:t>审计基准日</w:t>
            </w:r>
          </w:p>
        </w:tc>
        <w:tc>
          <w:tcPr>
            <w:tcW w:w="1745" w:type="pct"/>
            <w:tcBorders>
              <w:top w:val="single" w:sz="4" w:space="0" w:color="auto"/>
              <w:left w:val="single" w:sz="4" w:space="0" w:color="auto"/>
              <w:bottom w:val="single" w:sz="4" w:space="0" w:color="auto"/>
              <w:right w:val="single" w:sz="4" w:space="0" w:color="auto"/>
            </w:tcBorders>
            <w:vAlign w:val="center"/>
          </w:tcPr>
          <w:p w14:paraId="4182C61A"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2020</w:t>
            </w:r>
            <w:r w:rsidRPr="00327846">
              <w:rPr>
                <w:rFonts w:ascii="Times New Roman" w:eastAsia="宋体" w:hAnsi="Times New Roman"/>
                <w:color w:val="000000"/>
                <w:kern w:val="0"/>
              </w:rPr>
              <w:t>年</w:t>
            </w:r>
            <w:r w:rsidRPr="00327846">
              <w:rPr>
                <w:rFonts w:ascii="Times New Roman" w:eastAsia="宋体" w:hAnsi="Times New Roman"/>
                <w:color w:val="000000"/>
                <w:kern w:val="0"/>
              </w:rPr>
              <w:t>12</w:t>
            </w:r>
            <w:r w:rsidRPr="00327846">
              <w:rPr>
                <w:rFonts w:ascii="Times New Roman" w:eastAsia="宋体" w:hAnsi="Times New Roman"/>
                <w:color w:val="000000"/>
                <w:kern w:val="0"/>
              </w:rPr>
              <w:t>月</w:t>
            </w:r>
            <w:r w:rsidRPr="00327846">
              <w:rPr>
                <w:rFonts w:ascii="Times New Roman" w:eastAsia="宋体" w:hAnsi="Times New Roman"/>
                <w:color w:val="000000"/>
                <w:kern w:val="0"/>
              </w:rPr>
              <w:t>31</w:t>
            </w:r>
            <w:r w:rsidRPr="00327846">
              <w:rPr>
                <w:rFonts w:ascii="Times New Roman" w:eastAsia="宋体" w:hAnsi="Times New Roman"/>
                <w:color w:val="000000"/>
                <w:kern w:val="0"/>
              </w:rPr>
              <w:t>日</w:t>
            </w:r>
          </w:p>
        </w:tc>
        <w:tc>
          <w:tcPr>
            <w:tcW w:w="1914" w:type="pct"/>
            <w:tcBorders>
              <w:top w:val="single" w:sz="4" w:space="0" w:color="auto"/>
              <w:left w:val="single" w:sz="4" w:space="0" w:color="auto"/>
              <w:bottom w:val="single" w:sz="4" w:space="0" w:color="auto"/>
              <w:right w:val="single" w:sz="4" w:space="0" w:color="auto"/>
            </w:tcBorders>
            <w:noWrap/>
            <w:vAlign w:val="center"/>
          </w:tcPr>
          <w:p w14:paraId="50F6BD2B"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2021</w:t>
            </w:r>
            <w:r w:rsidRPr="00327846">
              <w:rPr>
                <w:rFonts w:ascii="Times New Roman" w:eastAsia="宋体" w:hAnsi="Times New Roman"/>
                <w:color w:val="000000"/>
                <w:kern w:val="0"/>
              </w:rPr>
              <w:t>年</w:t>
            </w:r>
            <w:r w:rsidRPr="00327846">
              <w:rPr>
                <w:rFonts w:ascii="Times New Roman" w:eastAsia="宋体" w:hAnsi="Times New Roman"/>
                <w:color w:val="000000"/>
                <w:kern w:val="0"/>
              </w:rPr>
              <w:t>6</w:t>
            </w:r>
            <w:r w:rsidRPr="00327846">
              <w:rPr>
                <w:rFonts w:ascii="Times New Roman" w:eastAsia="宋体" w:hAnsi="Times New Roman"/>
                <w:color w:val="000000"/>
                <w:kern w:val="0"/>
              </w:rPr>
              <w:t>月</w:t>
            </w:r>
            <w:r w:rsidRPr="00327846">
              <w:rPr>
                <w:rFonts w:ascii="Times New Roman" w:eastAsia="宋体" w:hAnsi="Times New Roman"/>
                <w:color w:val="000000"/>
                <w:kern w:val="0"/>
              </w:rPr>
              <w:t>30</w:t>
            </w:r>
            <w:r w:rsidRPr="00327846">
              <w:rPr>
                <w:rFonts w:ascii="Times New Roman" w:eastAsia="宋体" w:hAnsi="Times New Roman"/>
                <w:color w:val="000000"/>
                <w:kern w:val="0"/>
              </w:rPr>
              <w:t>日</w:t>
            </w:r>
          </w:p>
        </w:tc>
        <w:tc>
          <w:tcPr>
            <w:tcW w:w="694" w:type="pct"/>
            <w:tcBorders>
              <w:top w:val="single" w:sz="4" w:space="0" w:color="auto"/>
              <w:left w:val="single" w:sz="4" w:space="0" w:color="auto"/>
              <w:bottom w:val="single" w:sz="4" w:space="0" w:color="auto"/>
              <w:right w:val="nil"/>
            </w:tcBorders>
            <w:vAlign w:val="center"/>
          </w:tcPr>
          <w:p w14:paraId="24C3FFC7" w14:textId="77777777" w:rsidR="00D81708" w:rsidRPr="00327846" w:rsidRDefault="00D81708" w:rsidP="00B53915">
            <w:pPr>
              <w:jc w:val="center"/>
              <w:rPr>
                <w:rFonts w:ascii="Times New Roman" w:eastAsia="宋体" w:hAnsi="Times New Roman"/>
                <w:color w:val="000000"/>
                <w:kern w:val="0"/>
              </w:rPr>
            </w:pPr>
            <w:r w:rsidRPr="00327846">
              <w:rPr>
                <w:rFonts w:ascii="Times New Roman" w:eastAsia="宋体" w:hAnsi="Times New Roman"/>
                <w:color w:val="000000"/>
                <w:kern w:val="0"/>
              </w:rPr>
              <w:t>更新审计基准日</w:t>
            </w:r>
          </w:p>
        </w:tc>
      </w:tr>
      <w:tr w:rsidR="00D81708" w:rsidRPr="00327846" w14:paraId="1C211F18" w14:textId="77777777" w:rsidTr="00B53915">
        <w:trPr>
          <w:trHeight w:val="397"/>
          <w:jc w:val="center"/>
        </w:trPr>
        <w:tc>
          <w:tcPr>
            <w:tcW w:w="647" w:type="pct"/>
            <w:tcBorders>
              <w:top w:val="single" w:sz="4" w:space="0" w:color="auto"/>
              <w:left w:val="nil"/>
              <w:bottom w:val="single" w:sz="4" w:space="0" w:color="auto"/>
              <w:right w:val="single" w:sz="4" w:space="0" w:color="auto"/>
            </w:tcBorders>
            <w:noWrap/>
            <w:vAlign w:val="center"/>
          </w:tcPr>
          <w:p w14:paraId="1CBD1104"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现金对</w:t>
            </w:r>
            <w:proofErr w:type="gramStart"/>
            <w:r w:rsidRPr="00327846">
              <w:rPr>
                <w:rFonts w:ascii="Times New Roman" w:eastAsia="宋体" w:hAnsi="Times New Roman"/>
                <w:color w:val="000000"/>
                <w:kern w:val="0"/>
              </w:rPr>
              <w:t>价支付</w:t>
            </w:r>
            <w:proofErr w:type="gramEnd"/>
            <w:r w:rsidRPr="00327846">
              <w:rPr>
                <w:rFonts w:ascii="Times New Roman" w:eastAsia="宋体" w:hAnsi="Times New Roman"/>
                <w:color w:val="000000"/>
                <w:kern w:val="0"/>
              </w:rPr>
              <w:t>方式</w:t>
            </w:r>
          </w:p>
        </w:tc>
        <w:tc>
          <w:tcPr>
            <w:tcW w:w="1745" w:type="pct"/>
            <w:tcBorders>
              <w:top w:val="single" w:sz="4" w:space="0" w:color="auto"/>
              <w:left w:val="single" w:sz="4" w:space="0" w:color="auto"/>
              <w:bottom w:val="single" w:sz="4" w:space="0" w:color="auto"/>
              <w:right w:val="single" w:sz="4" w:space="0" w:color="auto"/>
            </w:tcBorders>
            <w:vAlign w:val="center"/>
          </w:tcPr>
          <w:p w14:paraId="1C428086"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配套募集资金到位后，根据协议约定在期限内向交易对方支付全部现金对价</w:t>
            </w:r>
          </w:p>
        </w:tc>
        <w:tc>
          <w:tcPr>
            <w:tcW w:w="1914" w:type="pct"/>
            <w:tcBorders>
              <w:top w:val="single" w:sz="4" w:space="0" w:color="auto"/>
              <w:left w:val="single" w:sz="4" w:space="0" w:color="auto"/>
              <w:bottom w:val="single" w:sz="4" w:space="0" w:color="auto"/>
              <w:right w:val="single" w:sz="4" w:space="0" w:color="auto"/>
            </w:tcBorders>
            <w:noWrap/>
            <w:vAlign w:val="center"/>
          </w:tcPr>
          <w:p w14:paraId="3E4965C1"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配套募集资金到位后，根据协议约定在期限内向交易对方支付部分现金对价，剩余</w:t>
            </w:r>
            <w:r w:rsidRPr="00327846">
              <w:rPr>
                <w:rFonts w:ascii="Times New Roman" w:eastAsia="宋体" w:hAnsi="Times New Roman"/>
                <w:color w:val="000000"/>
                <w:kern w:val="0"/>
              </w:rPr>
              <w:t>2,000</w:t>
            </w:r>
            <w:r w:rsidRPr="00327846">
              <w:rPr>
                <w:rFonts w:ascii="Times New Roman" w:eastAsia="宋体" w:hAnsi="Times New Roman"/>
                <w:color w:val="000000"/>
                <w:kern w:val="0"/>
              </w:rPr>
              <w:t>万元现金</w:t>
            </w:r>
            <w:proofErr w:type="gramStart"/>
            <w:r w:rsidRPr="00327846">
              <w:rPr>
                <w:rFonts w:ascii="Times New Roman" w:eastAsia="宋体" w:hAnsi="Times New Roman"/>
                <w:color w:val="000000"/>
                <w:kern w:val="0"/>
              </w:rPr>
              <w:t>对价待业绩对赌方完成</w:t>
            </w:r>
            <w:proofErr w:type="gramEnd"/>
            <w:r w:rsidRPr="00327846">
              <w:rPr>
                <w:rFonts w:ascii="Times New Roman" w:eastAsia="宋体" w:hAnsi="Times New Roman"/>
                <w:color w:val="000000"/>
                <w:kern w:val="0"/>
              </w:rPr>
              <w:t>全部补偿义务后根据协议约定支付</w:t>
            </w:r>
          </w:p>
        </w:tc>
        <w:tc>
          <w:tcPr>
            <w:tcW w:w="694" w:type="pct"/>
            <w:tcBorders>
              <w:top w:val="single" w:sz="4" w:space="0" w:color="auto"/>
              <w:left w:val="single" w:sz="4" w:space="0" w:color="auto"/>
              <w:bottom w:val="single" w:sz="4" w:space="0" w:color="auto"/>
              <w:right w:val="nil"/>
            </w:tcBorders>
            <w:vAlign w:val="center"/>
          </w:tcPr>
          <w:p w14:paraId="20D1651F" w14:textId="77777777" w:rsidR="00D81708" w:rsidRPr="00327846" w:rsidRDefault="00D81708" w:rsidP="00B53915">
            <w:pPr>
              <w:jc w:val="center"/>
              <w:rPr>
                <w:rFonts w:ascii="Times New Roman" w:eastAsia="宋体" w:hAnsi="Times New Roman"/>
                <w:color w:val="000000"/>
                <w:kern w:val="0"/>
              </w:rPr>
            </w:pPr>
            <w:r w:rsidRPr="00327846">
              <w:rPr>
                <w:rFonts w:ascii="Times New Roman" w:eastAsia="宋体" w:hAnsi="Times New Roman"/>
                <w:color w:val="000000"/>
                <w:kern w:val="0"/>
              </w:rPr>
              <w:t>现金对价由一次性支付改为分期支付</w:t>
            </w:r>
          </w:p>
        </w:tc>
      </w:tr>
      <w:tr w:rsidR="00D81708" w:rsidRPr="00327846" w14:paraId="60674150" w14:textId="77777777" w:rsidTr="00B53915">
        <w:trPr>
          <w:trHeight w:val="397"/>
          <w:jc w:val="center"/>
        </w:trPr>
        <w:tc>
          <w:tcPr>
            <w:tcW w:w="647" w:type="pct"/>
            <w:tcBorders>
              <w:top w:val="single" w:sz="4" w:space="0" w:color="auto"/>
              <w:left w:val="nil"/>
              <w:bottom w:val="single" w:sz="4" w:space="0" w:color="auto"/>
              <w:right w:val="single" w:sz="4" w:space="0" w:color="auto"/>
            </w:tcBorders>
            <w:noWrap/>
            <w:vAlign w:val="center"/>
          </w:tcPr>
          <w:p w14:paraId="3DB2A479"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业绩承诺条款</w:t>
            </w:r>
          </w:p>
        </w:tc>
        <w:tc>
          <w:tcPr>
            <w:tcW w:w="1745" w:type="pct"/>
            <w:tcBorders>
              <w:top w:val="single" w:sz="4" w:space="0" w:color="auto"/>
              <w:left w:val="single" w:sz="4" w:space="0" w:color="auto"/>
              <w:bottom w:val="single" w:sz="4" w:space="0" w:color="auto"/>
              <w:right w:val="single" w:sz="4" w:space="0" w:color="auto"/>
            </w:tcBorders>
            <w:vAlign w:val="center"/>
          </w:tcPr>
          <w:p w14:paraId="095C9E1C"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标的公司在</w:t>
            </w:r>
            <w:r w:rsidRPr="00327846">
              <w:rPr>
                <w:rFonts w:ascii="Times New Roman" w:eastAsia="宋体" w:hAnsi="Times New Roman"/>
                <w:color w:val="000000"/>
                <w:kern w:val="0"/>
              </w:rPr>
              <w:t>2020</w:t>
            </w:r>
            <w:r w:rsidRPr="00327846">
              <w:rPr>
                <w:rFonts w:ascii="Times New Roman" w:eastAsia="宋体" w:hAnsi="Times New Roman"/>
                <w:color w:val="000000"/>
                <w:kern w:val="0"/>
              </w:rPr>
              <w:t>年、</w:t>
            </w:r>
            <w:r w:rsidRPr="00327846">
              <w:rPr>
                <w:rFonts w:ascii="Times New Roman" w:eastAsia="宋体" w:hAnsi="Times New Roman"/>
                <w:color w:val="000000"/>
                <w:kern w:val="0"/>
              </w:rPr>
              <w:t>2021</w:t>
            </w:r>
            <w:r w:rsidRPr="00327846">
              <w:rPr>
                <w:rFonts w:ascii="Times New Roman" w:eastAsia="宋体" w:hAnsi="Times New Roman"/>
                <w:color w:val="000000"/>
                <w:kern w:val="0"/>
              </w:rPr>
              <w:t>年、</w:t>
            </w:r>
            <w:r w:rsidRPr="00327846">
              <w:rPr>
                <w:rFonts w:ascii="Times New Roman" w:eastAsia="宋体" w:hAnsi="Times New Roman"/>
                <w:color w:val="000000"/>
                <w:kern w:val="0"/>
              </w:rPr>
              <w:t>2022</w:t>
            </w:r>
            <w:r w:rsidRPr="00327846">
              <w:rPr>
                <w:rFonts w:ascii="Times New Roman" w:eastAsia="宋体" w:hAnsi="Times New Roman"/>
                <w:color w:val="000000"/>
                <w:kern w:val="0"/>
              </w:rPr>
              <w:t>年和</w:t>
            </w:r>
            <w:r w:rsidRPr="00327846">
              <w:rPr>
                <w:rFonts w:ascii="Times New Roman" w:eastAsia="宋体" w:hAnsi="Times New Roman"/>
                <w:color w:val="000000"/>
                <w:kern w:val="0"/>
              </w:rPr>
              <w:t>2023</w:t>
            </w:r>
            <w:r w:rsidRPr="00327846">
              <w:rPr>
                <w:rFonts w:ascii="Times New Roman" w:eastAsia="宋体" w:hAnsi="Times New Roman"/>
                <w:color w:val="000000"/>
                <w:kern w:val="0"/>
              </w:rPr>
              <w:t>年，按照扣除非经常性损益前后归属于母公司所有者的净利润孰</w:t>
            </w:r>
            <w:proofErr w:type="gramStart"/>
            <w:r w:rsidRPr="00327846">
              <w:rPr>
                <w:rFonts w:ascii="Times New Roman" w:eastAsia="宋体" w:hAnsi="Times New Roman"/>
                <w:color w:val="000000"/>
                <w:kern w:val="0"/>
              </w:rPr>
              <w:t>低原则</w:t>
            </w:r>
            <w:proofErr w:type="gramEnd"/>
            <w:r w:rsidRPr="00327846">
              <w:rPr>
                <w:rFonts w:ascii="Times New Roman" w:eastAsia="宋体" w:hAnsi="Times New Roman"/>
                <w:color w:val="000000"/>
                <w:kern w:val="0"/>
              </w:rPr>
              <w:t>确定的承诺净利润分别为</w:t>
            </w:r>
            <w:r w:rsidRPr="00327846">
              <w:rPr>
                <w:rFonts w:ascii="Times New Roman" w:eastAsia="宋体" w:hAnsi="Times New Roman"/>
                <w:color w:val="000000"/>
                <w:kern w:val="0"/>
              </w:rPr>
              <w:t>2,750</w:t>
            </w:r>
            <w:r w:rsidRPr="00327846">
              <w:rPr>
                <w:rFonts w:ascii="Times New Roman" w:eastAsia="宋体" w:hAnsi="Times New Roman"/>
                <w:color w:val="000000"/>
                <w:kern w:val="0"/>
              </w:rPr>
              <w:t>万、</w:t>
            </w:r>
            <w:r w:rsidRPr="00327846">
              <w:rPr>
                <w:rFonts w:ascii="Times New Roman" w:eastAsia="宋体" w:hAnsi="Times New Roman"/>
                <w:color w:val="000000"/>
                <w:kern w:val="0"/>
              </w:rPr>
              <w:t>3,800</w:t>
            </w:r>
            <w:r w:rsidRPr="00327846">
              <w:rPr>
                <w:rFonts w:ascii="Times New Roman" w:eastAsia="宋体" w:hAnsi="Times New Roman"/>
                <w:color w:val="000000"/>
                <w:kern w:val="0"/>
              </w:rPr>
              <w:t>万、</w:t>
            </w:r>
            <w:r w:rsidRPr="00327846">
              <w:rPr>
                <w:rFonts w:ascii="Times New Roman" w:eastAsia="宋体" w:hAnsi="Times New Roman"/>
                <w:color w:val="000000"/>
                <w:kern w:val="0"/>
              </w:rPr>
              <w:t>4,100</w:t>
            </w:r>
            <w:r w:rsidRPr="00327846">
              <w:rPr>
                <w:rFonts w:ascii="Times New Roman" w:eastAsia="宋体" w:hAnsi="Times New Roman"/>
                <w:color w:val="000000"/>
                <w:kern w:val="0"/>
              </w:rPr>
              <w:t>万和</w:t>
            </w:r>
            <w:r w:rsidRPr="00327846">
              <w:rPr>
                <w:rFonts w:ascii="Times New Roman" w:eastAsia="宋体" w:hAnsi="Times New Roman"/>
                <w:color w:val="000000"/>
                <w:kern w:val="0"/>
              </w:rPr>
              <w:t>4,300</w:t>
            </w:r>
            <w:r w:rsidRPr="00327846">
              <w:rPr>
                <w:rFonts w:ascii="Times New Roman" w:eastAsia="宋体" w:hAnsi="Times New Roman"/>
                <w:color w:val="000000"/>
                <w:kern w:val="0"/>
              </w:rPr>
              <w:t>万</w:t>
            </w:r>
          </w:p>
        </w:tc>
        <w:tc>
          <w:tcPr>
            <w:tcW w:w="1914" w:type="pct"/>
            <w:tcBorders>
              <w:top w:val="single" w:sz="4" w:space="0" w:color="auto"/>
              <w:left w:val="single" w:sz="4" w:space="0" w:color="auto"/>
              <w:bottom w:val="single" w:sz="4" w:space="0" w:color="auto"/>
              <w:right w:val="single" w:sz="4" w:space="0" w:color="auto"/>
            </w:tcBorders>
            <w:noWrap/>
            <w:vAlign w:val="center"/>
          </w:tcPr>
          <w:p w14:paraId="412A5E15"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标的公司在</w:t>
            </w:r>
            <w:r w:rsidRPr="00327846">
              <w:rPr>
                <w:rFonts w:ascii="Times New Roman" w:eastAsia="宋体" w:hAnsi="Times New Roman"/>
                <w:color w:val="000000"/>
                <w:kern w:val="0"/>
              </w:rPr>
              <w:t>2020</w:t>
            </w:r>
            <w:r w:rsidRPr="00327846">
              <w:rPr>
                <w:rFonts w:ascii="Times New Roman" w:eastAsia="宋体" w:hAnsi="Times New Roman"/>
                <w:color w:val="000000"/>
                <w:kern w:val="0"/>
              </w:rPr>
              <w:t>年、</w:t>
            </w:r>
            <w:r w:rsidRPr="00327846">
              <w:rPr>
                <w:rFonts w:ascii="Times New Roman" w:eastAsia="宋体" w:hAnsi="Times New Roman"/>
                <w:color w:val="000000"/>
                <w:kern w:val="0"/>
              </w:rPr>
              <w:t>2021</w:t>
            </w:r>
            <w:r w:rsidRPr="00327846">
              <w:rPr>
                <w:rFonts w:ascii="Times New Roman" w:eastAsia="宋体" w:hAnsi="Times New Roman"/>
                <w:color w:val="000000"/>
                <w:kern w:val="0"/>
              </w:rPr>
              <w:t>年、</w:t>
            </w:r>
            <w:r w:rsidRPr="00327846">
              <w:rPr>
                <w:rFonts w:ascii="Times New Roman" w:eastAsia="宋体" w:hAnsi="Times New Roman"/>
                <w:color w:val="000000"/>
                <w:kern w:val="0"/>
              </w:rPr>
              <w:t>2022</w:t>
            </w:r>
            <w:r w:rsidRPr="00327846">
              <w:rPr>
                <w:rFonts w:ascii="Times New Roman" w:eastAsia="宋体" w:hAnsi="Times New Roman"/>
                <w:color w:val="000000"/>
                <w:kern w:val="0"/>
              </w:rPr>
              <w:t>年、</w:t>
            </w:r>
            <w:r w:rsidRPr="00327846">
              <w:rPr>
                <w:rFonts w:ascii="Times New Roman" w:eastAsia="宋体" w:hAnsi="Times New Roman"/>
                <w:color w:val="000000"/>
                <w:kern w:val="0"/>
              </w:rPr>
              <w:t>2023</w:t>
            </w:r>
            <w:r w:rsidRPr="00327846">
              <w:rPr>
                <w:rFonts w:ascii="Times New Roman" w:eastAsia="宋体" w:hAnsi="Times New Roman"/>
                <w:color w:val="000000"/>
                <w:kern w:val="0"/>
              </w:rPr>
              <w:t>年和</w:t>
            </w:r>
            <w:r w:rsidRPr="00327846">
              <w:rPr>
                <w:rFonts w:ascii="Times New Roman" w:eastAsia="宋体" w:hAnsi="Times New Roman"/>
                <w:color w:val="000000"/>
                <w:kern w:val="0"/>
              </w:rPr>
              <w:t>2024</w:t>
            </w:r>
            <w:r w:rsidRPr="00327846">
              <w:rPr>
                <w:rFonts w:ascii="Times New Roman" w:eastAsia="宋体" w:hAnsi="Times New Roman"/>
                <w:color w:val="000000"/>
                <w:kern w:val="0"/>
              </w:rPr>
              <w:t>，按照扣除非经常性损益前后归属于母公司所有者的净利润孰</w:t>
            </w:r>
            <w:proofErr w:type="gramStart"/>
            <w:r w:rsidRPr="00327846">
              <w:rPr>
                <w:rFonts w:ascii="Times New Roman" w:eastAsia="宋体" w:hAnsi="Times New Roman"/>
                <w:color w:val="000000"/>
                <w:kern w:val="0"/>
              </w:rPr>
              <w:t>低原则</w:t>
            </w:r>
            <w:proofErr w:type="gramEnd"/>
            <w:r w:rsidRPr="00327846">
              <w:rPr>
                <w:rFonts w:ascii="Times New Roman" w:eastAsia="宋体" w:hAnsi="Times New Roman"/>
                <w:color w:val="000000"/>
                <w:kern w:val="0"/>
              </w:rPr>
              <w:t>确定的承诺净利润分别为</w:t>
            </w:r>
            <w:r w:rsidRPr="00327846">
              <w:rPr>
                <w:rFonts w:ascii="Times New Roman" w:eastAsia="宋体" w:hAnsi="Times New Roman"/>
                <w:color w:val="000000"/>
                <w:kern w:val="0"/>
              </w:rPr>
              <w:t>2,750</w:t>
            </w:r>
            <w:r w:rsidRPr="00327846">
              <w:rPr>
                <w:rFonts w:ascii="Times New Roman" w:eastAsia="宋体" w:hAnsi="Times New Roman"/>
                <w:color w:val="000000"/>
                <w:kern w:val="0"/>
              </w:rPr>
              <w:t>万元、</w:t>
            </w:r>
            <w:r w:rsidRPr="00327846">
              <w:rPr>
                <w:rFonts w:ascii="Times New Roman" w:eastAsia="宋体" w:hAnsi="Times New Roman"/>
                <w:color w:val="000000"/>
                <w:kern w:val="0"/>
              </w:rPr>
              <w:t>3,800</w:t>
            </w:r>
            <w:r w:rsidRPr="00327846">
              <w:rPr>
                <w:rFonts w:ascii="Times New Roman" w:eastAsia="宋体" w:hAnsi="Times New Roman"/>
                <w:color w:val="000000"/>
                <w:kern w:val="0"/>
              </w:rPr>
              <w:t>万元、</w:t>
            </w:r>
            <w:r w:rsidRPr="00327846">
              <w:rPr>
                <w:rFonts w:ascii="Times New Roman" w:eastAsia="宋体" w:hAnsi="Times New Roman"/>
                <w:color w:val="000000"/>
                <w:kern w:val="0"/>
              </w:rPr>
              <w:t>4,100</w:t>
            </w:r>
            <w:r w:rsidRPr="00327846">
              <w:rPr>
                <w:rFonts w:ascii="Times New Roman" w:eastAsia="宋体" w:hAnsi="Times New Roman"/>
                <w:color w:val="000000"/>
                <w:kern w:val="0"/>
              </w:rPr>
              <w:t>万元、</w:t>
            </w:r>
            <w:r w:rsidRPr="00327846">
              <w:rPr>
                <w:rFonts w:ascii="Times New Roman" w:eastAsia="宋体" w:hAnsi="Times New Roman"/>
                <w:color w:val="000000"/>
                <w:kern w:val="0"/>
              </w:rPr>
              <w:t>4,300</w:t>
            </w:r>
            <w:r w:rsidRPr="00327846">
              <w:rPr>
                <w:rFonts w:ascii="Times New Roman" w:eastAsia="宋体" w:hAnsi="Times New Roman"/>
                <w:color w:val="000000"/>
                <w:kern w:val="0"/>
              </w:rPr>
              <w:t>万元和</w:t>
            </w:r>
            <w:r w:rsidRPr="00327846">
              <w:rPr>
                <w:rFonts w:ascii="Times New Roman" w:eastAsia="宋体" w:hAnsi="Times New Roman"/>
                <w:color w:val="000000"/>
                <w:kern w:val="0"/>
              </w:rPr>
              <w:t>4,600</w:t>
            </w:r>
            <w:r w:rsidRPr="00327846">
              <w:rPr>
                <w:rFonts w:ascii="Times New Roman" w:eastAsia="宋体" w:hAnsi="Times New Roman"/>
                <w:color w:val="000000"/>
                <w:kern w:val="0"/>
              </w:rPr>
              <w:t>万元。若标的公司未完成业绩承诺，业绩</w:t>
            </w:r>
            <w:proofErr w:type="gramStart"/>
            <w:r w:rsidRPr="00327846">
              <w:rPr>
                <w:rFonts w:ascii="Times New Roman" w:eastAsia="宋体" w:hAnsi="Times New Roman"/>
                <w:color w:val="000000"/>
                <w:kern w:val="0"/>
              </w:rPr>
              <w:t>对赌方还</w:t>
            </w:r>
            <w:proofErr w:type="gramEnd"/>
            <w:r w:rsidRPr="00327846">
              <w:rPr>
                <w:rFonts w:ascii="Times New Roman" w:eastAsia="宋体" w:hAnsi="Times New Roman"/>
                <w:color w:val="000000"/>
                <w:kern w:val="0"/>
              </w:rPr>
              <w:t>应另行向上市公司支付</w:t>
            </w:r>
            <w:r w:rsidRPr="00327846">
              <w:rPr>
                <w:rFonts w:ascii="Times New Roman" w:eastAsia="宋体" w:hAnsi="Times New Roman"/>
                <w:color w:val="000000"/>
                <w:kern w:val="0"/>
              </w:rPr>
              <w:t>2,000</w:t>
            </w:r>
            <w:r w:rsidRPr="00327846">
              <w:rPr>
                <w:rFonts w:ascii="Times New Roman" w:eastAsia="宋体" w:hAnsi="Times New Roman"/>
                <w:color w:val="000000"/>
                <w:kern w:val="0"/>
              </w:rPr>
              <w:t>万元附加业绩补偿金，</w:t>
            </w:r>
            <w:proofErr w:type="gramStart"/>
            <w:r w:rsidRPr="00327846">
              <w:rPr>
                <w:rFonts w:ascii="Times New Roman" w:eastAsia="宋体" w:hAnsi="Times New Roman"/>
                <w:color w:val="000000"/>
                <w:kern w:val="0"/>
              </w:rPr>
              <w:t>则上市</w:t>
            </w:r>
            <w:proofErr w:type="gramEnd"/>
            <w:r w:rsidRPr="00327846">
              <w:rPr>
                <w:rFonts w:ascii="Times New Roman" w:eastAsia="宋体" w:hAnsi="Times New Roman"/>
                <w:color w:val="000000"/>
                <w:kern w:val="0"/>
              </w:rPr>
              <w:t>公司可在前述第二期现金对价中直接全额抵扣附加业绩补偿金，即上市公司无需向业绩</w:t>
            </w:r>
            <w:proofErr w:type="gramStart"/>
            <w:r w:rsidRPr="00327846">
              <w:rPr>
                <w:rFonts w:ascii="Times New Roman" w:eastAsia="宋体" w:hAnsi="Times New Roman"/>
                <w:color w:val="000000"/>
                <w:kern w:val="0"/>
              </w:rPr>
              <w:t>对赌方支付</w:t>
            </w:r>
            <w:proofErr w:type="gramEnd"/>
            <w:r w:rsidRPr="00327846">
              <w:rPr>
                <w:rFonts w:ascii="Times New Roman" w:eastAsia="宋体" w:hAnsi="Times New Roman"/>
                <w:color w:val="000000"/>
                <w:kern w:val="0"/>
              </w:rPr>
              <w:t>第二期现金对价</w:t>
            </w:r>
          </w:p>
        </w:tc>
        <w:tc>
          <w:tcPr>
            <w:tcW w:w="694" w:type="pct"/>
            <w:tcBorders>
              <w:top w:val="single" w:sz="4" w:space="0" w:color="auto"/>
              <w:left w:val="single" w:sz="4" w:space="0" w:color="auto"/>
              <w:bottom w:val="single" w:sz="4" w:space="0" w:color="auto"/>
              <w:right w:val="nil"/>
            </w:tcBorders>
            <w:vAlign w:val="center"/>
          </w:tcPr>
          <w:p w14:paraId="1168112A" w14:textId="77777777" w:rsidR="00D81708" w:rsidRPr="00327846" w:rsidRDefault="00D81708" w:rsidP="00B53915">
            <w:pPr>
              <w:jc w:val="center"/>
              <w:rPr>
                <w:rFonts w:ascii="Times New Roman" w:eastAsia="宋体" w:hAnsi="Times New Roman"/>
                <w:color w:val="000000"/>
                <w:kern w:val="0"/>
              </w:rPr>
            </w:pPr>
            <w:r w:rsidRPr="00327846">
              <w:rPr>
                <w:rFonts w:ascii="Times New Roman" w:eastAsia="宋体" w:hAnsi="Times New Roman"/>
                <w:color w:val="000000"/>
                <w:kern w:val="0"/>
              </w:rPr>
              <w:t>增加业绩承诺期，增加业绩</w:t>
            </w:r>
            <w:proofErr w:type="gramStart"/>
            <w:r w:rsidRPr="00327846">
              <w:rPr>
                <w:rFonts w:ascii="Times New Roman" w:eastAsia="宋体" w:hAnsi="Times New Roman"/>
                <w:color w:val="000000"/>
                <w:kern w:val="0"/>
              </w:rPr>
              <w:t>对赌方附加</w:t>
            </w:r>
            <w:proofErr w:type="gramEnd"/>
            <w:r w:rsidRPr="00327846">
              <w:rPr>
                <w:rFonts w:ascii="Times New Roman" w:eastAsia="宋体" w:hAnsi="Times New Roman"/>
                <w:color w:val="000000"/>
                <w:kern w:val="0"/>
              </w:rPr>
              <w:t>业绩补偿金条款</w:t>
            </w:r>
          </w:p>
        </w:tc>
      </w:tr>
      <w:tr w:rsidR="00D81708" w:rsidRPr="00327846" w14:paraId="381730FF" w14:textId="77777777" w:rsidTr="00B53915">
        <w:trPr>
          <w:trHeight w:val="397"/>
          <w:jc w:val="center"/>
        </w:trPr>
        <w:tc>
          <w:tcPr>
            <w:tcW w:w="647" w:type="pct"/>
            <w:tcBorders>
              <w:top w:val="single" w:sz="4" w:space="0" w:color="auto"/>
              <w:left w:val="nil"/>
              <w:bottom w:val="single" w:sz="4" w:space="0" w:color="auto"/>
              <w:right w:val="single" w:sz="4" w:space="0" w:color="auto"/>
            </w:tcBorders>
            <w:noWrap/>
            <w:vAlign w:val="center"/>
          </w:tcPr>
          <w:p w14:paraId="744177B8"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锁定期条款</w:t>
            </w:r>
          </w:p>
        </w:tc>
        <w:tc>
          <w:tcPr>
            <w:tcW w:w="1745" w:type="pct"/>
            <w:tcBorders>
              <w:top w:val="single" w:sz="4" w:space="0" w:color="auto"/>
              <w:left w:val="single" w:sz="4" w:space="0" w:color="auto"/>
              <w:bottom w:val="single" w:sz="4" w:space="0" w:color="auto"/>
              <w:right w:val="single" w:sz="4" w:space="0" w:color="auto"/>
            </w:tcBorders>
            <w:vAlign w:val="center"/>
          </w:tcPr>
          <w:p w14:paraId="0E9ACFFF"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李红、赵庆、青岛艾特诺、王晓晖及钱雨</w:t>
            </w:r>
            <w:proofErr w:type="gramStart"/>
            <w:r w:rsidRPr="00327846">
              <w:rPr>
                <w:rFonts w:ascii="Times New Roman" w:eastAsia="宋体" w:hAnsi="Times New Roman"/>
                <w:color w:val="000000"/>
                <w:kern w:val="0"/>
              </w:rPr>
              <w:t>嫣</w:t>
            </w:r>
            <w:proofErr w:type="gramEnd"/>
            <w:r w:rsidRPr="00327846">
              <w:rPr>
                <w:rFonts w:ascii="Times New Roman" w:eastAsia="宋体" w:hAnsi="Times New Roman"/>
                <w:color w:val="000000"/>
                <w:kern w:val="0"/>
              </w:rPr>
              <w:t>通过本次收购获得的京城股份新增股份自本次重组发行完成日起</w:t>
            </w:r>
            <w:r w:rsidRPr="00327846">
              <w:rPr>
                <w:rFonts w:ascii="Times New Roman" w:eastAsia="宋体" w:hAnsi="Times New Roman"/>
                <w:color w:val="000000"/>
                <w:kern w:val="0"/>
              </w:rPr>
              <w:t>12</w:t>
            </w:r>
            <w:r w:rsidRPr="00327846">
              <w:rPr>
                <w:rFonts w:ascii="Times New Roman" w:eastAsia="宋体" w:hAnsi="Times New Roman"/>
                <w:color w:val="000000"/>
                <w:kern w:val="0"/>
              </w:rPr>
              <w:t>个月内不得以任何方式进行转让，亦不得设置质押或其他财产性权利负担；上述</w:t>
            </w:r>
            <w:r w:rsidRPr="00327846">
              <w:rPr>
                <w:rFonts w:ascii="Times New Roman" w:eastAsia="宋体" w:hAnsi="Times New Roman"/>
                <w:color w:val="000000"/>
                <w:kern w:val="0"/>
              </w:rPr>
              <w:t>12</w:t>
            </w:r>
            <w:r w:rsidRPr="00327846">
              <w:rPr>
                <w:rFonts w:ascii="Times New Roman" w:eastAsia="宋体" w:hAnsi="Times New Roman"/>
                <w:color w:val="000000"/>
                <w:kern w:val="0"/>
              </w:rPr>
              <w:t>个月锁定期限届满后，李红、赵庆、青岛艾特诺、王晓晖及钱雨</w:t>
            </w:r>
            <w:proofErr w:type="gramStart"/>
            <w:r w:rsidRPr="00327846">
              <w:rPr>
                <w:rFonts w:ascii="Times New Roman" w:eastAsia="宋体" w:hAnsi="Times New Roman"/>
                <w:color w:val="000000"/>
                <w:kern w:val="0"/>
              </w:rPr>
              <w:t>嫣</w:t>
            </w:r>
            <w:proofErr w:type="gramEnd"/>
            <w:r w:rsidRPr="00327846">
              <w:rPr>
                <w:rFonts w:ascii="Times New Roman" w:eastAsia="宋体" w:hAnsi="Times New Roman"/>
                <w:color w:val="000000"/>
                <w:kern w:val="0"/>
              </w:rPr>
              <w:t>通过本次收购获得的京城股份新增股份按照协议</w:t>
            </w:r>
            <w:proofErr w:type="gramStart"/>
            <w:r w:rsidRPr="00327846">
              <w:rPr>
                <w:rFonts w:ascii="Times New Roman" w:eastAsia="宋体" w:hAnsi="Times New Roman"/>
                <w:color w:val="000000"/>
                <w:kern w:val="0"/>
              </w:rPr>
              <w:t>安排分</w:t>
            </w:r>
            <w:proofErr w:type="gramEnd"/>
            <w:r w:rsidRPr="00327846">
              <w:rPr>
                <w:rFonts w:ascii="Times New Roman" w:eastAsia="宋体" w:hAnsi="Times New Roman"/>
                <w:color w:val="000000"/>
                <w:kern w:val="0"/>
              </w:rPr>
              <w:t>3</w:t>
            </w:r>
            <w:r w:rsidRPr="00327846">
              <w:rPr>
                <w:rFonts w:ascii="Times New Roman" w:eastAsia="宋体" w:hAnsi="Times New Roman"/>
                <w:color w:val="000000"/>
                <w:kern w:val="0"/>
              </w:rPr>
              <w:t>期解锁</w:t>
            </w:r>
          </w:p>
        </w:tc>
        <w:tc>
          <w:tcPr>
            <w:tcW w:w="1914" w:type="pct"/>
            <w:tcBorders>
              <w:top w:val="single" w:sz="4" w:space="0" w:color="auto"/>
              <w:left w:val="single" w:sz="4" w:space="0" w:color="auto"/>
              <w:bottom w:val="single" w:sz="4" w:space="0" w:color="auto"/>
              <w:right w:val="single" w:sz="4" w:space="0" w:color="auto"/>
            </w:tcBorders>
            <w:noWrap/>
            <w:vAlign w:val="center"/>
          </w:tcPr>
          <w:p w14:paraId="642A30BE"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李红、赵庆、青岛艾特诺、王晓晖及钱雨</w:t>
            </w:r>
            <w:proofErr w:type="gramStart"/>
            <w:r w:rsidRPr="00327846">
              <w:rPr>
                <w:rFonts w:ascii="Times New Roman" w:eastAsia="宋体" w:hAnsi="Times New Roman"/>
                <w:color w:val="000000"/>
                <w:kern w:val="0"/>
              </w:rPr>
              <w:t>嫣</w:t>
            </w:r>
            <w:proofErr w:type="gramEnd"/>
            <w:r w:rsidRPr="00327846">
              <w:rPr>
                <w:rFonts w:ascii="Times New Roman" w:eastAsia="宋体" w:hAnsi="Times New Roman"/>
                <w:color w:val="000000"/>
                <w:kern w:val="0"/>
              </w:rPr>
              <w:t>通过本次收购获得的京城股份新增股份自本次重组发行完成日起</w:t>
            </w:r>
            <w:r w:rsidRPr="00327846">
              <w:rPr>
                <w:rFonts w:ascii="Times New Roman" w:eastAsia="宋体" w:hAnsi="Times New Roman"/>
                <w:color w:val="000000"/>
                <w:kern w:val="0"/>
              </w:rPr>
              <w:t>12</w:t>
            </w:r>
            <w:r w:rsidRPr="00327846">
              <w:rPr>
                <w:rFonts w:ascii="Times New Roman" w:eastAsia="宋体" w:hAnsi="Times New Roman"/>
                <w:color w:val="000000"/>
                <w:kern w:val="0"/>
              </w:rPr>
              <w:t>个月内不得以任何方式进行转让，亦不得设置质押或其他财产性权利负担；上述</w:t>
            </w:r>
            <w:r w:rsidRPr="00327846">
              <w:rPr>
                <w:rFonts w:ascii="Times New Roman" w:eastAsia="宋体" w:hAnsi="Times New Roman"/>
                <w:color w:val="000000"/>
                <w:kern w:val="0"/>
              </w:rPr>
              <w:t>12</w:t>
            </w:r>
            <w:r w:rsidRPr="00327846">
              <w:rPr>
                <w:rFonts w:ascii="Times New Roman" w:eastAsia="宋体" w:hAnsi="Times New Roman"/>
                <w:color w:val="000000"/>
                <w:kern w:val="0"/>
              </w:rPr>
              <w:t>个月锁定期限届满后，李红、赵庆、青岛艾特诺、王晓晖及钱雨</w:t>
            </w:r>
            <w:proofErr w:type="gramStart"/>
            <w:r w:rsidRPr="00327846">
              <w:rPr>
                <w:rFonts w:ascii="Times New Roman" w:eastAsia="宋体" w:hAnsi="Times New Roman"/>
                <w:color w:val="000000"/>
                <w:kern w:val="0"/>
              </w:rPr>
              <w:t>嫣</w:t>
            </w:r>
            <w:proofErr w:type="gramEnd"/>
            <w:r w:rsidRPr="00327846">
              <w:rPr>
                <w:rFonts w:ascii="Times New Roman" w:eastAsia="宋体" w:hAnsi="Times New Roman"/>
                <w:color w:val="000000"/>
                <w:kern w:val="0"/>
              </w:rPr>
              <w:t>通过本次收购获得的京城股份新增股份按照协议</w:t>
            </w:r>
            <w:proofErr w:type="gramStart"/>
            <w:r w:rsidRPr="00327846">
              <w:rPr>
                <w:rFonts w:ascii="Times New Roman" w:eastAsia="宋体" w:hAnsi="Times New Roman"/>
                <w:color w:val="000000"/>
                <w:kern w:val="0"/>
              </w:rPr>
              <w:t>安排分</w:t>
            </w:r>
            <w:proofErr w:type="gramEnd"/>
            <w:r w:rsidRPr="00327846">
              <w:rPr>
                <w:rFonts w:ascii="Times New Roman" w:eastAsia="宋体" w:hAnsi="Times New Roman"/>
                <w:color w:val="000000"/>
                <w:kern w:val="0"/>
              </w:rPr>
              <w:t>4</w:t>
            </w:r>
            <w:r w:rsidRPr="00327846">
              <w:rPr>
                <w:rFonts w:ascii="Times New Roman" w:eastAsia="宋体" w:hAnsi="Times New Roman"/>
                <w:color w:val="000000"/>
                <w:kern w:val="0"/>
              </w:rPr>
              <w:t>期解锁</w:t>
            </w:r>
          </w:p>
        </w:tc>
        <w:tc>
          <w:tcPr>
            <w:tcW w:w="694" w:type="pct"/>
            <w:tcBorders>
              <w:top w:val="single" w:sz="4" w:space="0" w:color="auto"/>
              <w:left w:val="single" w:sz="4" w:space="0" w:color="auto"/>
              <w:bottom w:val="single" w:sz="4" w:space="0" w:color="auto"/>
              <w:right w:val="nil"/>
            </w:tcBorders>
            <w:vAlign w:val="center"/>
          </w:tcPr>
          <w:p w14:paraId="419CD153" w14:textId="77777777" w:rsidR="00D81708" w:rsidRPr="00327846" w:rsidRDefault="00D81708" w:rsidP="00B53915">
            <w:pPr>
              <w:jc w:val="center"/>
              <w:rPr>
                <w:rFonts w:ascii="Times New Roman" w:eastAsia="宋体" w:hAnsi="Times New Roman"/>
                <w:color w:val="000000"/>
                <w:kern w:val="0"/>
              </w:rPr>
            </w:pPr>
            <w:r w:rsidRPr="00327846">
              <w:rPr>
                <w:rFonts w:ascii="Times New Roman" w:eastAsia="宋体" w:hAnsi="Times New Roman"/>
                <w:color w:val="000000"/>
                <w:kern w:val="0"/>
              </w:rPr>
              <w:t>延长锁定期限</w:t>
            </w:r>
          </w:p>
        </w:tc>
      </w:tr>
      <w:tr w:rsidR="00D81708" w:rsidRPr="00327846" w14:paraId="0431E788" w14:textId="77777777" w:rsidTr="00B53915">
        <w:trPr>
          <w:trHeight w:val="397"/>
          <w:jc w:val="center"/>
        </w:trPr>
        <w:tc>
          <w:tcPr>
            <w:tcW w:w="647" w:type="pct"/>
            <w:tcBorders>
              <w:top w:val="single" w:sz="4" w:space="0" w:color="auto"/>
              <w:left w:val="nil"/>
              <w:bottom w:val="single" w:sz="4" w:space="0" w:color="auto"/>
              <w:right w:val="single" w:sz="4" w:space="0" w:color="auto"/>
            </w:tcBorders>
            <w:noWrap/>
            <w:vAlign w:val="center"/>
          </w:tcPr>
          <w:p w14:paraId="6CBF8A4A"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超额业绩奖励条款</w:t>
            </w:r>
          </w:p>
        </w:tc>
        <w:tc>
          <w:tcPr>
            <w:tcW w:w="1745" w:type="pct"/>
            <w:tcBorders>
              <w:top w:val="single" w:sz="4" w:space="0" w:color="auto"/>
              <w:left w:val="single" w:sz="4" w:space="0" w:color="auto"/>
              <w:bottom w:val="single" w:sz="4" w:space="0" w:color="auto"/>
              <w:right w:val="single" w:sz="4" w:space="0" w:color="auto"/>
            </w:tcBorders>
            <w:vAlign w:val="center"/>
          </w:tcPr>
          <w:p w14:paraId="0B29290E"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如果北洋</w:t>
            </w:r>
            <w:proofErr w:type="gramStart"/>
            <w:r w:rsidRPr="00327846">
              <w:rPr>
                <w:rFonts w:ascii="Times New Roman" w:eastAsia="宋体" w:hAnsi="Times New Roman"/>
                <w:color w:val="000000"/>
                <w:kern w:val="0"/>
              </w:rPr>
              <w:t>天青在</w:t>
            </w:r>
            <w:proofErr w:type="gramEnd"/>
            <w:r w:rsidRPr="00327846">
              <w:rPr>
                <w:rFonts w:ascii="Times New Roman" w:eastAsia="宋体" w:hAnsi="Times New Roman"/>
                <w:color w:val="000000"/>
                <w:kern w:val="0"/>
              </w:rPr>
              <w:t>业绩承诺期内各年度实现的净利润均超过《业绩补偿协议》约定的承诺净利润数，上市公司应当将北洋天青</w:t>
            </w:r>
            <w:r w:rsidRPr="00327846">
              <w:rPr>
                <w:rFonts w:ascii="Times New Roman" w:eastAsia="宋体" w:hAnsi="Times New Roman"/>
                <w:color w:val="000000"/>
                <w:kern w:val="0"/>
              </w:rPr>
              <w:t xml:space="preserve">2021 </w:t>
            </w:r>
            <w:r w:rsidRPr="00327846">
              <w:rPr>
                <w:rFonts w:ascii="Times New Roman" w:eastAsia="宋体" w:hAnsi="Times New Roman"/>
                <w:color w:val="000000"/>
                <w:kern w:val="0"/>
              </w:rPr>
              <w:t>年度实现的净利润超过承诺净利润</w:t>
            </w:r>
            <w:proofErr w:type="gramStart"/>
            <w:r w:rsidRPr="00327846">
              <w:rPr>
                <w:rFonts w:ascii="Times New Roman" w:eastAsia="宋体" w:hAnsi="Times New Roman"/>
                <w:color w:val="000000"/>
                <w:kern w:val="0"/>
              </w:rPr>
              <w:t>数部分</w:t>
            </w:r>
            <w:proofErr w:type="gramEnd"/>
            <w:r w:rsidRPr="00327846">
              <w:rPr>
                <w:rFonts w:ascii="Times New Roman" w:eastAsia="宋体" w:hAnsi="Times New Roman"/>
                <w:color w:val="000000"/>
                <w:kern w:val="0"/>
              </w:rPr>
              <w:t>的</w:t>
            </w:r>
            <w:r w:rsidRPr="00327846">
              <w:rPr>
                <w:rFonts w:ascii="Times New Roman" w:eastAsia="宋体" w:hAnsi="Times New Roman"/>
                <w:color w:val="000000"/>
                <w:kern w:val="0"/>
              </w:rPr>
              <w:t>30%</w:t>
            </w:r>
            <w:r w:rsidRPr="00327846">
              <w:rPr>
                <w:rFonts w:ascii="Times New Roman" w:eastAsia="宋体" w:hAnsi="Times New Roman"/>
                <w:color w:val="000000"/>
                <w:kern w:val="0"/>
              </w:rPr>
              <w:t>、</w:t>
            </w:r>
            <w:r w:rsidRPr="00327846">
              <w:rPr>
                <w:rFonts w:ascii="Times New Roman" w:eastAsia="宋体" w:hAnsi="Times New Roman"/>
                <w:color w:val="000000"/>
                <w:kern w:val="0"/>
              </w:rPr>
              <w:t xml:space="preserve">2022 </w:t>
            </w:r>
            <w:r w:rsidRPr="00327846">
              <w:rPr>
                <w:rFonts w:ascii="Times New Roman" w:eastAsia="宋体" w:hAnsi="Times New Roman"/>
                <w:color w:val="000000"/>
                <w:kern w:val="0"/>
              </w:rPr>
              <w:t>年度实现的净利润超过承诺净利润</w:t>
            </w:r>
            <w:proofErr w:type="gramStart"/>
            <w:r w:rsidRPr="00327846">
              <w:rPr>
                <w:rFonts w:ascii="Times New Roman" w:eastAsia="宋体" w:hAnsi="Times New Roman"/>
                <w:color w:val="000000"/>
                <w:kern w:val="0"/>
              </w:rPr>
              <w:t>数部分</w:t>
            </w:r>
            <w:proofErr w:type="gramEnd"/>
            <w:r w:rsidRPr="00327846">
              <w:rPr>
                <w:rFonts w:ascii="Times New Roman" w:eastAsia="宋体" w:hAnsi="Times New Roman"/>
                <w:color w:val="000000"/>
                <w:kern w:val="0"/>
              </w:rPr>
              <w:t>的</w:t>
            </w:r>
            <w:r w:rsidRPr="00327846">
              <w:rPr>
                <w:rFonts w:ascii="Times New Roman" w:eastAsia="宋体" w:hAnsi="Times New Roman"/>
                <w:color w:val="000000"/>
                <w:kern w:val="0"/>
              </w:rPr>
              <w:t>40%</w:t>
            </w:r>
            <w:r w:rsidRPr="00327846">
              <w:rPr>
                <w:rFonts w:ascii="Times New Roman" w:eastAsia="宋体" w:hAnsi="Times New Roman"/>
                <w:color w:val="000000"/>
                <w:kern w:val="0"/>
              </w:rPr>
              <w:t>和</w:t>
            </w:r>
            <w:r w:rsidRPr="00327846">
              <w:rPr>
                <w:rFonts w:ascii="Times New Roman" w:eastAsia="宋体" w:hAnsi="Times New Roman"/>
                <w:color w:val="000000"/>
                <w:kern w:val="0"/>
              </w:rPr>
              <w:t xml:space="preserve">2023 </w:t>
            </w:r>
            <w:r w:rsidRPr="00327846">
              <w:rPr>
                <w:rFonts w:ascii="Times New Roman" w:eastAsia="宋体" w:hAnsi="Times New Roman"/>
                <w:color w:val="000000"/>
                <w:kern w:val="0"/>
              </w:rPr>
              <w:t>年度实现的净利润超过承诺净利润</w:t>
            </w:r>
            <w:proofErr w:type="gramStart"/>
            <w:r w:rsidRPr="00327846">
              <w:rPr>
                <w:rFonts w:ascii="Times New Roman" w:eastAsia="宋体" w:hAnsi="Times New Roman"/>
                <w:color w:val="000000"/>
                <w:kern w:val="0"/>
              </w:rPr>
              <w:t>数部分</w:t>
            </w:r>
            <w:proofErr w:type="gramEnd"/>
            <w:r w:rsidRPr="00327846">
              <w:rPr>
                <w:rFonts w:ascii="Times New Roman" w:eastAsia="宋体" w:hAnsi="Times New Roman"/>
                <w:color w:val="000000"/>
                <w:kern w:val="0"/>
              </w:rPr>
              <w:t>的</w:t>
            </w:r>
            <w:r w:rsidRPr="00327846">
              <w:rPr>
                <w:rFonts w:ascii="Times New Roman" w:eastAsia="宋体" w:hAnsi="Times New Roman"/>
                <w:color w:val="000000"/>
                <w:kern w:val="0"/>
              </w:rPr>
              <w:t>50%</w:t>
            </w:r>
            <w:r w:rsidRPr="00327846">
              <w:rPr>
                <w:rFonts w:ascii="Times New Roman" w:eastAsia="宋体" w:hAnsi="Times New Roman"/>
                <w:color w:val="000000"/>
                <w:kern w:val="0"/>
              </w:rPr>
              <w:t>作</w:t>
            </w:r>
            <w:r w:rsidRPr="00327846">
              <w:rPr>
                <w:rFonts w:ascii="Times New Roman" w:eastAsia="宋体" w:hAnsi="Times New Roman"/>
                <w:color w:val="000000"/>
                <w:kern w:val="0"/>
              </w:rPr>
              <w:lastRenderedPageBreak/>
              <w:t>为奖金奖励给届时仍于北洋天青任职的核心管理团队成员</w:t>
            </w:r>
          </w:p>
        </w:tc>
        <w:tc>
          <w:tcPr>
            <w:tcW w:w="1914" w:type="pct"/>
            <w:tcBorders>
              <w:top w:val="single" w:sz="4" w:space="0" w:color="auto"/>
              <w:left w:val="single" w:sz="4" w:space="0" w:color="auto"/>
              <w:bottom w:val="single" w:sz="4" w:space="0" w:color="auto"/>
              <w:right w:val="single" w:sz="4" w:space="0" w:color="auto"/>
            </w:tcBorders>
            <w:noWrap/>
            <w:vAlign w:val="center"/>
          </w:tcPr>
          <w:p w14:paraId="4518AE6A"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lastRenderedPageBreak/>
              <w:t>如果北洋</w:t>
            </w:r>
            <w:proofErr w:type="gramStart"/>
            <w:r w:rsidRPr="00327846">
              <w:rPr>
                <w:rFonts w:ascii="Times New Roman" w:eastAsia="宋体" w:hAnsi="Times New Roman"/>
                <w:color w:val="000000"/>
                <w:kern w:val="0"/>
              </w:rPr>
              <w:t>天青在</w:t>
            </w:r>
            <w:proofErr w:type="gramEnd"/>
            <w:r w:rsidRPr="00327846">
              <w:rPr>
                <w:rFonts w:ascii="Times New Roman" w:eastAsia="宋体" w:hAnsi="Times New Roman"/>
                <w:color w:val="000000"/>
                <w:kern w:val="0"/>
              </w:rPr>
              <w:t>业绩承诺期内各年度实现的净利润均超过《业绩补偿协议》约定的承诺净利润数，京城股份应当将北洋天青</w:t>
            </w:r>
            <w:r w:rsidRPr="00327846">
              <w:rPr>
                <w:rFonts w:ascii="Times New Roman" w:eastAsia="宋体" w:hAnsi="Times New Roman"/>
                <w:color w:val="000000"/>
                <w:kern w:val="0"/>
              </w:rPr>
              <w:t>2021</w:t>
            </w:r>
            <w:r w:rsidRPr="00327846">
              <w:rPr>
                <w:rFonts w:ascii="Times New Roman" w:eastAsia="宋体" w:hAnsi="Times New Roman"/>
                <w:color w:val="000000"/>
                <w:kern w:val="0"/>
              </w:rPr>
              <w:t>年度实现的净利润超过承诺净利润</w:t>
            </w:r>
            <w:proofErr w:type="gramStart"/>
            <w:r w:rsidRPr="00327846">
              <w:rPr>
                <w:rFonts w:ascii="Times New Roman" w:eastAsia="宋体" w:hAnsi="Times New Roman"/>
                <w:color w:val="000000"/>
                <w:kern w:val="0"/>
              </w:rPr>
              <w:t>数部分</w:t>
            </w:r>
            <w:proofErr w:type="gramEnd"/>
            <w:r w:rsidRPr="00327846">
              <w:rPr>
                <w:rFonts w:ascii="Times New Roman" w:eastAsia="宋体" w:hAnsi="Times New Roman"/>
                <w:color w:val="000000"/>
                <w:kern w:val="0"/>
              </w:rPr>
              <w:t>的</w:t>
            </w:r>
            <w:r w:rsidRPr="00327846">
              <w:rPr>
                <w:rFonts w:ascii="Times New Roman" w:eastAsia="宋体" w:hAnsi="Times New Roman"/>
                <w:color w:val="000000"/>
                <w:kern w:val="0"/>
              </w:rPr>
              <w:t>30%</w:t>
            </w:r>
            <w:r w:rsidRPr="00327846">
              <w:rPr>
                <w:rFonts w:ascii="Times New Roman" w:eastAsia="宋体" w:hAnsi="Times New Roman"/>
                <w:color w:val="000000"/>
                <w:kern w:val="0"/>
              </w:rPr>
              <w:t>、</w:t>
            </w:r>
            <w:r w:rsidRPr="00327846">
              <w:rPr>
                <w:rFonts w:ascii="Times New Roman" w:eastAsia="宋体" w:hAnsi="Times New Roman"/>
                <w:color w:val="000000"/>
                <w:kern w:val="0"/>
              </w:rPr>
              <w:t>2022</w:t>
            </w:r>
            <w:r w:rsidRPr="00327846">
              <w:rPr>
                <w:rFonts w:ascii="Times New Roman" w:eastAsia="宋体" w:hAnsi="Times New Roman"/>
                <w:color w:val="000000"/>
                <w:kern w:val="0"/>
              </w:rPr>
              <w:t>年度实现的净利润超过承诺净利润</w:t>
            </w:r>
            <w:proofErr w:type="gramStart"/>
            <w:r w:rsidRPr="00327846">
              <w:rPr>
                <w:rFonts w:ascii="Times New Roman" w:eastAsia="宋体" w:hAnsi="Times New Roman"/>
                <w:color w:val="000000"/>
                <w:kern w:val="0"/>
              </w:rPr>
              <w:t>数部分</w:t>
            </w:r>
            <w:proofErr w:type="gramEnd"/>
            <w:r w:rsidRPr="00327846">
              <w:rPr>
                <w:rFonts w:ascii="Times New Roman" w:eastAsia="宋体" w:hAnsi="Times New Roman"/>
                <w:color w:val="000000"/>
                <w:kern w:val="0"/>
              </w:rPr>
              <w:t>的</w:t>
            </w:r>
            <w:r w:rsidRPr="00327846">
              <w:rPr>
                <w:rFonts w:ascii="Times New Roman" w:eastAsia="宋体" w:hAnsi="Times New Roman"/>
                <w:color w:val="000000"/>
                <w:kern w:val="0"/>
              </w:rPr>
              <w:t>40%</w:t>
            </w:r>
            <w:r w:rsidRPr="00327846">
              <w:rPr>
                <w:rFonts w:ascii="Times New Roman" w:eastAsia="宋体" w:hAnsi="Times New Roman"/>
                <w:color w:val="000000"/>
                <w:kern w:val="0"/>
              </w:rPr>
              <w:t>、</w:t>
            </w:r>
            <w:r w:rsidRPr="00327846">
              <w:rPr>
                <w:rFonts w:ascii="Times New Roman" w:eastAsia="宋体" w:hAnsi="Times New Roman"/>
                <w:color w:val="000000"/>
                <w:kern w:val="0"/>
              </w:rPr>
              <w:t>2023</w:t>
            </w:r>
            <w:r w:rsidRPr="00327846">
              <w:rPr>
                <w:rFonts w:ascii="Times New Roman" w:eastAsia="宋体" w:hAnsi="Times New Roman"/>
                <w:color w:val="000000"/>
                <w:kern w:val="0"/>
              </w:rPr>
              <w:t>年度实现的净利润超过承诺净利润</w:t>
            </w:r>
            <w:proofErr w:type="gramStart"/>
            <w:r w:rsidRPr="00327846">
              <w:rPr>
                <w:rFonts w:ascii="Times New Roman" w:eastAsia="宋体" w:hAnsi="Times New Roman"/>
                <w:color w:val="000000"/>
                <w:kern w:val="0"/>
              </w:rPr>
              <w:t>数部分</w:t>
            </w:r>
            <w:proofErr w:type="gramEnd"/>
            <w:r w:rsidRPr="00327846">
              <w:rPr>
                <w:rFonts w:ascii="Times New Roman" w:eastAsia="宋体" w:hAnsi="Times New Roman"/>
                <w:color w:val="000000"/>
                <w:kern w:val="0"/>
              </w:rPr>
              <w:t>的</w:t>
            </w:r>
            <w:r w:rsidRPr="00327846">
              <w:rPr>
                <w:rFonts w:ascii="Times New Roman" w:eastAsia="宋体" w:hAnsi="Times New Roman"/>
                <w:color w:val="000000"/>
                <w:kern w:val="0"/>
              </w:rPr>
              <w:t>50%</w:t>
            </w:r>
            <w:r w:rsidRPr="00327846">
              <w:rPr>
                <w:rFonts w:ascii="Times New Roman" w:eastAsia="宋体" w:hAnsi="Times New Roman"/>
                <w:color w:val="000000"/>
                <w:kern w:val="0"/>
              </w:rPr>
              <w:t>和</w:t>
            </w:r>
            <w:r w:rsidRPr="00327846">
              <w:rPr>
                <w:rFonts w:ascii="Times New Roman" w:eastAsia="宋体" w:hAnsi="Times New Roman"/>
                <w:color w:val="000000"/>
                <w:kern w:val="0"/>
              </w:rPr>
              <w:t>2024</w:t>
            </w:r>
            <w:r w:rsidRPr="00327846">
              <w:rPr>
                <w:rFonts w:ascii="Times New Roman" w:eastAsia="宋体" w:hAnsi="Times New Roman"/>
                <w:color w:val="000000"/>
                <w:kern w:val="0"/>
              </w:rPr>
              <w:t>年度实现的净利润超过承诺</w:t>
            </w:r>
            <w:r w:rsidRPr="00327846">
              <w:rPr>
                <w:rFonts w:ascii="Times New Roman" w:eastAsia="宋体" w:hAnsi="Times New Roman"/>
                <w:color w:val="000000"/>
                <w:kern w:val="0"/>
              </w:rPr>
              <w:lastRenderedPageBreak/>
              <w:t>净利润</w:t>
            </w:r>
            <w:proofErr w:type="gramStart"/>
            <w:r w:rsidRPr="00327846">
              <w:rPr>
                <w:rFonts w:ascii="Times New Roman" w:eastAsia="宋体" w:hAnsi="Times New Roman"/>
                <w:color w:val="000000"/>
                <w:kern w:val="0"/>
              </w:rPr>
              <w:t>数部分</w:t>
            </w:r>
            <w:proofErr w:type="gramEnd"/>
            <w:r w:rsidRPr="00327846">
              <w:rPr>
                <w:rFonts w:ascii="Times New Roman" w:eastAsia="宋体" w:hAnsi="Times New Roman"/>
                <w:color w:val="000000"/>
                <w:kern w:val="0"/>
              </w:rPr>
              <w:t>的</w:t>
            </w:r>
            <w:r w:rsidRPr="00327846">
              <w:rPr>
                <w:rFonts w:ascii="Times New Roman" w:eastAsia="宋体" w:hAnsi="Times New Roman"/>
                <w:color w:val="000000"/>
                <w:kern w:val="0"/>
              </w:rPr>
              <w:t>50%</w:t>
            </w:r>
            <w:r w:rsidRPr="00327846">
              <w:rPr>
                <w:rFonts w:ascii="Times New Roman" w:eastAsia="宋体" w:hAnsi="Times New Roman"/>
                <w:color w:val="000000"/>
                <w:kern w:val="0"/>
              </w:rPr>
              <w:t>作为奖金奖励给届时仍于北洋天青任职的核心管理团队成员</w:t>
            </w:r>
          </w:p>
        </w:tc>
        <w:tc>
          <w:tcPr>
            <w:tcW w:w="694" w:type="pct"/>
            <w:tcBorders>
              <w:top w:val="single" w:sz="4" w:space="0" w:color="auto"/>
              <w:left w:val="single" w:sz="4" w:space="0" w:color="auto"/>
              <w:bottom w:val="single" w:sz="4" w:space="0" w:color="auto"/>
              <w:right w:val="nil"/>
            </w:tcBorders>
            <w:vAlign w:val="center"/>
          </w:tcPr>
          <w:p w14:paraId="5EE7F86A" w14:textId="77777777" w:rsidR="00D81708" w:rsidRPr="00327846" w:rsidRDefault="00D81708" w:rsidP="00B53915">
            <w:pPr>
              <w:jc w:val="center"/>
              <w:rPr>
                <w:rFonts w:ascii="Times New Roman" w:eastAsia="宋体" w:hAnsi="Times New Roman"/>
                <w:color w:val="000000"/>
                <w:kern w:val="0"/>
              </w:rPr>
            </w:pPr>
            <w:r>
              <w:rPr>
                <w:rFonts w:ascii="Times New Roman" w:eastAsia="宋体" w:hAnsi="Times New Roman" w:hint="eastAsia"/>
                <w:color w:val="000000"/>
                <w:kern w:val="0"/>
              </w:rPr>
              <w:lastRenderedPageBreak/>
              <w:t>延长超额业绩奖励期限</w:t>
            </w:r>
          </w:p>
        </w:tc>
      </w:tr>
      <w:tr w:rsidR="00D81708" w:rsidRPr="00327846" w14:paraId="2B2FCF73" w14:textId="77777777" w:rsidTr="00B53915">
        <w:trPr>
          <w:trHeight w:val="397"/>
          <w:jc w:val="center"/>
        </w:trPr>
        <w:tc>
          <w:tcPr>
            <w:tcW w:w="647" w:type="pct"/>
            <w:tcBorders>
              <w:top w:val="single" w:sz="4" w:space="0" w:color="auto"/>
              <w:left w:val="nil"/>
              <w:bottom w:val="single" w:sz="4" w:space="0" w:color="auto"/>
              <w:right w:val="single" w:sz="4" w:space="0" w:color="auto"/>
            </w:tcBorders>
            <w:noWrap/>
            <w:vAlign w:val="center"/>
          </w:tcPr>
          <w:p w14:paraId="098C0AE6"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lastRenderedPageBreak/>
              <w:t>是否构成重大资产重组</w:t>
            </w:r>
          </w:p>
        </w:tc>
        <w:tc>
          <w:tcPr>
            <w:tcW w:w="1745" w:type="pct"/>
            <w:tcBorders>
              <w:top w:val="single" w:sz="4" w:space="0" w:color="auto"/>
              <w:left w:val="single" w:sz="4" w:space="0" w:color="auto"/>
              <w:bottom w:val="single" w:sz="4" w:space="0" w:color="auto"/>
              <w:right w:val="single" w:sz="4" w:space="0" w:color="auto"/>
            </w:tcBorders>
            <w:vAlign w:val="center"/>
          </w:tcPr>
          <w:p w14:paraId="5C8ADFC3"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不构成重大资产重组</w:t>
            </w:r>
          </w:p>
        </w:tc>
        <w:tc>
          <w:tcPr>
            <w:tcW w:w="1914" w:type="pct"/>
            <w:tcBorders>
              <w:top w:val="single" w:sz="4" w:space="0" w:color="auto"/>
              <w:left w:val="single" w:sz="4" w:space="0" w:color="auto"/>
              <w:bottom w:val="single" w:sz="4" w:space="0" w:color="auto"/>
              <w:right w:val="single" w:sz="4" w:space="0" w:color="auto"/>
            </w:tcBorders>
            <w:noWrap/>
            <w:vAlign w:val="center"/>
          </w:tcPr>
          <w:p w14:paraId="56B71D3F"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不构成重大资产重组</w:t>
            </w:r>
          </w:p>
        </w:tc>
        <w:tc>
          <w:tcPr>
            <w:tcW w:w="694" w:type="pct"/>
            <w:tcBorders>
              <w:top w:val="single" w:sz="4" w:space="0" w:color="auto"/>
              <w:left w:val="single" w:sz="4" w:space="0" w:color="auto"/>
              <w:bottom w:val="single" w:sz="4" w:space="0" w:color="auto"/>
              <w:right w:val="nil"/>
            </w:tcBorders>
            <w:vAlign w:val="center"/>
          </w:tcPr>
          <w:p w14:paraId="49E9D8D2" w14:textId="77777777" w:rsidR="00D81708" w:rsidRPr="00327846" w:rsidRDefault="00D81708" w:rsidP="00B53915">
            <w:pPr>
              <w:jc w:val="center"/>
              <w:rPr>
                <w:rFonts w:ascii="Times New Roman" w:eastAsia="宋体" w:hAnsi="Times New Roman"/>
                <w:color w:val="000000"/>
                <w:kern w:val="0"/>
              </w:rPr>
            </w:pPr>
            <w:proofErr w:type="gramStart"/>
            <w:r w:rsidRPr="00327846">
              <w:rPr>
                <w:rFonts w:ascii="Times New Roman" w:eastAsia="宋体" w:hAnsi="Times New Roman"/>
                <w:color w:val="000000"/>
                <w:kern w:val="0"/>
              </w:rPr>
              <w:t>无调整</w:t>
            </w:r>
            <w:proofErr w:type="gramEnd"/>
          </w:p>
        </w:tc>
      </w:tr>
      <w:tr w:rsidR="00D81708" w:rsidRPr="00327846" w14:paraId="48D4DFEA" w14:textId="77777777" w:rsidTr="00B53915">
        <w:trPr>
          <w:trHeight w:val="397"/>
          <w:jc w:val="center"/>
        </w:trPr>
        <w:tc>
          <w:tcPr>
            <w:tcW w:w="647" w:type="pct"/>
            <w:tcBorders>
              <w:top w:val="single" w:sz="4" w:space="0" w:color="auto"/>
              <w:left w:val="nil"/>
              <w:bottom w:val="single" w:sz="12" w:space="0" w:color="auto"/>
              <w:right w:val="single" w:sz="4" w:space="0" w:color="auto"/>
            </w:tcBorders>
            <w:noWrap/>
            <w:vAlign w:val="center"/>
          </w:tcPr>
          <w:p w14:paraId="64363C7A"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配套募集资金</w:t>
            </w:r>
          </w:p>
        </w:tc>
        <w:tc>
          <w:tcPr>
            <w:tcW w:w="1745" w:type="pct"/>
            <w:tcBorders>
              <w:top w:val="single" w:sz="4" w:space="0" w:color="auto"/>
              <w:left w:val="single" w:sz="4" w:space="0" w:color="auto"/>
              <w:bottom w:val="single" w:sz="12" w:space="0" w:color="auto"/>
              <w:right w:val="single" w:sz="4" w:space="0" w:color="auto"/>
            </w:tcBorders>
            <w:vAlign w:val="center"/>
          </w:tcPr>
          <w:p w14:paraId="0FBAFC06"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拟向符合条件的</w:t>
            </w:r>
            <w:r w:rsidRPr="00327846">
              <w:rPr>
                <w:rFonts w:ascii="Times New Roman" w:eastAsia="宋体" w:hAnsi="Times New Roman"/>
                <w:color w:val="000000"/>
                <w:kern w:val="0"/>
              </w:rPr>
              <w:t>35</w:t>
            </w:r>
            <w:proofErr w:type="gramStart"/>
            <w:r w:rsidRPr="00327846">
              <w:rPr>
                <w:rFonts w:ascii="Times New Roman" w:eastAsia="宋体" w:hAnsi="Times New Roman"/>
                <w:color w:val="000000"/>
                <w:kern w:val="0"/>
              </w:rPr>
              <w:t>名特定</w:t>
            </w:r>
            <w:proofErr w:type="gramEnd"/>
            <w:r w:rsidRPr="00327846">
              <w:rPr>
                <w:rFonts w:ascii="Times New Roman" w:eastAsia="宋体" w:hAnsi="Times New Roman"/>
                <w:color w:val="000000"/>
                <w:kern w:val="0"/>
              </w:rPr>
              <w:t>投资者募集配套资金，配套募集资金不超过本次交易中以发行股份方式购买资产的交易价格的</w:t>
            </w:r>
            <w:r w:rsidRPr="00327846">
              <w:rPr>
                <w:rFonts w:ascii="Times New Roman" w:eastAsia="宋体" w:hAnsi="Times New Roman"/>
                <w:color w:val="000000"/>
                <w:kern w:val="0"/>
              </w:rPr>
              <w:t>100%</w:t>
            </w:r>
          </w:p>
        </w:tc>
        <w:tc>
          <w:tcPr>
            <w:tcW w:w="1914" w:type="pct"/>
            <w:tcBorders>
              <w:top w:val="single" w:sz="4" w:space="0" w:color="auto"/>
              <w:left w:val="single" w:sz="4" w:space="0" w:color="auto"/>
              <w:bottom w:val="single" w:sz="12" w:space="0" w:color="auto"/>
              <w:right w:val="single" w:sz="4" w:space="0" w:color="auto"/>
            </w:tcBorders>
            <w:noWrap/>
            <w:vAlign w:val="center"/>
          </w:tcPr>
          <w:p w14:paraId="136334A5" w14:textId="77777777" w:rsidR="00D81708" w:rsidRPr="00327846" w:rsidRDefault="00D81708" w:rsidP="00B53915">
            <w:pPr>
              <w:rPr>
                <w:rFonts w:ascii="Times New Roman" w:eastAsia="宋体" w:hAnsi="Times New Roman"/>
                <w:color w:val="000000"/>
                <w:kern w:val="0"/>
              </w:rPr>
            </w:pPr>
            <w:r w:rsidRPr="00327846">
              <w:rPr>
                <w:rFonts w:ascii="Times New Roman" w:eastAsia="宋体" w:hAnsi="Times New Roman"/>
                <w:color w:val="000000"/>
                <w:kern w:val="0"/>
              </w:rPr>
              <w:t>拟向符合条件的</w:t>
            </w:r>
            <w:r w:rsidRPr="00327846">
              <w:rPr>
                <w:rFonts w:ascii="Times New Roman" w:eastAsia="宋体" w:hAnsi="Times New Roman"/>
                <w:color w:val="000000"/>
                <w:kern w:val="0"/>
              </w:rPr>
              <w:t>35</w:t>
            </w:r>
            <w:proofErr w:type="gramStart"/>
            <w:r w:rsidRPr="00327846">
              <w:rPr>
                <w:rFonts w:ascii="Times New Roman" w:eastAsia="宋体" w:hAnsi="Times New Roman"/>
                <w:color w:val="000000"/>
                <w:kern w:val="0"/>
              </w:rPr>
              <w:t>名特定</w:t>
            </w:r>
            <w:proofErr w:type="gramEnd"/>
            <w:r w:rsidRPr="00327846">
              <w:rPr>
                <w:rFonts w:ascii="Times New Roman" w:eastAsia="宋体" w:hAnsi="Times New Roman"/>
                <w:color w:val="000000"/>
                <w:kern w:val="0"/>
              </w:rPr>
              <w:t>投资者募集配套资金，配套募集资金不超过本次交易中以发行股份方式购买资产的交易价格的</w:t>
            </w:r>
            <w:r w:rsidRPr="00327846">
              <w:rPr>
                <w:rFonts w:ascii="Times New Roman" w:eastAsia="宋体" w:hAnsi="Times New Roman"/>
                <w:color w:val="000000"/>
                <w:kern w:val="0"/>
              </w:rPr>
              <w:t>100%</w:t>
            </w:r>
          </w:p>
        </w:tc>
        <w:tc>
          <w:tcPr>
            <w:tcW w:w="694" w:type="pct"/>
            <w:tcBorders>
              <w:top w:val="single" w:sz="4" w:space="0" w:color="auto"/>
              <w:left w:val="single" w:sz="4" w:space="0" w:color="auto"/>
              <w:bottom w:val="single" w:sz="12" w:space="0" w:color="auto"/>
              <w:right w:val="nil"/>
            </w:tcBorders>
            <w:vAlign w:val="center"/>
          </w:tcPr>
          <w:p w14:paraId="5FE755D6" w14:textId="77777777" w:rsidR="00D81708" w:rsidRPr="00327846" w:rsidRDefault="00D81708" w:rsidP="00B53915">
            <w:pPr>
              <w:jc w:val="center"/>
              <w:rPr>
                <w:rFonts w:ascii="Times New Roman" w:eastAsia="宋体" w:hAnsi="Times New Roman"/>
                <w:color w:val="000000"/>
                <w:kern w:val="0"/>
              </w:rPr>
            </w:pPr>
            <w:proofErr w:type="gramStart"/>
            <w:r w:rsidRPr="00327846">
              <w:rPr>
                <w:rFonts w:ascii="Times New Roman" w:eastAsia="宋体" w:hAnsi="Times New Roman"/>
                <w:color w:val="000000"/>
                <w:kern w:val="0"/>
              </w:rPr>
              <w:t>无调整</w:t>
            </w:r>
            <w:proofErr w:type="gramEnd"/>
          </w:p>
        </w:tc>
      </w:tr>
    </w:tbl>
    <w:bookmarkEnd w:id="2"/>
    <w:p w14:paraId="359FC1CF" w14:textId="6FF6BF67" w:rsidR="004F4123" w:rsidRPr="004F4123" w:rsidRDefault="004F4123" w:rsidP="004F4123">
      <w:pPr>
        <w:adjustRightInd w:val="0"/>
        <w:snapToGrid w:val="0"/>
        <w:spacing w:beforeLines="50" w:before="156" w:line="360" w:lineRule="auto"/>
        <w:ind w:firstLineChars="200" w:firstLine="482"/>
        <w:rPr>
          <w:rFonts w:ascii="Times New Roman" w:eastAsia="宋体" w:hAnsi="Times New Roman"/>
          <w:b/>
          <w:bCs/>
          <w:sz w:val="24"/>
          <w:szCs w:val="24"/>
        </w:rPr>
      </w:pPr>
      <w:r w:rsidRPr="004F4123">
        <w:rPr>
          <w:rFonts w:ascii="Times New Roman" w:eastAsia="宋体" w:hAnsi="Times New Roman" w:hint="eastAsia"/>
          <w:b/>
          <w:bCs/>
          <w:sz w:val="24"/>
          <w:szCs w:val="24"/>
        </w:rPr>
        <w:t>二、</w:t>
      </w:r>
      <w:r w:rsidR="008E221B">
        <w:rPr>
          <w:rFonts w:ascii="Times New Roman" w:eastAsia="宋体" w:hAnsi="Times New Roman" w:hint="eastAsia"/>
          <w:b/>
          <w:bCs/>
          <w:sz w:val="24"/>
          <w:szCs w:val="24"/>
        </w:rPr>
        <w:t>本次交易方案</w:t>
      </w:r>
      <w:r w:rsidRPr="004F4123">
        <w:rPr>
          <w:rFonts w:ascii="Times New Roman" w:eastAsia="宋体" w:hAnsi="Times New Roman" w:hint="eastAsia"/>
          <w:b/>
          <w:bCs/>
          <w:sz w:val="24"/>
          <w:szCs w:val="24"/>
        </w:rPr>
        <w:t>调整不构成重大调整</w:t>
      </w:r>
    </w:p>
    <w:p w14:paraId="381D5122" w14:textId="77777777" w:rsidR="00A274D7" w:rsidRDefault="00A274D7" w:rsidP="00A274D7">
      <w:pPr>
        <w:adjustRightInd w:val="0"/>
        <w:snapToGrid w:val="0"/>
        <w:spacing w:beforeLines="50" w:before="156" w:line="360" w:lineRule="auto"/>
        <w:ind w:firstLineChars="200" w:firstLine="480"/>
        <w:rPr>
          <w:rFonts w:ascii="Times New Roman" w:eastAsia="宋体" w:hAnsi="Times New Roman"/>
          <w:color w:val="000000"/>
          <w:sz w:val="24"/>
          <w:szCs w:val="24"/>
        </w:rPr>
      </w:pPr>
      <w:r w:rsidRPr="00C12753">
        <w:rPr>
          <w:rFonts w:ascii="Times New Roman" w:eastAsia="宋体" w:hAnsi="Times New Roman" w:hint="eastAsia"/>
          <w:color w:val="000000"/>
          <w:sz w:val="24"/>
          <w:szCs w:val="24"/>
        </w:rPr>
        <w:t>根据</w:t>
      </w:r>
      <w:r w:rsidRPr="00B54015">
        <w:rPr>
          <w:rFonts w:ascii="Times New Roman" w:eastAsia="宋体" w:hAnsi="Times New Roman" w:hint="eastAsia"/>
          <w:color w:val="000000"/>
          <w:sz w:val="24"/>
          <w:szCs w:val="24"/>
        </w:rPr>
        <w:t>《上市公司重大资产重组管理办法》第二十八条</w:t>
      </w:r>
      <w:r>
        <w:rPr>
          <w:rFonts w:ascii="Times New Roman" w:eastAsia="宋体" w:hAnsi="Times New Roman" w:hint="eastAsia"/>
          <w:color w:val="000000"/>
          <w:sz w:val="24"/>
          <w:szCs w:val="24"/>
        </w:rPr>
        <w:t>，</w:t>
      </w:r>
      <w:r w:rsidRPr="00B54015">
        <w:rPr>
          <w:rFonts w:ascii="Times New Roman" w:eastAsia="宋体" w:hAnsi="Times New Roman" w:hint="eastAsia"/>
          <w:color w:val="000000"/>
          <w:sz w:val="24"/>
          <w:szCs w:val="24"/>
        </w:rPr>
        <w:t>股东大会</w:t>
      </w:r>
      <w:proofErr w:type="gramStart"/>
      <w:r w:rsidRPr="00B54015">
        <w:rPr>
          <w:rFonts w:ascii="Times New Roman" w:eastAsia="宋体" w:hAnsi="Times New Roman" w:hint="eastAsia"/>
          <w:color w:val="000000"/>
          <w:sz w:val="24"/>
          <w:szCs w:val="24"/>
        </w:rPr>
        <w:t>作出</w:t>
      </w:r>
      <w:proofErr w:type="gramEnd"/>
      <w:r w:rsidRPr="00B54015">
        <w:rPr>
          <w:rFonts w:ascii="Times New Roman" w:eastAsia="宋体" w:hAnsi="Times New Roman" w:hint="eastAsia"/>
          <w:color w:val="000000"/>
          <w:sz w:val="24"/>
          <w:szCs w:val="24"/>
        </w:rPr>
        <w:t>重大资产重组的决议，上市公司拟对交易对象、交易标的、交易价格等</w:t>
      </w:r>
      <w:proofErr w:type="gramStart"/>
      <w:r w:rsidRPr="00B54015">
        <w:rPr>
          <w:rFonts w:ascii="Times New Roman" w:eastAsia="宋体" w:hAnsi="Times New Roman" w:hint="eastAsia"/>
          <w:color w:val="000000"/>
          <w:sz w:val="24"/>
          <w:szCs w:val="24"/>
        </w:rPr>
        <w:t>作出</w:t>
      </w:r>
      <w:proofErr w:type="gramEnd"/>
      <w:r w:rsidRPr="00B54015">
        <w:rPr>
          <w:rFonts w:ascii="Times New Roman" w:eastAsia="宋体" w:hAnsi="Times New Roman" w:hint="eastAsia"/>
          <w:color w:val="000000"/>
          <w:sz w:val="24"/>
          <w:szCs w:val="24"/>
        </w:rPr>
        <w:t>变更，构成对原交易方案重大调整的，应当在董事会表决通过后重新提交股东大会审议，并及时公告相关文件。</w:t>
      </w:r>
    </w:p>
    <w:p w14:paraId="57BE4FC1" w14:textId="77777777" w:rsidR="00A274D7" w:rsidRPr="00FA6D41" w:rsidRDefault="00A274D7" w:rsidP="00A274D7">
      <w:pPr>
        <w:adjustRightInd w:val="0"/>
        <w:snapToGrid w:val="0"/>
        <w:spacing w:beforeLines="50" w:before="156" w:line="360" w:lineRule="auto"/>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与前次交易方案相比，</w:t>
      </w:r>
      <w:r w:rsidRPr="00C12753">
        <w:rPr>
          <w:rFonts w:ascii="Times New Roman" w:eastAsia="宋体" w:hAnsi="Times New Roman"/>
          <w:color w:val="000000"/>
          <w:sz w:val="24"/>
          <w:szCs w:val="24"/>
        </w:rPr>
        <w:t>本次</w:t>
      </w:r>
      <w:r>
        <w:rPr>
          <w:rFonts w:ascii="Times New Roman" w:eastAsia="宋体" w:hAnsi="Times New Roman" w:hint="eastAsia"/>
          <w:color w:val="000000"/>
          <w:sz w:val="24"/>
          <w:szCs w:val="24"/>
        </w:rPr>
        <w:t>交易方案未对</w:t>
      </w:r>
      <w:r w:rsidRPr="00B54015">
        <w:rPr>
          <w:rFonts w:ascii="Times New Roman" w:eastAsia="宋体" w:hAnsi="Times New Roman" w:hint="eastAsia"/>
          <w:color w:val="000000"/>
          <w:sz w:val="24"/>
          <w:szCs w:val="24"/>
        </w:rPr>
        <w:t>交易对象、交易标的、交易价格</w:t>
      </w:r>
      <w:proofErr w:type="gramStart"/>
      <w:r>
        <w:rPr>
          <w:rFonts w:ascii="Times New Roman" w:eastAsia="宋体" w:hAnsi="Times New Roman" w:hint="eastAsia"/>
          <w:color w:val="000000"/>
          <w:sz w:val="24"/>
          <w:szCs w:val="24"/>
        </w:rPr>
        <w:t>作出</w:t>
      </w:r>
      <w:proofErr w:type="gramEnd"/>
      <w:r>
        <w:rPr>
          <w:rFonts w:ascii="Times New Roman" w:eastAsia="宋体" w:hAnsi="Times New Roman" w:hint="eastAsia"/>
          <w:color w:val="000000"/>
          <w:sz w:val="24"/>
          <w:szCs w:val="24"/>
        </w:rPr>
        <w:t>变更</w:t>
      </w:r>
      <w:r w:rsidRPr="00C12753">
        <w:rPr>
          <w:rFonts w:ascii="Times New Roman" w:eastAsia="宋体" w:hAnsi="Times New Roman"/>
          <w:color w:val="000000"/>
          <w:sz w:val="24"/>
          <w:szCs w:val="24"/>
        </w:rPr>
        <w:t>。因此，本</w:t>
      </w:r>
      <w:r>
        <w:rPr>
          <w:rFonts w:ascii="Times New Roman" w:eastAsia="宋体" w:hAnsi="Times New Roman" w:hint="eastAsia"/>
          <w:color w:val="000000"/>
          <w:sz w:val="24"/>
          <w:szCs w:val="24"/>
        </w:rPr>
        <w:t>次交易方案的</w:t>
      </w:r>
      <w:r w:rsidRPr="00C12753">
        <w:rPr>
          <w:rFonts w:ascii="Times New Roman" w:eastAsia="宋体" w:hAnsi="Times New Roman"/>
          <w:color w:val="000000"/>
          <w:sz w:val="24"/>
          <w:szCs w:val="24"/>
        </w:rPr>
        <w:t>调整不构成</w:t>
      </w:r>
      <w:r>
        <w:rPr>
          <w:rFonts w:ascii="Times New Roman" w:eastAsia="宋体" w:hAnsi="Times New Roman" w:hint="eastAsia"/>
          <w:color w:val="000000"/>
          <w:sz w:val="24"/>
          <w:szCs w:val="24"/>
        </w:rPr>
        <w:t>对</w:t>
      </w:r>
      <w:r w:rsidRPr="00C12753">
        <w:rPr>
          <w:rFonts w:ascii="Times New Roman" w:eastAsia="宋体" w:hAnsi="Times New Roman"/>
          <w:color w:val="000000"/>
          <w:sz w:val="24"/>
          <w:szCs w:val="24"/>
        </w:rPr>
        <w:t>重组方案的重大调整。</w:t>
      </w:r>
    </w:p>
    <w:p w14:paraId="0E379F69" w14:textId="1942A4AA" w:rsidR="004F4123" w:rsidRPr="004F4123" w:rsidRDefault="004F4123" w:rsidP="004F4123">
      <w:pPr>
        <w:adjustRightInd w:val="0"/>
        <w:snapToGrid w:val="0"/>
        <w:spacing w:beforeLines="50" w:before="156" w:line="360" w:lineRule="auto"/>
        <w:ind w:firstLineChars="200" w:firstLine="482"/>
        <w:rPr>
          <w:rFonts w:ascii="Times New Roman" w:eastAsia="宋体" w:hAnsi="Times New Roman"/>
          <w:b/>
          <w:bCs/>
          <w:sz w:val="24"/>
          <w:szCs w:val="24"/>
        </w:rPr>
      </w:pPr>
      <w:r w:rsidRPr="004F4123">
        <w:rPr>
          <w:rFonts w:ascii="Times New Roman" w:eastAsia="宋体" w:hAnsi="Times New Roman" w:hint="eastAsia"/>
          <w:b/>
          <w:bCs/>
          <w:sz w:val="24"/>
          <w:szCs w:val="24"/>
        </w:rPr>
        <w:t>三、</w:t>
      </w:r>
      <w:r w:rsidR="008E221B">
        <w:rPr>
          <w:rFonts w:ascii="Times New Roman" w:eastAsia="宋体" w:hAnsi="Times New Roman" w:hint="eastAsia"/>
          <w:b/>
          <w:bCs/>
          <w:sz w:val="24"/>
          <w:szCs w:val="24"/>
        </w:rPr>
        <w:t>本次交易方案</w:t>
      </w:r>
      <w:r w:rsidRPr="004F4123">
        <w:rPr>
          <w:rFonts w:ascii="Times New Roman" w:eastAsia="宋体" w:hAnsi="Times New Roman" w:hint="eastAsia"/>
          <w:b/>
          <w:bCs/>
          <w:sz w:val="24"/>
          <w:szCs w:val="24"/>
        </w:rPr>
        <w:t>调整履行的相关程序</w:t>
      </w:r>
    </w:p>
    <w:p w14:paraId="49C65841" w14:textId="782790D9" w:rsidR="00A274D7" w:rsidRPr="004F4123" w:rsidRDefault="00A274D7" w:rsidP="00A274D7">
      <w:pPr>
        <w:widowControl/>
        <w:tabs>
          <w:tab w:val="center" w:pos="4153"/>
          <w:tab w:val="left" w:pos="6390"/>
        </w:tabs>
        <w:spacing w:line="360" w:lineRule="auto"/>
        <w:ind w:firstLineChars="200" w:firstLine="480"/>
        <w:rPr>
          <w:rFonts w:ascii="Times New Roman" w:eastAsia="宋体" w:hAnsi="Times New Roman"/>
          <w:sz w:val="24"/>
          <w:szCs w:val="24"/>
        </w:rPr>
      </w:pPr>
      <w:r w:rsidRPr="009814C8">
        <w:rPr>
          <w:rFonts w:ascii="Times New Roman" w:eastAsia="宋体" w:hAnsi="Times New Roman"/>
          <w:color w:val="000000"/>
          <w:sz w:val="24"/>
          <w:szCs w:val="24"/>
        </w:rPr>
        <w:t>公司</w:t>
      </w:r>
      <w:r>
        <w:rPr>
          <w:rFonts w:ascii="Times New Roman" w:eastAsia="宋体" w:hAnsi="Times New Roman" w:hint="eastAsia"/>
          <w:color w:val="000000"/>
          <w:sz w:val="24"/>
          <w:szCs w:val="24"/>
        </w:rPr>
        <w:t>已于</w:t>
      </w:r>
      <w:r w:rsidRPr="009814C8">
        <w:rPr>
          <w:rFonts w:ascii="Times New Roman" w:eastAsia="宋体" w:hAnsi="Times New Roman"/>
          <w:color w:val="000000"/>
          <w:sz w:val="24"/>
          <w:szCs w:val="24"/>
        </w:rPr>
        <w:t>2021</w:t>
      </w:r>
      <w:r w:rsidRPr="009814C8">
        <w:rPr>
          <w:rFonts w:ascii="Times New Roman" w:eastAsia="宋体" w:hAnsi="Times New Roman"/>
          <w:color w:val="000000"/>
          <w:sz w:val="24"/>
          <w:szCs w:val="24"/>
        </w:rPr>
        <w:t>年</w:t>
      </w:r>
      <w:r>
        <w:rPr>
          <w:rFonts w:ascii="Times New Roman" w:eastAsia="宋体" w:hAnsi="Times New Roman"/>
          <w:color w:val="000000"/>
          <w:sz w:val="24"/>
          <w:szCs w:val="24"/>
        </w:rPr>
        <w:t>9</w:t>
      </w:r>
      <w:r>
        <w:rPr>
          <w:rFonts w:ascii="Times New Roman" w:eastAsia="宋体" w:hAnsi="Times New Roman" w:hint="eastAsia"/>
          <w:color w:val="000000"/>
          <w:sz w:val="24"/>
          <w:szCs w:val="24"/>
        </w:rPr>
        <w:t>月</w:t>
      </w:r>
      <w:r>
        <w:rPr>
          <w:rFonts w:ascii="Times New Roman" w:eastAsia="宋体" w:hAnsi="Times New Roman" w:hint="eastAsia"/>
          <w:color w:val="000000"/>
          <w:sz w:val="24"/>
          <w:szCs w:val="24"/>
        </w:rPr>
        <w:t>3</w:t>
      </w:r>
      <w:r w:rsidRPr="009814C8">
        <w:rPr>
          <w:rFonts w:ascii="Times New Roman" w:eastAsia="宋体" w:hAnsi="Times New Roman"/>
          <w:color w:val="000000"/>
          <w:sz w:val="24"/>
          <w:szCs w:val="24"/>
        </w:rPr>
        <w:t>日召开</w:t>
      </w:r>
      <w:r w:rsidRPr="007352F6">
        <w:rPr>
          <w:rFonts w:ascii="Times New Roman" w:eastAsia="宋体" w:hAnsi="Times New Roman" w:hint="eastAsia"/>
          <w:color w:val="000000"/>
          <w:sz w:val="24"/>
          <w:szCs w:val="24"/>
        </w:rPr>
        <w:t>第十届第十二次临时会议</w:t>
      </w:r>
      <w:r>
        <w:rPr>
          <w:rFonts w:ascii="Times New Roman" w:eastAsia="宋体" w:hAnsi="Times New Roman"/>
          <w:color w:val="000000"/>
          <w:sz w:val="24"/>
          <w:szCs w:val="24"/>
        </w:rPr>
        <w:t>，审议通过</w:t>
      </w:r>
      <w:r w:rsidRPr="00610D82">
        <w:rPr>
          <w:rFonts w:ascii="Times New Roman" w:eastAsia="宋体" w:hAnsi="Times New Roman" w:hint="eastAsia"/>
          <w:color w:val="000000"/>
          <w:sz w:val="24"/>
          <w:szCs w:val="24"/>
        </w:rPr>
        <w:t>《关于公司发行股份及支付现金购买资产并募集配套资金方案的议案》</w:t>
      </w:r>
      <w:r w:rsidRPr="009814C8">
        <w:rPr>
          <w:rFonts w:ascii="Times New Roman" w:eastAsia="宋体" w:hAnsi="Times New Roman" w:hint="eastAsia"/>
          <w:color w:val="000000"/>
          <w:sz w:val="24"/>
          <w:szCs w:val="24"/>
        </w:rPr>
        <w:t>等相关议案</w:t>
      </w:r>
      <w:r>
        <w:rPr>
          <w:rFonts w:ascii="Times New Roman" w:eastAsia="宋体" w:hAnsi="Times New Roman" w:hint="eastAsia"/>
          <w:color w:val="000000"/>
          <w:sz w:val="24"/>
          <w:szCs w:val="24"/>
        </w:rPr>
        <w:t>，并于</w:t>
      </w:r>
      <w:r w:rsidRPr="009814C8">
        <w:rPr>
          <w:rFonts w:ascii="Times New Roman" w:eastAsia="宋体" w:hAnsi="Times New Roman"/>
          <w:color w:val="000000"/>
          <w:sz w:val="24"/>
          <w:szCs w:val="24"/>
        </w:rPr>
        <w:t>2021</w:t>
      </w:r>
      <w:r w:rsidRPr="009814C8">
        <w:rPr>
          <w:rFonts w:ascii="Times New Roman" w:eastAsia="宋体" w:hAnsi="Times New Roman"/>
          <w:color w:val="000000"/>
          <w:sz w:val="24"/>
          <w:szCs w:val="24"/>
        </w:rPr>
        <w:t>年</w:t>
      </w:r>
      <w:r>
        <w:rPr>
          <w:rFonts w:ascii="Times New Roman" w:eastAsia="宋体" w:hAnsi="Times New Roman"/>
          <w:color w:val="000000"/>
          <w:sz w:val="24"/>
          <w:szCs w:val="24"/>
        </w:rPr>
        <w:t>11</w:t>
      </w:r>
      <w:r w:rsidRPr="009814C8">
        <w:rPr>
          <w:rFonts w:ascii="Times New Roman" w:eastAsia="宋体" w:hAnsi="Times New Roman"/>
          <w:color w:val="000000"/>
          <w:sz w:val="24"/>
          <w:szCs w:val="24"/>
        </w:rPr>
        <w:t>月</w:t>
      </w:r>
      <w:r w:rsidR="00F847EB">
        <w:rPr>
          <w:rFonts w:ascii="Times New Roman" w:eastAsia="宋体" w:hAnsi="Times New Roman"/>
          <w:color w:val="000000"/>
          <w:sz w:val="24"/>
          <w:szCs w:val="24"/>
        </w:rPr>
        <w:t>23</w:t>
      </w:r>
      <w:r w:rsidRPr="009814C8">
        <w:rPr>
          <w:rFonts w:ascii="Times New Roman" w:eastAsia="宋体" w:hAnsi="Times New Roman"/>
          <w:color w:val="000000"/>
          <w:sz w:val="24"/>
          <w:szCs w:val="24"/>
        </w:rPr>
        <w:t>日召开</w:t>
      </w:r>
      <w:r w:rsidRPr="007352F6">
        <w:rPr>
          <w:rFonts w:ascii="Times New Roman" w:eastAsia="宋体" w:hAnsi="Times New Roman" w:hint="eastAsia"/>
          <w:color w:val="000000"/>
          <w:sz w:val="24"/>
          <w:szCs w:val="24"/>
        </w:rPr>
        <w:t>第十届董事会第十</w:t>
      </w:r>
      <w:r>
        <w:rPr>
          <w:rFonts w:ascii="Times New Roman" w:eastAsia="宋体" w:hAnsi="Times New Roman" w:hint="eastAsia"/>
          <w:color w:val="000000"/>
          <w:sz w:val="24"/>
          <w:szCs w:val="24"/>
        </w:rPr>
        <w:t>三</w:t>
      </w:r>
      <w:r w:rsidRPr="007352F6">
        <w:rPr>
          <w:rFonts w:ascii="Times New Roman" w:eastAsia="宋体" w:hAnsi="Times New Roman" w:hint="eastAsia"/>
          <w:color w:val="000000"/>
          <w:sz w:val="24"/>
          <w:szCs w:val="24"/>
        </w:rPr>
        <w:t>次临时会议</w:t>
      </w:r>
      <w:r>
        <w:rPr>
          <w:rFonts w:ascii="Times New Roman" w:eastAsia="宋体" w:hAnsi="Times New Roman"/>
          <w:color w:val="000000"/>
          <w:sz w:val="24"/>
          <w:szCs w:val="24"/>
        </w:rPr>
        <w:t>，审议通过</w:t>
      </w:r>
      <w:r w:rsidRPr="00610D82">
        <w:rPr>
          <w:rFonts w:ascii="Times New Roman" w:eastAsia="宋体" w:hAnsi="Times New Roman" w:hint="eastAsia"/>
          <w:color w:val="000000"/>
          <w:sz w:val="24"/>
          <w:szCs w:val="24"/>
        </w:rPr>
        <w:t>《</w:t>
      </w:r>
      <w:r w:rsidR="00C011AB">
        <w:rPr>
          <w:rFonts w:ascii="Times New Roman" w:eastAsia="宋体" w:hAnsi="Times New Roman" w:hint="eastAsia"/>
          <w:color w:val="000000"/>
          <w:sz w:val="24"/>
          <w:szCs w:val="24"/>
        </w:rPr>
        <w:t>关于调整公司发行股份及支付现金购买资产并募集配套资金方案的议案</w:t>
      </w:r>
      <w:r w:rsidRPr="00610D82">
        <w:rPr>
          <w:rFonts w:ascii="Times New Roman" w:eastAsia="宋体" w:hAnsi="Times New Roman" w:hint="eastAsia"/>
          <w:color w:val="000000"/>
          <w:sz w:val="24"/>
          <w:szCs w:val="24"/>
        </w:rPr>
        <w:t>》</w:t>
      </w:r>
      <w:r w:rsidRPr="009814C8">
        <w:rPr>
          <w:rFonts w:ascii="Times New Roman" w:eastAsia="宋体" w:hAnsi="Times New Roman" w:hint="eastAsia"/>
          <w:color w:val="000000"/>
          <w:sz w:val="24"/>
          <w:szCs w:val="24"/>
        </w:rPr>
        <w:t>等相关议案</w:t>
      </w:r>
      <w:r>
        <w:rPr>
          <w:rFonts w:ascii="Times New Roman" w:eastAsia="宋体" w:hAnsi="Times New Roman" w:hint="eastAsia"/>
          <w:color w:val="000000"/>
          <w:sz w:val="24"/>
          <w:szCs w:val="24"/>
        </w:rPr>
        <w:t>。</w:t>
      </w:r>
      <w:r w:rsidRPr="004F4123">
        <w:rPr>
          <w:rFonts w:ascii="Times New Roman" w:eastAsia="宋体" w:hAnsi="Times New Roman"/>
          <w:sz w:val="24"/>
          <w:szCs w:val="24"/>
        </w:rPr>
        <w:t>独</w:t>
      </w:r>
      <w:r w:rsidRPr="004F4123">
        <w:rPr>
          <w:rFonts w:ascii="Times New Roman" w:eastAsia="宋体" w:hAnsi="Times New Roman" w:hint="eastAsia"/>
          <w:sz w:val="24"/>
          <w:szCs w:val="24"/>
        </w:rPr>
        <w:t>立董事就相关议案发表了事前认可意见及独立意见。公司已就本次方案调整履行了必要的审批程序。</w:t>
      </w:r>
    </w:p>
    <w:p w14:paraId="37343B41" w14:textId="77777777" w:rsidR="00A33668" w:rsidRPr="00440943" w:rsidRDefault="00A33668" w:rsidP="00A33668">
      <w:pPr>
        <w:widowControl/>
        <w:tabs>
          <w:tab w:val="center" w:pos="4153"/>
          <w:tab w:val="left" w:pos="6390"/>
        </w:tabs>
        <w:spacing w:beforeLines="50" w:before="156" w:line="360" w:lineRule="auto"/>
        <w:ind w:firstLineChars="200" w:firstLine="482"/>
        <w:rPr>
          <w:rFonts w:ascii="Times New Roman" w:eastAsia="宋体" w:hAnsi="Times New Roman"/>
          <w:b/>
          <w:bCs/>
          <w:sz w:val="24"/>
          <w:szCs w:val="24"/>
        </w:rPr>
      </w:pPr>
      <w:r w:rsidRPr="00440943">
        <w:rPr>
          <w:rFonts w:ascii="Times New Roman" w:eastAsia="宋体" w:hAnsi="Times New Roman" w:hint="eastAsia"/>
          <w:b/>
          <w:bCs/>
          <w:sz w:val="24"/>
          <w:szCs w:val="24"/>
        </w:rPr>
        <w:t>四、独立财务顾问核查意见</w:t>
      </w:r>
    </w:p>
    <w:p w14:paraId="69D1F405" w14:textId="77777777" w:rsidR="00A33668" w:rsidRDefault="00A33668" w:rsidP="00A33668">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经核查，独立财务顾问认为本次交易方案的调整不构成重大调整，无需召开股东大会重新审议。</w:t>
      </w:r>
    </w:p>
    <w:p w14:paraId="368B41A1" w14:textId="77777777" w:rsidR="00A33668" w:rsidRDefault="00A33668" w:rsidP="00A33668">
      <w:pPr>
        <w:widowControl/>
        <w:tabs>
          <w:tab w:val="center" w:pos="4153"/>
          <w:tab w:val="left" w:pos="6390"/>
        </w:tabs>
        <w:spacing w:line="360" w:lineRule="auto"/>
        <w:ind w:firstLineChars="200" w:firstLine="480"/>
        <w:rPr>
          <w:rFonts w:ascii="Times New Roman" w:eastAsia="宋体" w:hAnsi="Times New Roman"/>
          <w:sz w:val="24"/>
          <w:szCs w:val="24"/>
        </w:rPr>
      </w:pPr>
    </w:p>
    <w:p w14:paraId="176180DA" w14:textId="77777777" w:rsidR="00A33668" w:rsidRDefault="00A33668" w:rsidP="00A33668">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（以下无正文）</w:t>
      </w:r>
    </w:p>
    <w:p w14:paraId="5B1A5F6B" w14:textId="3DB9141B" w:rsidR="00A33668" w:rsidRDefault="00A33668" w:rsidP="00A33668">
      <w:pPr>
        <w:widowControl/>
        <w:tabs>
          <w:tab w:val="center" w:pos="4153"/>
          <w:tab w:val="left" w:pos="6390"/>
        </w:tabs>
        <w:spacing w:line="360" w:lineRule="auto"/>
        <w:ind w:right="960"/>
        <w:rPr>
          <w:rFonts w:ascii="Times New Roman" w:eastAsia="宋体" w:hAnsi="Times New Roman"/>
          <w:sz w:val="24"/>
          <w:szCs w:val="24"/>
        </w:rPr>
      </w:pPr>
      <w:r>
        <w:rPr>
          <w:rFonts w:ascii="Times New Roman" w:eastAsia="宋体" w:hAnsi="Times New Roman"/>
          <w:sz w:val="24"/>
          <w:szCs w:val="24"/>
        </w:rPr>
        <w:br w:type="page"/>
      </w:r>
    </w:p>
    <w:p w14:paraId="6AF7342C" w14:textId="464338F0" w:rsidR="00FC2548" w:rsidRPr="00CF3F67" w:rsidRDefault="00FC2548" w:rsidP="00FC2548">
      <w:pPr>
        <w:spacing w:line="360" w:lineRule="auto"/>
        <w:rPr>
          <w:rFonts w:ascii="Times New Roman" w:eastAsia="宋体" w:hAnsi="Times New Roman"/>
          <w:color w:val="000000"/>
          <w:sz w:val="24"/>
        </w:rPr>
      </w:pPr>
      <w:r w:rsidRPr="00CF3F67">
        <w:rPr>
          <w:rFonts w:ascii="Times New Roman" w:eastAsia="宋体" w:hAnsi="Times New Roman" w:hint="eastAsia"/>
          <w:color w:val="000000"/>
          <w:sz w:val="24"/>
        </w:rPr>
        <w:lastRenderedPageBreak/>
        <w:t>（本页无正文，为《</w:t>
      </w:r>
      <w:r w:rsidRPr="00FC2548">
        <w:rPr>
          <w:rFonts w:ascii="Times New Roman" w:eastAsia="宋体" w:hAnsi="Times New Roman" w:hint="eastAsia"/>
          <w:color w:val="000000"/>
          <w:sz w:val="24"/>
        </w:rPr>
        <w:t>中信建投证券股份有限公司关于北京京城机电股份有限公司发行股份及支付现金购买资产并募集配套资金方案调整不构成重组方案重大调整的核查意见</w:t>
      </w:r>
      <w:r w:rsidRPr="00CF3F67">
        <w:rPr>
          <w:rFonts w:ascii="Times New Roman" w:eastAsia="宋体" w:hAnsi="Times New Roman" w:hint="eastAsia"/>
          <w:color w:val="000000"/>
          <w:sz w:val="24"/>
        </w:rPr>
        <w:t>》之签章页）</w:t>
      </w:r>
    </w:p>
    <w:p w14:paraId="289972E6" w14:textId="77777777" w:rsidR="00FC2548" w:rsidRPr="00CF3F67" w:rsidRDefault="00FC2548" w:rsidP="00FC2548">
      <w:pPr>
        <w:spacing w:beforeLines="50" w:before="156" w:line="360" w:lineRule="auto"/>
        <w:jc w:val="left"/>
        <w:rPr>
          <w:rFonts w:ascii="Times New Roman" w:eastAsia="宋体" w:hAnsi="Times New Roman"/>
          <w:color w:val="000000"/>
          <w:sz w:val="24"/>
        </w:rPr>
      </w:pPr>
    </w:p>
    <w:p w14:paraId="21D99F39" w14:textId="77777777" w:rsidR="00FC2548" w:rsidRPr="00CF3F67" w:rsidRDefault="00FC2548" w:rsidP="00FC2548">
      <w:pPr>
        <w:spacing w:beforeLines="50" w:before="156" w:line="360" w:lineRule="auto"/>
        <w:jc w:val="left"/>
        <w:rPr>
          <w:rFonts w:ascii="Times New Roman" w:eastAsia="宋体" w:hAnsi="Times New Roman"/>
          <w:color w:val="000000"/>
          <w:sz w:val="24"/>
        </w:rPr>
      </w:pPr>
    </w:p>
    <w:p w14:paraId="34BE13FE" w14:textId="77777777" w:rsidR="00FC2548" w:rsidRPr="00CF3F67" w:rsidRDefault="00FC2548" w:rsidP="00FC2548">
      <w:pPr>
        <w:spacing w:beforeLines="50" w:before="156" w:line="360" w:lineRule="auto"/>
        <w:jc w:val="left"/>
        <w:rPr>
          <w:rFonts w:ascii="Times New Roman" w:eastAsia="宋体" w:hAnsi="Times New Roman"/>
          <w:color w:val="000000"/>
          <w:sz w:val="24"/>
        </w:rPr>
      </w:pPr>
    </w:p>
    <w:tbl>
      <w:tblPr>
        <w:tblW w:w="0" w:type="auto"/>
        <w:tblLook w:val="04A0" w:firstRow="1" w:lastRow="0" w:firstColumn="1" w:lastColumn="0" w:noHBand="0" w:noVBand="1"/>
      </w:tblPr>
      <w:tblGrid>
        <w:gridCol w:w="2977"/>
        <w:gridCol w:w="2563"/>
        <w:gridCol w:w="2766"/>
      </w:tblGrid>
      <w:tr w:rsidR="00FC2548" w:rsidRPr="00CF3F67" w14:paraId="470058C3" w14:textId="77777777" w:rsidTr="00C058B8">
        <w:tc>
          <w:tcPr>
            <w:tcW w:w="2977" w:type="dxa"/>
            <w:vAlign w:val="bottom"/>
            <w:hideMark/>
          </w:tcPr>
          <w:p w14:paraId="7B11B948" w14:textId="77777777" w:rsidR="00FC2548" w:rsidRPr="00CF3F67" w:rsidRDefault="00FC2548" w:rsidP="00C058B8">
            <w:pPr>
              <w:spacing w:afterLines="50" w:after="156" w:line="360" w:lineRule="auto"/>
              <w:jc w:val="left"/>
              <w:rPr>
                <w:rFonts w:ascii="Times New Roman" w:eastAsia="宋体" w:hAnsi="Times New Roman"/>
                <w:color w:val="000000"/>
                <w:sz w:val="24"/>
              </w:rPr>
            </w:pPr>
            <w:r w:rsidRPr="00CF3F67">
              <w:rPr>
                <w:rFonts w:ascii="Times New Roman" w:eastAsia="宋体" w:hAnsi="Times New Roman"/>
                <w:color w:val="000000"/>
                <w:sz w:val="24"/>
              </w:rPr>
              <w:t>独立财务顾问主办人：</w:t>
            </w:r>
          </w:p>
        </w:tc>
        <w:tc>
          <w:tcPr>
            <w:tcW w:w="2563" w:type="dxa"/>
            <w:hideMark/>
          </w:tcPr>
          <w:p w14:paraId="71FE0054" w14:textId="77777777" w:rsidR="00FC2548" w:rsidRPr="00CF3F67" w:rsidRDefault="00FC2548" w:rsidP="00C058B8">
            <w:pPr>
              <w:spacing w:afterLines="50" w:after="156" w:line="360" w:lineRule="auto"/>
              <w:rPr>
                <w:rFonts w:ascii="Times New Roman" w:eastAsia="宋体" w:hAnsi="Times New Roman"/>
                <w:color w:val="000000"/>
                <w:sz w:val="24"/>
              </w:rPr>
            </w:pPr>
            <w:r w:rsidRPr="00CF3F67">
              <w:rPr>
                <w:rFonts w:ascii="Times New Roman" w:eastAsia="宋体" w:hAnsi="Times New Roman"/>
                <w:color w:val="000000"/>
                <w:sz w:val="24"/>
              </w:rPr>
              <w:t xml:space="preserve">   </w:t>
            </w:r>
            <w:r w:rsidRPr="00CF3F67">
              <w:rPr>
                <w:rFonts w:ascii="Times New Roman" w:eastAsia="宋体" w:hAnsi="Times New Roman"/>
                <w:color w:val="000000"/>
                <w:sz w:val="24"/>
                <w:u w:val="single"/>
              </w:rPr>
              <w:t xml:space="preserve">               </w:t>
            </w:r>
          </w:p>
        </w:tc>
        <w:tc>
          <w:tcPr>
            <w:tcW w:w="2766" w:type="dxa"/>
            <w:hideMark/>
          </w:tcPr>
          <w:p w14:paraId="385F9C6A" w14:textId="77777777" w:rsidR="00FC2548" w:rsidRPr="00CF3F67" w:rsidRDefault="00FC2548" w:rsidP="00C058B8">
            <w:pPr>
              <w:spacing w:afterLines="50" w:after="156" w:line="360" w:lineRule="auto"/>
              <w:rPr>
                <w:rFonts w:ascii="Times New Roman" w:eastAsia="宋体" w:hAnsi="Times New Roman"/>
                <w:color w:val="000000"/>
                <w:sz w:val="24"/>
              </w:rPr>
            </w:pPr>
            <w:r w:rsidRPr="00CF3F67">
              <w:rPr>
                <w:rFonts w:ascii="Times New Roman" w:eastAsia="宋体" w:hAnsi="Times New Roman"/>
                <w:color w:val="000000"/>
                <w:sz w:val="24"/>
              </w:rPr>
              <w:t xml:space="preserve">   </w:t>
            </w:r>
            <w:r w:rsidRPr="00CF3F67">
              <w:rPr>
                <w:rFonts w:ascii="Times New Roman" w:eastAsia="宋体" w:hAnsi="Times New Roman"/>
                <w:color w:val="000000"/>
                <w:sz w:val="24"/>
                <w:u w:val="single"/>
              </w:rPr>
              <w:t xml:space="preserve">               </w:t>
            </w:r>
          </w:p>
        </w:tc>
      </w:tr>
      <w:tr w:rsidR="00FC2548" w:rsidRPr="00CF3F67" w14:paraId="6E99317A" w14:textId="77777777" w:rsidTr="00C058B8">
        <w:tc>
          <w:tcPr>
            <w:tcW w:w="2977" w:type="dxa"/>
          </w:tcPr>
          <w:p w14:paraId="735A0AE7" w14:textId="77777777" w:rsidR="00FC2548" w:rsidRPr="00CF3F67" w:rsidRDefault="00FC2548" w:rsidP="00C058B8">
            <w:pPr>
              <w:spacing w:afterLines="50" w:after="156" w:line="360" w:lineRule="auto"/>
              <w:rPr>
                <w:rFonts w:ascii="Times New Roman" w:eastAsia="宋体" w:hAnsi="Times New Roman"/>
                <w:color w:val="000000"/>
                <w:sz w:val="24"/>
              </w:rPr>
            </w:pPr>
          </w:p>
        </w:tc>
        <w:tc>
          <w:tcPr>
            <w:tcW w:w="2563" w:type="dxa"/>
            <w:hideMark/>
          </w:tcPr>
          <w:p w14:paraId="6061267E" w14:textId="2172D0D1" w:rsidR="00FC2548" w:rsidRPr="00CF3F67" w:rsidRDefault="00FC2548" w:rsidP="00C058B8">
            <w:pPr>
              <w:spacing w:afterLines="50" w:after="156" w:line="360" w:lineRule="auto"/>
              <w:jc w:val="center"/>
              <w:rPr>
                <w:rFonts w:ascii="Times New Roman" w:eastAsia="宋体" w:hAnsi="Times New Roman"/>
                <w:color w:val="000000"/>
                <w:sz w:val="24"/>
              </w:rPr>
            </w:pPr>
            <w:r w:rsidRPr="00CF3F67">
              <w:rPr>
                <w:rFonts w:ascii="Times New Roman" w:eastAsia="宋体" w:hAnsi="Times New Roman"/>
                <w:color w:val="000000"/>
                <w:sz w:val="24"/>
              </w:rPr>
              <w:t xml:space="preserve"> </w:t>
            </w:r>
            <w:proofErr w:type="gramStart"/>
            <w:r w:rsidR="008D1795">
              <w:rPr>
                <w:rFonts w:ascii="Times New Roman" w:eastAsia="宋体" w:hAnsi="Times New Roman" w:hint="eastAsia"/>
                <w:color w:val="000000"/>
                <w:sz w:val="24"/>
              </w:rPr>
              <w:t>贺承达</w:t>
            </w:r>
            <w:proofErr w:type="gramEnd"/>
          </w:p>
        </w:tc>
        <w:tc>
          <w:tcPr>
            <w:tcW w:w="2766" w:type="dxa"/>
            <w:hideMark/>
          </w:tcPr>
          <w:p w14:paraId="0A0EA33E" w14:textId="3C78C077" w:rsidR="00FC2548" w:rsidRPr="00CF3F67" w:rsidRDefault="008D1795" w:rsidP="00C058B8">
            <w:pPr>
              <w:spacing w:afterLines="50" w:after="156" w:line="360" w:lineRule="auto"/>
              <w:jc w:val="center"/>
              <w:rPr>
                <w:rFonts w:ascii="Times New Roman" w:eastAsia="宋体" w:hAnsi="Times New Roman"/>
                <w:color w:val="000000"/>
                <w:sz w:val="24"/>
              </w:rPr>
            </w:pPr>
            <w:r w:rsidRPr="00CF3F67">
              <w:rPr>
                <w:rFonts w:ascii="Times New Roman" w:eastAsia="宋体" w:hAnsi="Times New Roman"/>
                <w:color w:val="000000"/>
                <w:sz w:val="24"/>
              </w:rPr>
              <w:t>侯</w:t>
            </w:r>
            <w:r w:rsidRPr="00CF3F67">
              <w:rPr>
                <w:rFonts w:ascii="Times New Roman" w:eastAsia="宋体" w:hAnsi="Times New Roman"/>
                <w:color w:val="000000"/>
                <w:sz w:val="24"/>
              </w:rPr>
              <w:t xml:space="preserve">  </w:t>
            </w:r>
            <w:r w:rsidRPr="00CF3F67">
              <w:rPr>
                <w:rFonts w:ascii="Times New Roman" w:eastAsia="宋体" w:hAnsi="Times New Roman"/>
                <w:color w:val="000000"/>
                <w:sz w:val="24"/>
              </w:rPr>
              <w:t>顺</w:t>
            </w:r>
          </w:p>
        </w:tc>
      </w:tr>
    </w:tbl>
    <w:p w14:paraId="432992C8" w14:textId="77777777" w:rsidR="00FC2548" w:rsidRPr="00CF3F67" w:rsidRDefault="00FC2548" w:rsidP="00565C65">
      <w:pPr>
        <w:adjustRightInd w:val="0"/>
        <w:spacing w:afterLines="50" w:after="156" w:line="360" w:lineRule="auto"/>
        <w:rPr>
          <w:rFonts w:ascii="Times New Roman" w:eastAsia="宋体" w:hAnsi="Times New Roman"/>
          <w:sz w:val="24"/>
        </w:rPr>
      </w:pPr>
    </w:p>
    <w:p w14:paraId="2CF0C92A" w14:textId="77777777" w:rsidR="00FC2548" w:rsidRPr="00CF3F67" w:rsidRDefault="00FC2548" w:rsidP="00565C65">
      <w:pPr>
        <w:adjustRightInd w:val="0"/>
        <w:spacing w:afterLines="50" w:after="156" w:line="360" w:lineRule="auto"/>
        <w:rPr>
          <w:rFonts w:ascii="Times New Roman" w:eastAsia="宋体" w:hAnsi="Times New Roman"/>
          <w:sz w:val="24"/>
        </w:rPr>
      </w:pPr>
    </w:p>
    <w:p w14:paraId="2C62272D" w14:textId="77777777" w:rsidR="00FC2548" w:rsidRPr="00CF3F67" w:rsidRDefault="00FC2548" w:rsidP="00FC2548">
      <w:pPr>
        <w:adjustRightInd w:val="0"/>
        <w:spacing w:afterLines="50" w:after="156" w:line="360" w:lineRule="auto"/>
        <w:ind w:firstLineChars="200" w:firstLine="480"/>
        <w:jc w:val="right"/>
        <w:rPr>
          <w:rFonts w:ascii="Times New Roman" w:eastAsia="宋体" w:hAnsi="Times New Roman"/>
          <w:sz w:val="24"/>
        </w:rPr>
      </w:pPr>
      <w:r w:rsidRPr="00CF3F67">
        <w:rPr>
          <w:rFonts w:ascii="Times New Roman" w:eastAsia="宋体" w:hAnsi="Times New Roman"/>
          <w:sz w:val="24"/>
        </w:rPr>
        <w:t>中</w:t>
      </w:r>
      <w:proofErr w:type="gramStart"/>
      <w:r w:rsidRPr="00CF3F67">
        <w:rPr>
          <w:rFonts w:ascii="Times New Roman" w:eastAsia="宋体" w:hAnsi="Times New Roman"/>
          <w:sz w:val="24"/>
        </w:rPr>
        <w:t>信建投证券</w:t>
      </w:r>
      <w:proofErr w:type="gramEnd"/>
      <w:r w:rsidRPr="00CF3F67">
        <w:rPr>
          <w:rFonts w:ascii="Times New Roman" w:eastAsia="宋体" w:hAnsi="Times New Roman"/>
          <w:sz w:val="24"/>
        </w:rPr>
        <w:t>股份有限公司</w:t>
      </w:r>
    </w:p>
    <w:p w14:paraId="4C85B7CC" w14:textId="77777777" w:rsidR="00FC2548" w:rsidRPr="00CF3F67" w:rsidRDefault="00FC2548" w:rsidP="00FC2548">
      <w:pPr>
        <w:adjustRightInd w:val="0"/>
        <w:spacing w:afterLines="50" w:after="156" w:line="360" w:lineRule="auto"/>
        <w:ind w:firstLineChars="200" w:firstLine="480"/>
        <w:jc w:val="right"/>
        <w:rPr>
          <w:rFonts w:ascii="Times New Roman" w:eastAsia="宋体" w:hAnsi="Times New Roman"/>
          <w:sz w:val="24"/>
        </w:rPr>
      </w:pPr>
    </w:p>
    <w:p w14:paraId="374D2828" w14:textId="77BD5EB9" w:rsidR="007B0A85" w:rsidRPr="00565C65" w:rsidRDefault="00FC2548" w:rsidP="00565C65">
      <w:pPr>
        <w:adjustRightInd w:val="0"/>
        <w:spacing w:afterLines="50" w:after="156" w:line="360" w:lineRule="auto"/>
        <w:ind w:firstLineChars="200" w:firstLine="480"/>
        <w:jc w:val="right"/>
        <w:rPr>
          <w:rFonts w:ascii="Times New Roman" w:eastAsia="宋体" w:hAnsi="Times New Roman"/>
          <w:sz w:val="24"/>
        </w:rPr>
      </w:pPr>
      <w:r w:rsidRPr="00CF3F67">
        <w:rPr>
          <w:rFonts w:ascii="Times New Roman" w:eastAsia="宋体" w:hAnsi="Times New Roman"/>
          <w:sz w:val="24"/>
        </w:rPr>
        <w:t>年</w:t>
      </w:r>
      <w:r w:rsidRPr="00CF3F67">
        <w:rPr>
          <w:rFonts w:ascii="Times New Roman" w:eastAsia="宋体" w:hAnsi="Times New Roman"/>
          <w:sz w:val="24"/>
        </w:rPr>
        <w:t xml:space="preserve">    </w:t>
      </w:r>
      <w:r w:rsidRPr="00CF3F67">
        <w:rPr>
          <w:rFonts w:ascii="Times New Roman" w:eastAsia="宋体" w:hAnsi="Times New Roman"/>
          <w:sz w:val="24"/>
        </w:rPr>
        <w:t>月</w:t>
      </w:r>
      <w:r w:rsidRPr="00CF3F67">
        <w:rPr>
          <w:rFonts w:ascii="Times New Roman" w:eastAsia="宋体" w:hAnsi="Times New Roman"/>
          <w:sz w:val="24"/>
        </w:rPr>
        <w:t xml:space="preserve">    </w:t>
      </w:r>
      <w:r w:rsidRPr="00CF3F67">
        <w:rPr>
          <w:rFonts w:ascii="Times New Roman" w:eastAsia="宋体" w:hAnsi="Times New Roman"/>
          <w:sz w:val="24"/>
        </w:rPr>
        <w:t>日</w:t>
      </w:r>
    </w:p>
    <w:sectPr w:rsidR="007B0A85" w:rsidRPr="00565C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6AFF8" w14:textId="77777777" w:rsidR="00C308B1" w:rsidRDefault="00C308B1" w:rsidP="000D66D7">
      <w:r>
        <w:separator/>
      </w:r>
    </w:p>
  </w:endnote>
  <w:endnote w:type="continuationSeparator" w:id="0">
    <w:p w14:paraId="3D89EEC7" w14:textId="77777777" w:rsidR="00C308B1" w:rsidRDefault="00C308B1" w:rsidP="000D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D8945" w14:textId="77777777" w:rsidR="00C308B1" w:rsidRDefault="00C308B1" w:rsidP="000D66D7">
      <w:r>
        <w:separator/>
      </w:r>
    </w:p>
  </w:footnote>
  <w:footnote w:type="continuationSeparator" w:id="0">
    <w:p w14:paraId="55CA1135" w14:textId="77777777" w:rsidR="00C308B1" w:rsidRDefault="00C308B1" w:rsidP="000D6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0C578C"/>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B3345C5C"/>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CD5AAFD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5BE24D9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500A28E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101A13B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11FE913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207CC16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73D40144"/>
    <w:lvl w:ilvl="0">
      <w:start w:val="1"/>
      <w:numFmt w:val="decimal"/>
      <w:lvlText w:val="%1."/>
      <w:lvlJc w:val="left"/>
      <w:pPr>
        <w:tabs>
          <w:tab w:val="num" w:pos="360"/>
        </w:tabs>
        <w:ind w:left="360" w:hangingChars="200" w:hanging="360"/>
      </w:pPr>
    </w:lvl>
  </w:abstractNum>
  <w:abstractNum w:abstractNumId="9">
    <w:nsid w:val="FFFFFF89"/>
    <w:multiLevelType w:val="singleLevel"/>
    <w:tmpl w:val="0E0AFBAA"/>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85"/>
    <w:rsid w:val="00046D95"/>
    <w:rsid w:val="000B6848"/>
    <w:rsid w:val="000D66D7"/>
    <w:rsid w:val="0010219A"/>
    <w:rsid w:val="0012433B"/>
    <w:rsid w:val="00172C49"/>
    <w:rsid w:val="001D4462"/>
    <w:rsid w:val="00242C16"/>
    <w:rsid w:val="0025585D"/>
    <w:rsid w:val="002A05AB"/>
    <w:rsid w:val="002A6262"/>
    <w:rsid w:val="002F00AE"/>
    <w:rsid w:val="00340514"/>
    <w:rsid w:val="0035650F"/>
    <w:rsid w:val="00393B09"/>
    <w:rsid w:val="003A7A17"/>
    <w:rsid w:val="003C7231"/>
    <w:rsid w:val="003E29FF"/>
    <w:rsid w:val="003E7438"/>
    <w:rsid w:val="00404475"/>
    <w:rsid w:val="00426789"/>
    <w:rsid w:val="0042766A"/>
    <w:rsid w:val="004A6963"/>
    <w:rsid w:val="004F4123"/>
    <w:rsid w:val="00513219"/>
    <w:rsid w:val="005533FE"/>
    <w:rsid w:val="00565C65"/>
    <w:rsid w:val="00583489"/>
    <w:rsid w:val="005C088C"/>
    <w:rsid w:val="00610D82"/>
    <w:rsid w:val="006B2EA9"/>
    <w:rsid w:val="006C456A"/>
    <w:rsid w:val="00760F03"/>
    <w:rsid w:val="00783057"/>
    <w:rsid w:val="00792462"/>
    <w:rsid w:val="007B0A85"/>
    <w:rsid w:val="00822874"/>
    <w:rsid w:val="008279BF"/>
    <w:rsid w:val="00835323"/>
    <w:rsid w:val="00893BC5"/>
    <w:rsid w:val="008A6408"/>
    <w:rsid w:val="008D1795"/>
    <w:rsid w:val="008E221B"/>
    <w:rsid w:val="00967BF7"/>
    <w:rsid w:val="00983E63"/>
    <w:rsid w:val="009940CD"/>
    <w:rsid w:val="009A248E"/>
    <w:rsid w:val="00A274D7"/>
    <w:rsid w:val="00A33668"/>
    <w:rsid w:val="00A57E29"/>
    <w:rsid w:val="00A913E7"/>
    <w:rsid w:val="00AB0052"/>
    <w:rsid w:val="00B55F52"/>
    <w:rsid w:val="00BB51FC"/>
    <w:rsid w:val="00BB5EAA"/>
    <w:rsid w:val="00BC6CA6"/>
    <w:rsid w:val="00BD14EA"/>
    <w:rsid w:val="00C011AB"/>
    <w:rsid w:val="00C308B1"/>
    <w:rsid w:val="00C5383C"/>
    <w:rsid w:val="00C601D8"/>
    <w:rsid w:val="00C718D6"/>
    <w:rsid w:val="00C84DF2"/>
    <w:rsid w:val="00CC0FFD"/>
    <w:rsid w:val="00CD18D7"/>
    <w:rsid w:val="00CD75DC"/>
    <w:rsid w:val="00D16984"/>
    <w:rsid w:val="00D43B8E"/>
    <w:rsid w:val="00D51C99"/>
    <w:rsid w:val="00D81708"/>
    <w:rsid w:val="00D83D4D"/>
    <w:rsid w:val="00D94663"/>
    <w:rsid w:val="00DE69D7"/>
    <w:rsid w:val="00E122EA"/>
    <w:rsid w:val="00E25107"/>
    <w:rsid w:val="00EC3919"/>
    <w:rsid w:val="00EC3F48"/>
    <w:rsid w:val="00EF3219"/>
    <w:rsid w:val="00F23E6B"/>
    <w:rsid w:val="00F60A29"/>
    <w:rsid w:val="00F7741B"/>
    <w:rsid w:val="00F847EB"/>
    <w:rsid w:val="00FB5A55"/>
    <w:rsid w:val="00FC2548"/>
    <w:rsid w:val="068519C3"/>
    <w:rsid w:val="2C6D76BE"/>
    <w:rsid w:val="3066790D"/>
    <w:rsid w:val="3838304C"/>
    <w:rsid w:val="3BAF2917"/>
    <w:rsid w:val="6F517725"/>
    <w:rsid w:val="7E606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4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kern w:val="2"/>
      <w:sz w:val="21"/>
      <w:szCs w:val="22"/>
    </w:rPr>
  </w:style>
  <w:style w:type="paragraph" w:styleId="4">
    <w:name w:val="heading 4"/>
    <w:basedOn w:val="a"/>
    <w:next w:val="a"/>
    <w:link w:val="4Char"/>
    <w:semiHidden/>
    <w:unhideWhenUsed/>
    <w:qFormat/>
    <w:pPr>
      <w:keepNext/>
      <w:keepLines/>
      <w:spacing w:before="280" w:after="290" w:line="376" w:lineRule="auto"/>
      <w:outlineLvl w:val="3"/>
    </w:pPr>
    <w:rPr>
      <w:rFonts w:ascii="黑体" w:hAnsi="黑体"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Pr>
      <w:rFonts w:ascii="黑体" w:eastAsia="宋体" w:hAnsi="黑体" w:cstheme="majorBidi"/>
      <w:b/>
      <w:bCs/>
      <w:sz w:val="24"/>
      <w:szCs w:val="28"/>
    </w:rPr>
  </w:style>
  <w:style w:type="paragraph" w:styleId="a3">
    <w:name w:val="header"/>
    <w:basedOn w:val="a"/>
    <w:link w:val="Char"/>
    <w:rsid w:val="000D66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D66D7"/>
    <w:rPr>
      <w:rFonts w:ascii="等线" w:eastAsia="等线" w:hAnsi="等线"/>
      <w:kern w:val="2"/>
      <w:sz w:val="18"/>
      <w:szCs w:val="18"/>
    </w:rPr>
  </w:style>
  <w:style w:type="paragraph" w:styleId="a4">
    <w:name w:val="footer"/>
    <w:basedOn w:val="a"/>
    <w:link w:val="Char0"/>
    <w:rsid w:val="000D66D7"/>
    <w:pPr>
      <w:tabs>
        <w:tab w:val="center" w:pos="4153"/>
        <w:tab w:val="right" w:pos="8306"/>
      </w:tabs>
      <w:snapToGrid w:val="0"/>
      <w:jc w:val="left"/>
    </w:pPr>
    <w:rPr>
      <w:sz w:val="18"/>
      <w:szCs w:val="18"/>
    </w:rPr>
  </w:style>
  <w:style w:type="character" w:customStyle="1" w:styleId="Char0">
    <w:name w:val="页脚 Char"/>
    <w:basedOn w:val="a0"/>
    <w:link w:val="a4"/>
    <w:rsid w:val="000D66D7"/>
    <w:rPr>
      <w:rFonts w:ascii="等线" w:eastAsia="等线" w:hAnsi="等线"/>
      <w:kern w:val="2"/>
      <w:sz w:val="18"/>
      <w:szCs w:val="18"/>
    </w:rPr>
  </w:style>
  <w:style w:type="paragraph" w:customStyle="1" w:styleId="a5">
    <w:name w:val="一级标题"/>
    <w:next w:val="a"/>
    <w:link w:val="1Char2"/>
    <w:qFormat/>
    <w:rsid w:val="00A33668"/>
    <w:pPr>
      <w:widowControl w:val="0"/>
      <w:tabs>
        <w:tab w:val="center" w:pos="4153"/>
        <w:tab w:val="left" w:pos="6390"/>
      </w:tabs>
      <w:spacing w:beforeLines="50" w:before="156" w:afterLines="100" w:after="312"/>
      <w:jc w:val="center"/>
      <w:outlineLvl w:val="0"/>
    </w:pPr>
    <w:rPr>
      <w:rFonts w:ascii="黑体" w:eastAsia="黑体" w:hAnsi="黑体" w:cs="Arial"/>
      <w:b/>
      <w:bCs/>
      <w:kern w:val="2"/>
      <w:sz w:val="32"/>
      <w:szCs w:val="24"/>
    </w:rPr>
  </w:style>
  <w:style w:type="character" w:customStyle="1" w:styleId="1Char2">
    <w:name w:val="标题 1 Char2"/>
    <w:link w:val="a5"/>
    <w:qFormat/>
    <w:rsid w:val="00A33668"/>
    <w:rPr>
      <w:rFonts w:ascii="黑体" w:eastAsia="黑体" w:hAnsi="黑体" w:cs="Arial"/>
      <w:b/>
      <w:bCs/>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kern w:val="2"/>
      <w:sz w:val="21"/>
      <w:szCs w:val="22"/>
    </w:rPr>
  </w:style>
  <w:style w:type="paragraph" w:styleId="4">
    <w:name w:val="heading 4"/>
    <w:basedOn w:val="a"/>
    <w:next w:val="a"/>
    <w:link w:val="4Char"/>
    <w:semiHidden/>
    <w:unhideWhenUsed/>
    <w:qFormat/>
    <w:pPr>
      <w:keepNext/>
      <w:keepLines/>
      <w:spacing w:before="280" w:after="290" w:line="376" w:lineRule="auto"/>
      <w:outlineLvl w:val="3"/>
    </w:pPr>
    <w:rPr>
      <w:rFonts w:ascii="黑体" w:hAnsi="黑体"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Pr>
      <w:rFonts w:ascii="黑体" w:eastAsia="宋体" w:hAnsi="黑体" w:cstheme="majorBidi"/>
      <w:b/>
      <w:bCs/>
      <w:sz w:val="24"/>
      <w:szCs w:val="28"/>
    </w:rPr>
  </w:style>
  <w:style w:type="paragraph" w:styleId="a3">
    <w:name w:val="header"/>
    <w:basedOn w:val="a"/>
    <w:link w:val="Char"/>
    <w:rsid w:val="000D66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D66D7"/>
    <w:rPr>
      <w:rFonts w:ascii="等线" w:eastAsia="等线" w:hAnsi="等线"/>
      <w:kern w:val="2"/>
      <w:sz w:val="18"/>
      <w:szCs w:val="18"/>
    </w:rPr>
  </w:style>
  <w:style w:type="paragraph" w:styleId="a4">
    <w:name w:val="footer"/>
    <w:basedOn w:val="a"/>
    <w:link w:val="Char0"/>
    <w:rsid w:val="000D66D7"/>
    <w:pPr>
      <w:tabs>
        <w:tab w:val="center" w:pos="4153"/>
        <w:tab w:val="right" w:pos="8306"/>
      </w:tabs>
      <w:snapToGrid w:val="0"/>
      <w:jc w:val="left"/>
    </w:pPr>
    <w:rPr>
      <w:sz w:val="18"/>
      <w:szCs w:val="18"/>
    </w:rPr>
  </w:style>
  <w:style w:type="character" w:customStyle="1" w:styleId="Char0">
    <w:name w:val="页脚 Char"/>
    <w:basedOn w:val="a0"/>
    <w:link w:val="a4"/>
    <w:rsid w:val="000D66D7"/>
    <w:rPr>
      <w:rFonts w:ascii="等线" w:eastAsia="等线" w:hAnsi="等线"/>
      <w:kern w:val="2"/>
      <w:sz w:val="18"/>
      <w:szCs w:val="18"/>
    </w:rPr>
  </w:style>
  <w:style w:type="paragraph" w:customStyle="1" w:styleId="a5">
    <w:name w:val="一级标题"/>
    <w:next w:val="a"/>
    <w:link w:val="1Char2"/>
    <w:qFormat/>
    <w:rsid w:val="00A33668"/>
    <w:pPr>
      <w:widowControl w:val="0"/>
      <w:tabs>
        <w:tab w:val="center" w:pos="4153"/>
        <w:tab w:val="left" w:pos="6390"/>
      </w:tabs>
      <w:spacing w:beforeLines="50" w:before="156" w:afterLines="100" w:after="312"/>
      <w:jc w:val="center"/>
      <w:outlineLvl w:val="0"/>
    </w:pPr>
    <w:rPr>
      <w:rFonts w:ascii="黑体" w:eastAsia="黑体" w:hAnsi="黑体" w:cs="Arial"/>
      <w:b/>
      <w:bCs/>
      <w:kern w:val="2"/>
      <w:sz w:val="32"/>
      <w:szCs w:val="24"/>
    </w:rPr>
  </w:style>
  <w:style w:type="character" w:customStyle="1" w:styleId="1Char2">
    <w:name w:val="标题 1 Char2"/>
    <w:link w:val="a5"/>
    <w:qFormat/>
    <w:rsid w:val="00A33668"/>
    <w:rPr>
      <w:rFonts w:ascii="黑体" w:eastAsia="黑体" w:hAnsi="黑体" w:cs="Arial"/>
      <w:b/>
      <w:bCs/>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12913</dc:creator>
  <cp:lastModifiedBy>8615001221590</cp:lastModifiedBy>
  <cp:revision>50</cp:revision>
  <dcterms:created xsi:type="dcterms:W3CDTF">2021-04-09T11:38:00Z</dcterms:created>
  <dcterms:modified xsi:type="dcterms:W3CDTF">2021-11-23T08:49:00Z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7452BCE4E29F4531B7BFAD6ED2F8A70D</vt:lpwstr>
  </property>
</Properties>
</file>