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398F0" w14:textId="21D7C4C9" w:rsidR="00D10369" w:rsidRPr="00C56229" w:rsidRDefault="00D10369" w:rsidP="00D10369">
      <w:pPr>
        <w:spacing w:line="460" w:lineRule="exact"/>
        <w:rPr>
          <w:rFonts w:ascii="宋体" w:eastAsia="宋体" w:hAnsi="宋体" w:hint="eastAsia"/>
          <w:sz w:val="24"/>
          <w:szCs w:val="24"/>
        </w:rPr>
      </w:pPr>
      <w:r w:rsidRPr="00C56229">
        <w:rPr>
          <w:rFonts w:ascii="宋体" w:eastAsia="宋体" w:hAnsi="宋体" w:hint="eastAsia"/>
          <w:sz w:val="24"/>
          <w:szCs w:val="24"/>
        </w:rPr>
        <w:t>股票代码：600860           股票简称：京城股份        编号：</w:t>
      </w:r>
      <w:r w:rsidRPr="00111671">
        <w:rPr>
          <w:rFonts w:ascii="宋体" w:eastAsia="宋体" w:hAnsi="宋体" w:hint="eastAsia"/>
          <w:sz w:val="24"/>
          <w:szCs w:val="24"/>
        </w:rPr>
        <w:t>临20</w:t>
      </w:r>
      <w:r w:rsidRPr="00111671">
        <w:rPr>
          <w:rFonts w:ascii="宋体" w:eastAsia="宋体" w:hAnsi="宋体"/>
          <w:sz w:val="24"/>
          <w:szCs w:val="24"/>
        </w:rPr>
        <w:t>2</w:t>
      </w:r>
      <w:r w:rsidR="00CE22F1" w:rsidRPr="00111671">
        <w:rPr>
          <w:rFonts w:ascii="宋体" w:eastAsia="宋体" w:hAnsi="宋体" w:hint="eastAsia"/>
          <w:sz w:val="24"/>
          <w:szCs w:val="24"/>
        </w:rPr>
        <w:t>6</w:t>
      </w:r>
      <w:r w:rsidRPr="00111671">
        <w:rPr>
          <w:rFonts w:ascii="宋体" w:eastAsia="宋体" w:hAnsi="宋体" w:hint="eastAsia"/>
          <w:sz w:val="24"/>
          <w:szCs w:val="24"/>
        </w:rPr>
        <w:t>-</w:t>
      </w:r>
      <w:r w:rsidRPr="00111671">
        <w:rPr>
          <w:rFonts w:ascii="宋体" w:eastAsia="宋体" w:hAnsi="宋体"/>
          <w:sz w:val="24"/>
          <w:szCs w:val="24"/>
        </w:rPr>
        <w:t>0</w:t>
      </w:r>
      <w:r w:rsidR="00CE22F1" w:rsidRPr="00111671">
        <w:rPr>
          <w:rFonts w:ascii="宋体" w:eastAsia="宋体" w:hAnsi="宋体" w:hint="eastAsia"/>
          <w:sz w:val="24"/>
          <w:szCs w:val="24"/>
        </w:rPr>
        <w:t>2</w:t>
      </w:r>
      <w:r w:rsidR="007D281A" w:rsidRPr="00111671">
        <w:rPr>
          <w:rFonts w:ascii="宋体" w:eastAsia="宋体" w:hAnsi="宋体" w:hint="eastAsia"/>
          <w:sz w:val="24"/>
          <w:szCs w:val="24"/>
        </w:rPr>
        <w:t>2</w:t>
      </w:r>
    </w:p>
    <w:p w14:paraId="67EF062D" w14:textId="77777777" w:rsidR="00D10369" w:rsidRPr="00C56229" w:rsidRDefault="00D10369" w:rsidP="00D10369">
      <w:pPr>
        <w:spacing w:line="460" w:lineRule="exact"/>
        <w:ind w:firstLine="57"/>
        <w:rPr>
          <w:rFonts w:ascii="宋体" w:eastAsia="宋体" w:hAnsi="宋体" w:hint="eastAsia"/>
          <w:sz w:val="24"/>
          <w:szCs w:val="24"/>
        </w:rPr>
      </w:pPr>
    </w:p>
    <w:p w14:paraId="57CCE821" w14:textId="77777777" w:rsidR="00D10369" w:rsidRPr="00C56229" w:rsidRDefault="00D10369" w:rsidP="00D10369">
      <w:pPr>
        <w:adjustRightInd w:val="0"/>
        <w:snapToGrid w:val="0"/>
        <w:spacing w:line="460" w:lineRule="exact"/>
        <w:jc w:val="center"/>
        <w:rPr>
          <w:rFonts w:ascii="宋体" w:eastAsia="宋体" w:hAnsi="宋体" w:hint="eastAsia"/>
          <w:b/>
          <w:color w:val="FF0000"/>
          <w:sz w:val="36"/>
          <w:szCs w:val="36"/>
        </w:rPr>
      </w:pPr>
      <w:r w:rsidRPr="00C56229">
        <w:rPr>
          <w:rFonts w:ascii="宋体" w:eastAsia="宋体" w:hAnsi="宋体" w:hint="eastAsia"/>
          <w:b/>
          <w:color w:val="FF0000"/>
          <w:sz w:val="36"/>
          <w:szCs w:val="36"/>
        </w:rPr>
        <w:t>北 京 京 城 机 电 股 份 有 限 公 司</w:t>
      </w:r>
    </w:p>
    <w:p w14:paraId="6AF21686" w14:textId="77777777" w:rsidR="00D10369" w:rsidRPr="00C56229" w:rsidRDefault="00D10369" w:rsidP="00D10369">
      <w:pPr>
        <w:adjustRightInd w:val="0"/>
        <w:snapToGrid w:val="0"/>
        <w:spacing w:line="460" w:lineRule="exact"/>
        <w:ind w:rightChars="-162" w:right="-340"/>
        <w:jc w:val="left"/>
        <w:rPr>
          <w:rFonts w:ascii="宋体" w:eastAsia="宋体" w:hAnsi="宋体" w:hint="eastAsia"/>
          <w:b/>
          <w:caps/>
          <w:color w:val="FF0000"/>
          <w:sz w:val="32"/>
          <w:szCs w:val="32"/>
        </w:rPr>
      </w:pPr>
      <w:r w:rsidRPr="00C56229">
        <w:rPr>
          <w:rFonts w:ascii="宋体" w:eastAsia="宋体" w:hAnsi="宋体"/>
          <w:b/>
          <w:caps/>
          <w:color w:val="FF0000"/>
          <w:sz w:val="32"/>
          <w:szCs w:val="32"/>
        </w:rPr>
        <w:t>Beijing Jingcheng Machinery Electric Company Limited</w:t>
      </w:r>
    </w:p>
    <w:p w14:paraId="6456F908" w14:textId="77777777" w:rsidR="00D10369" w:rsidRPr="00C56229" w:rsidRDefault="00D10369" w:rsidP="00D10369">
      <w:pPr>
        <w:adjustRightInd w:val="0"/>
        <w:snapToGrid w:val="0"/>
        <w:spacing w:line="460" w:lineRule="exact"/>
        <w:jc w:val="center"/>
        <w:rPr>
          <w:rFonts w:ascii="宋体" w:eastAsia="宋体" w:hAnsi="宋体" w:hint="eastAsia"/>
          <w:b/>
          <w:i/>
          <w:color w:val="FF0000"/>
          <w:sz w:val="32"/>
          <w:szCs w:val="32"/>
        </w:rPr>
      </w:pPr>
      <w:r w:rsidRPr="00C56229">
        <w:rPr>
          <w:rFonts w:ascii="宋体" w:eastAsia="宋体" w:hAnsi="宋体" w:hint="eastAsia"/>
          <w:b/>
          <w:i/>
          <w:color w:val="FF0000"/>
          <w:sz w:val="32"/>
          <w:szCs w:val="32"/>
        </w:rPr>
        <w:t>(在中华人民共和国注册成立之股份有限公司)</w:t>
      </w:r>
    </w:p>
    <w:p w14:paraId="4AE245C8" w14:textId="323A093A" w:rsidR="00D10369" w:rsidRPr="00A449F3" w:rsidRDefault="00D10369" w:rsidP="00D10369">
      <w:pPr>
        <w:spacing w:beforeLines="50" w:before="156" w:afterLines="50" w:after="156"/>
        <w:jc w:val="center"/>
        <w:rPr>
          <w:rFonts w:ascii="宋体" w:hAnsi="宋体" w:hint="eastAsia"/>
          <w:b/>
          <w:sz w:val="30"/>
          <w:szCs w:val="30"/>
        </w:rPr>
      </w:pPr>
      <w:r w:rsidRPr="00C56229">
        <w:rPr>
          <w:rFonts w:ascii="宋体" w:eastAsia="宋体" w:hAnsi="宋体" w:hint="eastAsia"/>
          <w:b/>
          <w:bCs/>
          <w:color w:val="FF0000"/>
          <w:sz w:val="32"/>
          <w:szCs w:val="32"/>
        </w:rPr>
        <w:t>关于</w:t>
      </w:r>
      <w:r w:rsidR="007D281A" w:rsidRPr="007D281A">
        <w:rPr>
          <w:rFonts w:ascii="宋体" w:eastAsia="宋体" w:hAnsi="宋体"/>
          <w:b/>
          <w:bCs/>
          <w:color w:val="FF0000"/>
          <w:sz w:val="32"/>
          <w:szCs w:val="32"/>
        </w:rPr>
        <w:t>开展远期结售汇业务的公告</w:t>
      </w:r>
    </w:p>
    <w:p w14:paraId="659BE7FD" w14:textId="77777777" w:rsidR="00D10369" w:rsidRPr="00685A8C" w:rsidRDefault="00D10369" w:rsidP="00D10369">
      <w:pPr>
        <w:pBdr>
          <w:top w:val="single" w:sz="4" w:space="1" w:color="auto"/>
          <w:left w:val="single" w:sz="4" w:space="4" w:color="auto"/>
          <w:bottom w:val="single" w:sz="4" w:space="7" w:color="auto"/>
          <w:right w:val="single" w:sz="4" w:space="4" w:color="auto"/>
        </w:pBdr>
        <w:autoSpaceDE w:val="0"/>
        <w:autoSpaceDN w:val="0"/>
        <w:spacing w:line="400" w:lineRule="exact"/>
        <w:ind w:firstLineChars="200" w:firstLine="480"/>
        <w:rPr>
          <w:rFonts w:ascii="宋体" w:eastAsia="宋体" w:hAnsi="宋体" w:hint="eastAsia"/>
          <w:bCs/>
          <w:color w:val="000000"/>
          <w:sz w:val="24"/>
          <w:szCs w:val="24"/>
        </w:rPr>
      </w:pPr>
      <w:r w:rsidRPr="00685A8C">
        <w:rPr>
          <w:rFonts w:ascii="宋体" w:eastAsia="宋体" w:hAnsi="宋体" w:hint="eastAsia"/>
          <w:bCs/>
          <w:color w:val="000000"/>
          <w:sz w:val="24"/>
          <w:szCs w:val="24"/>
        </w:rPr>
        <w:t xml:space="preserve">本公司董事会及全体董事保证本公告内容不存在任何虚假记载、误导性陈述或者重大遗漏，并对其内容的真实性、准确性和完整性承担法律责任。   </w:t>
      </w:r>
    </w:p>
    <w:p w14:paraId="2577FEE4" w14:textId="77777777" w:rsidR="00985123" w:rsidRDefault="00985123" w:rsidP="00985123">
      <w:pPr>
        <w:ind w:firstLine="420"/>
        <w:rPr>
          <w:rFonts w:ascii="宋体" w:hAnsi="宋体" w:hint="eastAsia"/>
        </w:rPr>
      </w:pPr>
    </w:p>
    <w:p w14:paraId="27CB8E6E" w14:textId="4C74F23F" w:rsidR="00985123" w:rsidRPr="007D281A" w:rsidRDefault="007D281A" w:rsidP="007D281A">
      <w:pPr>
        <w:spacing w:line="500" w:lineRule="atLeast"/>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北京京城机电股份有限公司（</w:t>
      </w:r>
      <w:r w:rsidR="00283BED">
        <w:rPr>
          <w:rFonts w:ascii="宋体" w:eastAsia="宋体" w:hAnsi="宋体" w:cs="Times New Roman" w:hint="eastAsia"/>
          <w:sz w:val="24"/>
          <w:szCs w:val="24"/>
        </w:rPr>
        <w:t>以</w:t>
      </w:r>
      <w:r>
        <w:rPr>
          <w:rFonts w:ascii="宋体" w:eastAsia="宋体" w:hAnsi="宋体" w:cs="Times New Roman" w:hint="eastAsia"/>
          <w:sz w:val="24"/>
          <w:szCs w:val="24"/>
        </w:rPr>
        <w:t>下简称“公司”）</w:t>
      </w:r>
      <w:r w:rsidRPr="007D281A">
        <w:rPr>
          <w:rFonts w:ascii="宋体" w:eastAsia="宋体" w:hAnsi="宋体" w:cs="Times New Roman" w:hint="eastAsia"/>
          <w:sz w:val="24"/>
          <w:szCs w:val="24"/>
        </w:rPr>
        <w:t>于</w:t>
      </w:r>
      <w:r w:rsidR="0072499A" w:rsidRPr="007D281A">
        <w:rPr>
          <w:rFonts w:ascii="宋体" w:eastAsia="宋体" w:hAnsi="宋体" w:cs="Times New Roman" w:hint="eastAsia"/>
          <w:sz w:val="24"/>
          <w:szCs w:val="24"/>
        </w:rPr>
        <w:t>2026 年</w:t>
      </w:r>
      <w:r w:rsidR="0072499A">
        <w:rPr>
          <w:rFonts w:ascii="宋体" w:eastAsia="宋体" w:hAnsi="宋体" w:cs="Times New Roman" w:hint="eastAsia"/>
          <w:sz w:val="24"/>
          <w:szCs w:val="24"/>
        </w:rPr>
        <w:t>8</w:t>
      </w:r>
      <w:r w:rsidR="0072499A" w:rsidRPr="007D281A">
        <w:rPr>
          <w:rFonts w:ascii="宋体" w:eastAsia="宋体" w:hAnsi="宋体" w:cs="Times New Roman" w:hint="eastAsia"/>
          <w:sz w:val="24"/>
          <w:szCs w:val="24"/>
        </w:rPr>
        <w:t>月</w:t>
      </w:r>
      <w:r w:rsidR="0072499A">
        <w:rPr>
          <w:rFonts w:ascii="宋体" w:eastAsia="宋体" w:hAnsi="宋体" w:cs="Times New Roman" w:hint="eastAsia"/>
          <w:sz w:val="24"/>
          <w:szCs w:val="24"/>
        </w:rPr>
        <w:t>13</w:t>
      </w:r>
      <w:r w:rsidR="0072499A" w:rsidRPr="007D281A">
        <w:rPr>
          <w:rFonts w:ascii="宋体" w:eastAsia="宋体" w:hAnsi="宋体" w:cs="Times New Roman" w:hint="eastAsia"/>
          <w:sz w:val="24"/>
          <w:szCs w:val="24"/>
        </w:rPr>
        <w:t>日</w:t>
      </w:r>
      <w:r w:rsidR="0072499A">
        <w:rPr>
          <w:rFonts w:ascii="宋体" w:eastAsia="宋体" w:hAnsi="宋体" w:cs="Times New Roman" w:hint="eastAsia"/>
          <w:sz w:val="24"/>
          <w:szCs w:val="24"/>
        </w:rPr>
        <w:t>召开</w:t>
      </w:r>
      <w:r w:rsidR="0072499A" w:rsidRPr="0085505A">
        <w:rPr>
          <w:rFonts w:ascii="宋体" w:eastAsia="宋体" w:hAnsi="宋体"/>
          <w:sz w:val="24"/>
          <w:szCs w:val="24"/>
        </w:rPr>
        <w:t>第</w:t>
      </w:r>
      <w:r w:rsidR="0072499A">
        <w:rPr>
          <w:rFonts w:ascii="宋体" w:eastAsia="宋体" w:hAnsi="宋体" w:hint="eastAsia"/>
          <w:sz w:val="24"/>
          <w:szCs w:val="24"/>
        </w:rPr>
        <w:t>十二届</w:t>
      </w:r>
      <w:r w:rsidR="0072499A" w:rsidRPr="0085505A">
        <w:rPr>
          <w:rFonts w:ascii="宋体" w:eastAsia="宋体" w:hAnsi="宋体"/>
          <w:sz w:val="24"/>
          <w:szCs w:val="24"/>
        </w:rPr>
        <w:t>董事会审计委员会第</w:t>
      </w:r>
      <w:r w:rsidR="0072499A">
        <w:rPr>
          <w:rFonts w:ascii="宋体" w:eastAsia="宋体" w:hAnsi="宋体" w:hint="eastAsia"/>
          <w:sz w:val="24"/>
          <w:szCs w:val="24"/>
        </w:rPr>
        <w:t>二</w:t>
      </w:r>
      <w:r w:rsidR="0072499A" w:rsidRPr="0085505A">
        <w:rPr>
          <w:rFonts w:ascii="宋体" w:eastAsia="宋体" w:hAnsi="宋体"/>
          <w:sz w:val="24"/>
          <w:szCs w:val="24"/>
        </w:rPr>
        <w:t>次会议</w:t>
      </w:r>
      <w:r w:rsidR="0072499A">
        <w:rPr>
          <w:rFonts w:ascii="宋体" w:eastAsia="宋体" w:hAnsi="宋体" w:cs="Times New Roman" w:hint="eastAsia"/>
          <w:sz w:val="24"/>
          <w:szCs w:val="24"/>
        </w:rPr>
        <w:t>、于</w:t>
      </w:r>
      <w:r w:rsidRPr="007D281A">
        <w:rPr>
          <w:rFonts w:ascii="宋体" w:eastAsia="宋体" w:hAnsi="宋体" w:cs="Times New Roman" w:hint="eastAsia"/>
          <w:sz w:val="24"/>
          <w:szCs w:val="24"/>
        </w:rPr>
        <w:t>2026 年</w:t>
      </w:r>
      <w:r>
        <w:rPr>
          <w:rFonts w:ascii="宋体" w:eastAsia="宋体" w:hAnsi="宋体" w:cs="Times New Roman" w:hint="eastAsia"/>
          <w:sz w:val="24"/>
          <w:szCs w:val="24"/>
        </w:rPr>
        <w:t>8</w:t>
      </w:r>
      <w:r w:rsidRPr="007D281A">
        <w:rPr>
          <w:rFonts w:ascii="宋体" w:eastAsia="宋体" w:hAnsi="宋体" w:cs="Times New Roman" w:hint="eastAsia"/>
          <w:sz w:val="24"/>
          <w:szCs w:val="24"/>
        </w:rPr>
        <w:t>月</w:t>
      </w:r>
      <w:r>
        <w:rPr>
          <w:rFonts w:ascii="宋体" w:eastAsia="宋体" w:hAnsi="宋体" w:cs="Times New Roman" w:hint="eastAsia"/>
          <w:sz w:val="24"/>
          <w:szCs w:val="24"/>
        </w:rPr>
        <w:t>14</w:t>
      </w:r>
      <w:r w:rsidRPr="007D281A">
        <w:rPr>
          <w:rFonts w:ascii="宋体" w:eastAsia="宋体" w:hAnsi="宋体" w:cs="Times New Roman" w:hint="eastAsia"/>
          <w:sz w:val="24"/>
          <w:szCs w:val="24"/>
        </w:rPr>
        <w:t>日召开第</w:t>
      </w:r>
      <w:r>
        <w:rPr>
          <w:rFonts w:ascii="宋体" w:eastAsia="宋体" w:hAnsi="宋体" w:cs="Times New Roman" w:hint="eastAsia"/>
          <w:sz w:val="24"/>
          <w:szCs w:val="24"/>
        </w:rPr>
        <w:t>十二</w:t>
      </w:r>
      <w:r w:rsidRPr="007D281A">
        <w:rPr>
          <w:rFonts w:ascii="宋体" w:eastAsia="宋体" w:hAnsi="宋体" w:cs="Times New Roman" w:hint="eastAsia"/>
          <w:sz w:val="24"/>
          <w:szCs w:val="24"/>
        </w:rPr>
        <w:t>届董事会第</w:t>
      </w:r>
      <w:r>
        <w:rPr>
          <w:rFonts w:ascii="宋体" w:eastAsia="宋体" w:hAnsi="宋体" w:cs="Times New Roman" w:hint="eastAsia"/>
          <w:sz w:val="24"/>
          <w:szCs w:val="24"/>
        </w:rPr>
        <w:t>一</w:t>
      </w:r>
      <w:r w:rsidRPr="007D281A">
        <w:rPr>
          <w:rFonts w:ascii="宋体" w:eastAsia="宋体" w:hAnsi="宋体" w:cs="Times New Roman" w:hint="eastAsia"/>
          <w:sz w:val="24"/>
          <w:szCs w:val="24"/>
        </w:rPr>
        <w:t>次会议，</w:t>
      </w:r>
      <w:r w:rsidR="0072499A">
        <w:rPr>
          <w:rFonts w:ascii="宋体" w:eastAsia="宋体" w:hAnsi="宋体" w:cs="Times New Roman" w:hint="eastAsia"/>
          <w:sz w:val="24"/>
          <w:szCs w:val="24"/>
        </w:rPr>
        <w:t>分别</w:t>
      </w:r>
      <w:r w:rsidRPr="007D281A">
        <w:rPr>
          <w:rFonts w:ascii="宋体" w:eastAsia="宋体" w:hAnsi="宋体" w:cs="Times New Roman" w:hint="eastAsia"/>
          <w:sz w:val="24"/>
          <w:szCs w:val="24"/>
        </w:rPr>
        <w:t>审议通过了《</w:t>
      </w:r>
      <w:r w:rsidRPr="007D281A">
        <w:rPr>
          <w:rFonts w:ascii="宋体" w:eastAsia="宋体" w:hAnsi="宋体" w:cs="Times New Roman"/>
          <w:sz w:val="24"/>
          <w:szCs w:val="24"/>
        </w:rPr>
        <w:t>关于公司子公司天海工业及明晖天海开展远期结售汇业务的议案</w:t>
      </w:r>
      <w:r w:rsidRPr="007D281A">
        <w:rPr>
          <w:rFonts w:ascii="宋体" w:eastAsia="宋体" w:hAnsi="宋体" w:cs="Times New Roman" w:hint="eastAsia"/>
          <w:sz w:val="24"/>
          <w:szCs w:val="24"/>
        </w:rPr>
        <w:t>》</w:t>
      </w:r>
      <w:r>
        <w:rPr>
          <w:rFonts w:ascii="宋体" w:eastAsia="宋体" w:hAnsi="宋体" w:cs="Times New Roman" w:hint="eastAsia"/>
          <w:sz w:val="24"/>
          <w:szCs w:val="24"/>
        </w:rPr>
        <w:t>。</w:t>
      </w:r>
      <w:r w:rsidRPr="007D281A">
        <w:rPr>
          <w:rFonts w:ascii="宋体" w:eastAsia="宋体" w:hAnsi="宋体" w:cs="Times New Roman"/>
          <w:sz w:val="24"/>
          <w:szCs w:val="24"/>
        </w:rPr>
        <w:t>为合理规避外汇市场风险，防范汇率波动对公司经营业绩造成的不利影响，</w:t>
      </w:r>
      <w:r w:rsidR="00EE3D7F" w:rsidRPr="00697292">
        <w:rPr>
          <w:rFonts w:ascii="宋体" w:eastAsia="宋体" w:hAnsi="宋体"/>
          <w:sz w:val="24"/>
          <w:szCs w:val="24"/>
        </w:rPr>
        <w:t>公司子公司北京天海工业有限公司（以下简称“天海工业”）及北京明晖天海气体储运装备销售有限公司（以下简称“明晖天海”）</w:t>
      </w:r>
      <w:r>
        <w:rPr>
          <w:rFonts w:ascii="宋体" w:eastAsia="宋体" w:hAnsi="宋体" w:cs="Times New Roman" w:hint="eastAsia"/>
          <w:sz w:val="24"/>
          <w:szCs w:val="24"/>
        </w:rPr>
        <w:t>拟</w:t>
      </w:r>
      <w:r w:rsidRPr="007D281A">
        <w:rPr>
          <w:rFonts w:ascii="宋体" w:eastAsia="宋体" w:hAnsi="宋体" w:cs="Times New Roman" w:hint="eastAsia"/>
          <w:sz w:val="24"/>
          <w:szCs w:val="24"/>
        </w:rPr>
        <w:t>开展外币远期结售汇业务，</w:t>
      </w:r>
      <w:r w:rsidRPr="007D281A">
        <w:rPr>
          <w:rFonts w:ascii="宋体" w:eastAsia="宋体" w:hAnsi="宋体" w:cs="Times New Roman"/>
          <w:sz w:val="24"/>
          <w:szCs w:val="24"/>
        </w:rPr>
        <w:t>天海工业拟交易额度不超过600万美元、100万欧元；明晖天海拟交易额度不超过500万欧元。</w:t>
      </w:r>
      <w:r w:rsidR="00152DCE" w:rsidRPr="00152DCE">
        <w:rPr>
          <w:rFonts w:ascii="宋体" w:eastAsia="宋体" w:hAnsi="宋体" w:cs="Times New Roman"/>
          <w:sz w:val="24"/>
          <w:szCs w:val="24"/>
        </w:rPr>
        <w:t>期限自公司董事会审议通过之日起12个月，交易额度在有效期内可以滚动使用</w:t>
      </w:r>
      <w:r w:rsidR="00EF211E">
        <w:rPr>
          <w:rFonts w:ascii="宋体" w:eastAsia="宋体" w:hAnsi="宋体" w:cs="Times New Roman" w:hint="eastAsia"/>
          <w:sz w:val="24"/>
          <w:szCs w:val="24"/>
        </w:rPr>
        <w:t>，</w:t>
      </w:r>
      <w:r w:rsidR="00152DCE" w:rsidRPr="00152DCE">
        <w:rPr>
          <w:rFonts w:ascii="宋体" w:eastAsia="宋体" w:hAnsi="宋体" w:cs="Times New Roman"/>
          <w:sz w:val="24"/>
          <w:szCs w:val="24"/>
        </w:rPr>
        <w:t>额度存续期间，任意时间点的交易总金额(</w:t>
      </w:r>
      <w:proofErr w:type="gramStart"/>
      <w:r w:rsidR="00152DCE" w:rsidRPr="00152DCE">
        <w:rPr>
          <w:rFonts w:ascii="宋体" w:eastAsia="宋体" w:hAnsi="宋体" w:cs="Times New Roman"/>
          <w:sz w:val="24"/>
          <w:szCs w:val="24"/>
        </w:rPr>
        <w:t>含交易</w:t>
      </w:r>
      <w:proofErr w:type="gramEnd"/>
      <w:r w:rsidR="00152DCE" w:rsidRPr="00152DCE">
        <w:rPr>
          <w:rFonts w:ascii="宋体" w:eastAsia="宋体" w:hAnsi="宋体" w:cs="Times New Roman"/>
          <w:sz w:val="24"/>
          <w:szCs w:val="24"/>
        </w:rPr>
        <w:t>收益再投入金额)不得超过审议</w:t>
      </w:r>
      <w:proofErr w:type="gramStart"/>
      <w:r w:rsidR="00152DCE" w:rsidRPr="00152DCE">
        <w:rPr>
          <w:rFonts w:ascii="宋体" w:eastAsia="宋体" w:hAnsi="宋体" w:cs="Times New Roman"/>
          <w:sz w:val="24"/>
          <w:szCs w:val="24"/>
        </w:rPr>
        <w:t>核定总</w:t>
      </w:r>
      <w:proofErr w:type="gramEnd"/>
      <w:r w:rsidR="00152DCE" w:rsidRPr="00152DCE">
        <w:rPr>
          <w:rFonts w:ascii="宋体" w:eastAsia="宋体" w:hAnsi="宋体" w:cs="Times New Roman"/>
          <w:sz w:val="24"/>
          <w:szCs w:val="24"/>
        </w:rPr>
        <w:t>额度。</w:t>
      </w:r>
      <w:r w:rsidRPr="007D281A">
        <w:rPr>
          <w:rFonts w:ascii="宋体" w:eastAsia="宋体" w:hAnsi="宋体" w:cs="Times New Roman" w:hint="eastAsia"/>
          <w:sz w:val="24"/>
          <w:szCs w:val="24"/>
        </w:rPr>
        <w:t>具体情况如下：</w:t>
      </w:r>
    </w:p>
    <w:p w14:paraId="1ACAC67F" w14:textId="77777777" w:rsidR="0081287F" w:rsidRPr="00201FF3" w:rsidRDefault="0081287F" w:rsidP="00FF626C">
      <w:pPr>
        <w:spacing w:line="500" w:lineRule="exact"/>
        <w:ind w:firstLineChars="200" w:firstLine="480"/>
        <w:rPr>
          <w:rFonts w:ascii="宋体" w:eastAsia="宋体" w:hAnsi="宋体" w:hint="eastAsia"/>
          <w:sz w:val="24"/>
          <w:szCs w:val="24"/>
        </w:rPr>
      </w:pPr>
    </w:p>
    <w:p w14:paraId="4FB9A689" w14:textId="6A31FD2E" w:rsidR="00FF626C" w:rsidRPr="0081287F" w:rsidRDefault="00FF626C" w:rsidP="00FF626C">
      <w:pPr>
        <w:spacing w:line="500" w:lineRule="exact"/>
        <w:ind w:firstLineChars="200" w:firstLine="482"/>
        <w:rPr>
          <w:rFonts w:ascii="宋体" w:eastAsia="宋体" w:hAnsi="宋体" w:hint="eastAsia"/>
          <w:b/>
          <w:bCs/>
          <w:sz w:val="24"/>
          <w:szCs w:val="24"/>
        </w:rPr>
      </w:pPr>
      <w:r w:rsidRPr="0081287F">
        <w:rPr>
          <w:rFonts w:ascii="宋体" w:eastAsia="宋体" w:hAnsi="宋体"/>
          <w:b/>
          <w:bCs/>
          <w:sz w:val="24"/>
          <w:szCs w:val="24"/>
        </w:rPr>
        <w:t>一、业务概述</w:t>
      </w:r>
    </w:p>
    <w:p w14:paraId="2036BEF9" w14:textId="558A38E9" w:rsidR="00FF626C" w:rsidRPr="00FF626C" w:rsidRDefault="00FF626C" w:rsidP="00FF626C">
      <w:pPr>
        <w:spacing w:line="500" w:lineRule="exact"/>
        <w:ind w:firstLineChars="200" w:firstLine="480"/>
        <w:rPr>
          <w:rFonts w:ascii="宋体" w:eastAsia="宋体" w:hAnsi="宋体" w:hint="eastAsia"/>
          <w:sz w:val="24"/>
          <w:szCs w:val="24"/>
        </w:rPr>
      </w:pPr>
      <w:r w:rsidRPr="00FF626C">
        <w:rPr>
          <w:rFonts w:ascii="宋体" w:eastAsia="宋体" w:hAnsi="宋体"/>
          <w:sz w:val="24"/>
          <w:szCs w:val="24"/>
        </w:rPr>
        <w:t>1、开展远期结售汇业务的目的</w:t>
      </w:r>
    </w:p>
    <w:p w14:paraId="6CFC9237" w14:textId="7763CC89" w:rsidR="00697292" w:rsidRDefault="00697292" w:rsidP="00FF626C">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近年来，公司</w:t>
      </w:r>
      <w:r w:rsidRPr="00697292">
        <w:rPr>
          <w:rFonts w:ascii="宋体" w:eastAsia="宋体" w:hAnsi="宋体"/>
          <w:sz w:val="24"/>
          <w:szCs w:val="24"/>
        </w:rPr>
        <w:t>外贸业务</w:t>
      </w:r>
      <w:proofErr w:type="gramStart"/>
      <w:r w:rsidRPr="00697292">
        <w:rPr>
          <w:rFonts w:ascii="宋体" w:eastAsia="宋体" w:hAnsi="宋体"/>
          <w:sz w:val="24"/>
          <w:szCs w:val="24"/>
        </w:rPr>
        <w:t>占比较</w:t>
      </w:r>
      <w:proofErr w:type="gramEnd"/>
      <w:r w:rsidRPr="00697292">
        <w:rPr>
          <w:rFonts w:ascii="宋体" w:eastAsia="宋体" w:hAnsi="宋体"/>
          <w:sz w:val="24"/>
          <w:szCs w:val="24"/>
        </w:rPr>
        <w:t>大，为合理规避外汇市场风险，防范汇率波动对公司经营业绩造成的不利影响，提高外汇资金使用效率，公司子公司天海工业及明</w:t>
      </w:r>
      <w:proofErr w:type="gramStart"/>
      <w:r w:rsidRPr="00697292">
        <w:rPr>
          <w:rFonts w:ascii="宋体" w:eastAsia="宋体" w:hAnsi="宋体"/>
          <w:sz w:val="24"/>
          <w:szCs w:val="24"/>
        </w:rPr>
        <w:t>晖天海拟</w:t>
      </w:r>
      <w:proofErr w:type="gramEnd"/>
      <w:r w:rsidRPr="00697292">
        <w:rPr>
          <w:rFonts w:ascii="宋体" w:eastAsia="宋体" w:hAnsi="宋体"/>
          <w:sz w:val="24"/>
          <w:szCs w:val="24"/>
        </w:rPr>
        <w:t>使用自有资金适度开展远期结售汇业务。该业务围绕真实生产经营需求开展，核心目的为套期保值，对冲、规避汇率波动风险</w:t>
      </w:r>
      <w:r>
        <w:rPr>
          <w:rFonts w:ascii="宋体" w:eastAsia="宋体" w:hAnsi="宋体" w:hint="eastAsia"/>
          <w:sz w:val="24"/>
          <w:szCs w:val="24"/>
        </w:rPr>
        <w:t>。</w:t>
      </w:r>
      <w:r>
        <w:rPr>
          <w:rFonts w:ascii="宋体" w:eastAsia="宋体" w:hAnsi="宋体"/>
          <w:sz w:val="24"/>
          <w:szCs w:val="24"/>
        </w:rPr>
        <w:t xml:space="preserve"> </w:t>
      </w:r>
    </w:p>
    <w:p w14:paraId="276B8008" w14:textId="32B63429" w:rsidR="00FF626C" w:rsidRPr="00FF626C" w:rsidRDefault="00FF626C" w:rsidP="00FF626C">
      <w:pPr>
        <w:spacing w:line="500" w:lineRule="exact"/>
        <w:ind w:firstLineChars="200" w:firstLine="480"/>
        <w:rPr>
          <w:rFonts w:ascii="宋体" w:eastAsia="宋体" w:hAnsi="宋体" w:hint="eastAsia"/>
          <w:sz w:val="24"/>
          <w:szCs w:val="24"/>
        </w:rPr>
      </w:pPr>
      <w:r w:rsidRPr="00FF626C">
        <w:rPr>
          <w:rFonts w:ascii="宋体" w:eastAsia="宋体" w:hAnsi="宋体"/>
          <w:sz w:val="24"/>
          <w:szCs w:val="24"/>
        </w:rPr>
        <w:t>2、开展远期结售汇业务的交易方式及币种</w:t>
      </w:r>
    </w:p>
    <w:p w14:paraId="0AF6F19F" w14:textId="4AAA92BD" w:rsidR="00FF626C" w:rsidRPr="00FF626C" w:rsidRDefault="00FF626C" w:rsidP="00FF626C">
      <w:pPr>
        <w:spacing w:line="500" w:lineRule="exact"/>
        <w:ind w:firstLineChars="200" w:firstLine="480"/>
        <w:rPr>
          <w:rFonts w:ascii="宋体" w:eastAsia="宋体" w:hAnsi="宋体" w:hint="eastAsia"/>
          <w:sz w:val="24"/>
          <w:szCs w:val="24"/>
        </w:rPr>
      </w:pPr>
      <w:r w:rsidRPr="00FF626C">
        <w:rPr>
          <w:rFonts w:ascii="宋体" w:eastAsia="宋体" w:hAnsi="宋体"/>
          <w:sz w:val="24"/>
          <w:szCs w:val="24"/>
        </w:rPr>
        <w:lastRenderedPageBreak/>
        <w:t>公司开展远期结售汇业务交易对手主要为银行类金融机构，与公司不存在关联关系。交易币种</w:t>
      </w:r>
      <w:r w:rsidR="0081287F">
        <w:rPr>
          <w:rFonts w:ascii="宋体" w:eastAsia="宋体" w:hAnsi="宋体" w:hint="eastAsia"/>
          <w:sz w:val="24"/>
          <w:szCs w:val="24"/>
        </w:rPr>
        <w:t>为</w:t>
      </w:r>
      <w:r w:rsidRPr="00FF626C">
        <w:rPr>
          <w:rFonts w:ascii="宋体" w:eastAsia="宋体" w:hAnsi="宋体"/>
          <w:sz w:val="24"/>
          <w:szCs w:val="24"/>
        </w:rPr>
        <w:t>美元</w:t>
      </w:r>
      <w:r w:rsidR="0081287F">
        <w:rPr>
          <w:rFonts w:ascii="宋体" w:eastAsia="宋体" w:hAnsi="宋体" w:hint="eastAsia"/>
          <w:sz w:val="24"/>
          <w:szCs w:val="24"/>
        </w:rPr>
        <w:t>及</w:t>
      </w:r>
      <w:r w:rsidRPr="00FF626C">
        <w:rPr>
          <w:rFonts w:ascii="宋体" w:eastAsia="宋体" w:hAnsi="宋体"/>
          <w:sz w:val="24"/>
          <w:szCs w:val="24"/>
        </w:rPr>
        <w:t>欧元。</w:t>
      </w:r>
    </w:p>
    <w:p w14:paraId="3C49FAF5" w14:textId="067A55AC" w:rsidR="0081287F" w:rsidRPr="00697292" w:rsidRDefault="00697292"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3</w:t>
      </w:r>
      <w:r w:rsidR="00FF626C">
        <w:rPr>
          <w:rFonts w:ascii="宋体" w:eastAsia="宋体" w:hAnsi="宋体" w:hint="eastAsia"/>
          <w:sz w:val="24"/>
          <w:szCs w:val="24"/>
        </w:rPr>
        <w:t>、</w:t>
      </w:r>
      <w:r w:rsidR="0081287F" w:rsidRPr="00697292">
        <w:rPr>
          <w:rFonts w:ascii="宋体" w:eastAsia="宋体" w:hAnsi="宋体"/>
          <w:sz w:val="24"/>
          <w:szCs w:val="24"/>
        </w:rPr>
        <w:t>开展远期结售汇业务金额</w:t>
      </w:r>
      <w:r w:rsidR="00EE3D7F" w:rsidRPr="00697292">
        <w:rPr>
          <w:rFonts w:ascii="宋体" w:eastAsia="宋体" w:hAnsi="宋体"/>
          <w:sz w:val="24"/>
          <w:szCs w:val="24"/>
        </w:rPr>
        <w:t>及期限</w:t>
      </w:r>
    </w:p>
    <w:p w14:paraId="2EE7C5D0" w14:textId="2CB12124" w:rsidR="0081287F" w:rsidRDefault="00152DCE" w:rsidP="0081287F">
      <w:pPr>
        <w:spacing w:line="500" w:lineRule="exact"/>
        <w:ind w:firstLineChars="200" w:firstLine="480"/>
        <w:rPr>
          <w:rFonts w:ascii="宋体" w:eastAsia="宋体" w:hAnsi="宋体" w:hint="eastAsia"/>
          <w:sz w:val="24"/>
          <w:szCs w:val="24"/>
        </w:rPr>
      </w:pPr>
      <w:r w:rsidRPr="00152DCE">
        <w:rPr>
          <w:rFonts w:ascii="宋体" w:eastAsia="宋体" w:hAnsi="宋体"/>
          <w:sz w:val="24"/>
          <w:szCs w:val="24"/>
        </w:rPr>
        <w:t>天海工业及明晖天海根据经营需要，</w:t>
      </w:r>
      <w:r>
        <w:rPr>
          <w:rFonts w:ascii="宋体" w:eastAsia="宋体" w:hAnsi="宋体" w:hint="eastAsia"/>
          <w:sz w:val="24"/>
          <w:szCs w:val="24"/>
        </w:rPr>
        <w:t>拟</w:t>
      </w:r>
      <w:r w:rsidRPr="00152DCE">
        <w:rPr>
          <w:rFonts w:ascii="宋体" w:eastAsia="宋体" w:hAnsi="宋体"/>
          <w:sz w:val="24"/>
          <w:szCs w:val="24"/>
        </w:rPr>
        <w:t>与银行等金融机构开展远期结售汇业务，天海工业交易金额不超过600万美元、100万欧元；明晖天海交易金额不超过500万欧元。期限自公司董事会审议通过之日起12个月，交易额度在有效期内可以滚动使用</w:t>
      </w:r>
      <w:r w:rsidR="00EF211E">
        <w:rPr>
          <w:rFonts w:ascii="宋体" w:eastAsia="宋体" w:hAnsi="宋体" w:hint="eastAsia"/>
          <w:sz w:val="24"/>
          <w:szCs w:val="24"/>
        </w:rPr>
        <w:t>，</w:t>
      </w:r>
      <w:r w:rsidRPr="00152DCE">
        <w:rPr>
          <w:rFonts w:ascii="宋体" w:eastAsia="宋体" w:hAnsi="宋体"/>
          <w:sz w:val="24"/>
          <w:szCs w:val="24"/>
        </w:rPr>
        <w:t>额度存续期间，任意时间点的交易总金额(</w:t>
      </w:r>
      <w:proofErr w:type="gramStart"/>
      <w:r w:rsidRPr="00152DCE">
        <w:rPr>
          <w:rFonts w:ascii="宋体" w:eastAsia="宋体" w:hAnsi="宋体"/>
          <w:sz w:val="24"/>
          <w:szCs w:val="24"/>
        </w:rPr>
        <w:t>含交易</w:t>
      </w:r>
      <w:proofErr w:type="gramEnd"/>
      <w:r w:rsidRPr="00152DCE">
        <w:rPr>
          <w:rFonts w:ascii="宋体" w:eastAsia="宋体" w:hAnsi="宋体"/>
          <w:sz w:val="24"/>
          <w:szCs w:val="24"/>
        </w:rPr>
        <w:t>收益再投入金额)不得超过审议</w:t>
      </w:r>
      <w:proofErr w:type="gramStart"/>
      <w:r w:rsidRPr="00152DCE">
        <w:rPr>
          <w:rFonts w:ascii="宋体" w:eastAsia="宋体" w:hAnsi="宋体"/>
          <w:sz w:val="24"/>
          <w:szCs w:val="24"/>
        </w:rPr>
        <w:t>核定总</w:t>
      </w:r>
      <w:proofErr w:type="gramEnd"/>
      <w:r w:rsidRPr="00152DCE">
        <w:rPr>
          <w:rFonts w:ascii="宋体" w:eastAsia="宋体" w:hAnsi="宋体"/>
          <w:sz w:val="24"/>
          <w:szCs w:val="24"/>
        </w:rPr>
        <w:t>额度。</w:t>
      </w:r>
    </w:p>
    <w:p w14:paraId="337AB89E" w14:textId="68DB2A6B" w:rsidR="006E0508" w:rsidRPr="006E0508" w:rsidRDefault="006E0508" w:rsidP="0081287F">
      <w:pPr>
        <w:spacing w:line="500" w:lineRule="exact"/>
        <w:ind w:firstLineChars="200" w:firstLine="480"/>
        <w:rPr>
          <w:rFonts w:ascii="宋体" w:eastAsia="宋体" w:hAnsi="宋体" w:hint="eastAsia"/>
          <w:sz w:val="24"/>
          <w:szCs w:val="24"/>
        </w:rPr>
      </w:pPr>
      <w:r w:rsidRPr="006E0508">
        <w:rPr>
          <w:rFonts w:ascii="宋体" w:eastAsia="宋体" w:hAnsi="宋体"/>
          <w:sz w:val="24"/>
          <w:szCs w:val="24"/>
        </w:rPr>
        <w:t>在上述授权额度和期限内，天海工业及明晖天海经营管理层根据实际情况开展远期结售汇业务并签署相关协议。如单笔交易的存续期超过了决议的有效期，则有效期自动顺延至该笔交易终止时止。</w:t>
      </w:r>
    </w:p>
    <w:p w14:paraId="1F7BE36C" w14:textId="77777777" w:rsidR="0081287F" w:rsidRPr="00FF626C" w:rsidRDefault="00697292" w:rsidP="0081287F">
      <w:pPr>
        <w:spacing w:line="500" w:lineRule="exact"/>
        <w:ind w:firstLineChars="200" w:firstLine="480"/>
        <w:rPr>
          <w:rFonts w:ascii="宋体" w:eastAsia="宋体" w:hAnsi="宋体" w:hint="eastAsia"/>
          <w:sz w:val="24"/>
          <w:szCs w:val="24"/>
        </w:rPr>
      </w:pPr>
      <w:r w:rsidRPr="00697292">
        <w:rPr>
          <w:rFonts w:ascii="宋体" w:eastAsia="宋体" w:hAnsi="宋体"/>
          <w:sz w:val="24"/>
          <w:szCs w:val="24"/>
        </w:rPr>
        <w:t>4、</w:t>
      </w:r>
      <w:r w:rsidR="0081287F" w:rsidRPr="00FF626C">
        <w:rPr>
          <w:rFonts w:ascii="宋体" w:eastAsia="宋体" w:hAnsi="宋体"/>
          <w:sz w:val="24"/>
          <w:szCs w:val="24"/>
        </w:rPr>
        <w:t>开展远期结售汇业务的资金来源</w:t>
      </w:r>
    </w:p>
    <w:p w14:paraId="7C9C6A8F" w14:textId="644C9EDC" w:rsidR="0081287F" w:rsidRDefault="0081287F" w:rsidP="0081287F">
      <w:pPr>
        <w:spacing w:line="500" w:lineRule="exact"/>
        <w:ind w:firstLineChars="200" w:firstLine="480"/>
        <w:rPr>
          <w:rFonts w:ascii="宋体" w:eastAsia="宋体" w:hAnsi="宋体" w:hint="eastAsia"/>
          <w:sz w:val="24"/>
          <w:szCs w:val="24"/>
        </w:rPr>
      </w:pPr>
      <w:r w:rsidRPr="0081287F">
        <w:rPr>
          <w:rFonts w:ascii="宋体" w:eastAsia="宋体" w:hAnsi="宋体" w:hint="eastAsia"/>
          <w:sz w:val="24"/>
          <w:szCs w:val="24"/>
        </w:rPr>
        <w:t>资金来源为自有资金，不涉及募集资金和其他专项用途资金。</w:t>
      </w:r>
    </w:p>
    <w:p w14:paraId="676ED3F2" w14:textId="77777777" w:rsidR="00697292" w:rsidRPr="0081287F" w:rsidRDefault="00697292" w:rsidP="00697292">
      <w:pPr>
        <w:spacing w:line="500" w:lineRule="exact"/>
        <w:ind w:firstLineChars="200" w:firstLine="482"/>
        <w:rPr>
          <w:rFonts w:ascii="宋体" w:eastAsia="宋体" w:hAnsi="宋体" w:hint="eastAsia"/>
          <w:b/>
          <w:bCs/>
          <w:sz w:val="24"/>
          <w:szCs w:val="24"/>
        </w:rPr>
      </w:pPr>
      <w:r w:rsidRPr="0081287F">
        <w:rPr>
          <w:rFonts w:ascii="宋体" w:eastAsia="宋体" w:hAnsi="宋体"/>
          <w:b/>
          <w:bCs/>
          <w:sz w:val="24"/>
          <w:szCs w:val="24"/>
        </w:rPr>
        <w:t>二、审议程序</w:t>
      </w:r>
    </w:p>
    <w:p w14:paraId="405E1522" w14:textId="4F58D2D6" w:rsidR="00697292" w:rsidRPr="00697292" w:rsidRDefault="0081287F" w:rsidP="00697292">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本议案</w:t>
      </w:r>
      <w:r w:rsidR="00697292" w:rsidRPr="00697292">
        <w:rPr>
          <w:rFonts w:ascii="宋体" w:eastAsia="宋体" w:hAnsi="宋体"/>
          <w:sz w:val="24"/>
          <w:szCs w:val="24"/>
        </w:rPr>
        <w:t>已经公司</w:t>
      </w:r>
      <w:r w:rsidR="0085505A" w:rsidRPr="0085505A">
        <w:rPr>
          <w:rFonts w:ascii="宋体" w:eastAsia="宋体" w:hAnsi="宋体"/>
          <w:sz w:val="24"/>
          <w:szCs w:val="24"/>
        </w:rPr>
        <w:t>第</w:t>
      </w:r>
      <w:r w:rsidR="0085505A">
        <w:rPr>
          <w:rFonts w:ascii="宋体" w:eastAsia="宋体" w:hAnsi="宋体" w:hint="eastAsia"/>
          <w:sz w:val="24"/>
          <w:szCs w:val="24"/>
        </w:rPr>
        <w:t>十二届</w:t>
      </w:r>
      <w:r w:rsidR="0085505A" w:rsidRPr="0085505A">
        <w:rPr>
          <w:rFonts w:ascii="宋体" w:eastAsia="宋体" w:hAnsi="宋体"/>
          <w:sz w:val="24"/>
          <w:szCs w:val="24"/>
        </w:rPr>
        <w:t>董事会审计委员会第</w:t>
      </w:r>
      <w:r w:rsidR="0085505A">
        <w:rPr>
          <w:rFonts w:ascii="宋体" w:eastAsia="宋体" w:hAnsi="宋体" w:hint="eastAsia"/>
          <w:sz w:val="24"/>
          <w:szCs w:val="24"/>
        </w:rPr>
        <w:t>二</w:t>
      </w:r>
      <w:r w:rsidR="0085505A" w:rsidRPr="0085505A">
        <w:rPr>
          <w:rFonts w:ascii="宋体" w:eastAsia="宋体" w:hAnsi="宋体"/>
          <w:sz w:val="24"/>
          <w:szCs w:val="24"/>
        </w:rPr>
        <w:t>次会议</w:t>
      </w:r>
      <w:r w:rsidR="0085505A">
        <w:rPr>
          <w:rFonts w:ascii="宋体" w:eastAsia="宋体" w:hAnsi="宋体" w:hint="eastAsia"/>
          <w:sz w:val="24"/>
          <w:szCs w:val="24"/>
        </w:rPr>
        <w:t>及</w:t>
      </w:r>
      <w:r w:rsidR="00697292" w:rsidRPr="00697292">
        <w:rPr>
          <w:rFonts w:ascii="宋体" w:eastAsia="宋体" w:hAnsi="宋体"/>
          <w:sz w:val="24"/>
          <w:szCs w:val="24"/>
        </w:rPr>
        <w:t>第</w:t>
      </w:r>
      <w:r>
        <w:rPr>
          <w:rFonts w:ascii="宋体" w:eastAsia="宋体" w:hAnsi="宋体" w:hint="eastAsia"/>
          <w:sz w:val="24"/>
          <w:szCs w:val="24"/>
        </w:rPr>
        <w:t>十二</w:t>
      </w:r>
      <w:r w:rsidR="00697292" w:rsidRPr="00697292">
        <w:rPr>
          <w:rFonts w:ascii="宋体" w:eastAsia="宋体" w:hAnsi="宋体"/>
          <w:sz w:val="24"/>
          <w:szCs w:val="24"/>
        </w:rPr>
        <w:t>届董事会第</w:t>
      </w:r>
      <w:r>
        <w:rPr>
          <w:rFonts w:ascii="宋体" w:eastAsia="宋体" w:hAnsi="宋体" w:hint="eastAsia"/>
          <w:sz w:val="24"/>
          <w:szCs w:val="24"/>
        </w:rPr>
        <w:t>一</w:t>
      </w:r>
      <w:r w:rsidR="00697292" w:rsidRPr="00697292">
        <w:rPr>
          <w:rFonts w:ascii="宋体" w:eastAsia="宋体" w:hAnsi="宋体"/>
          <w:sz w:val="24"/>
          <w:szCs w:val="24"/>
        </w:rPr>
        <w:t>次会议审议通过，无需提交股东会审议。</w:t>
      </w:r>
    </w:p>
    <w:p w14:paraId="745D8421" w14:textId="77777777" w:rsidR="00697292" w:rsidRPr="0081287F" w:rsidRDefault="00697292" w:rsidP="00697292">
      <w:pPr>
        <w:spacing w:line="500" w:lineRule="exact"/>
        <w:ind w:firstLineChars="200" w:firstLine="482"/>
        <w:rPr>
          <w:rFonts w:ascii="宋体" w:eastAsia="宋体" w:hAnsi="宋体" w:hint="eastAsia"/>
          <w:b/>
          <w:bCs/>
          <w:sz w:val="24"/>
          <w:szCs w:val="24"/>
        </w:rPr>
      </w:pPr>
      <w:r w:rsidRPr="0081287F">
        <w:rPr>
          <w:rFonts w:ascii="宋体" w:eastAsia="宋体" w:hAnsi="宋体"/>
          <w:b/>
          <w:bCs/>
          <w:sz w:val="24"/>
          <w:szCs w:val="24"/>
        </w:rPr>
        <w:t>三、风险分析</w:t>
      </w:r>
    </w:p>
    <w:p w14:paraId="2FC2B2F5" w14:textId="77777777" w:rsidR="0081287F" w:rsidRPr="0081287F" w:rsidRDefault="0081287F" w:rsidP="0081287F">
      <w:pPr>
        <w:spacing w:line="500" w:lineRule="exact"/>
        <w:ind w:firstLineChars="200" w:firstLine="480"/>
        <w:rPr>
          <w:rFonts w:ascii="宋体" w:eastAsia="宋体" w:hAnsi="宋体" w:hint="eastAsia"/>
          <w:sz w:val="24"/>
          <w:szCs w:val="24"/>
        </w:rPr>
      </w:pPr>
      <w:r w:rsidRPr="0081287F">
        <w:rPr>
          <w:rFonts w:ascii="宋体" w:eastAsia="宋体" w:hAnsi="宋体" w:hint="eastAsia"/>
          <w:sz w:val="24"/>
          <w:szCs w:val="24"/>
        </w:rPr>
        <w:t>远期结售汇业务可以在汇率发生大幅波动时，降低汇率波动对生产经营的影响，但业务操作时仍存在一定的风险：</w:t>
      </w:r>
    </w:p>
    <w:p w14:paraId="5B5839F1" w14:textId="2B45EC19" w:rsidR="0081287F" w:rsidRPr="0081287F"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1、</w:t>
      </w:r>
      <w:r w:rsidRPr="0081287F">
        <w:rPr>
          <w:rFonts w:ascii="宋体" w:eastAsia="宋体" w:hAnsi="宋体" w:hint="eastAsia"/>
          <w:sz w:val="24"/>
          <w:szCs w:val="24"/>
        </w:rPr>
        <w:t>汇率波动风险：汇率变化存在很大的不确定性，在外汇汇率走势与判断汇率波动方向发生大幅偏离的情况下，锁定汇率后支出的成本可能超过</w:t>
      </w:r>
      <w:proofErr w:type="gramStart"/>
      <w:r w:rsidRPr="0081287F">
        <w:rPr>
          <w:rFonts w:ascii="宋体" w:eastAsia="宋体" w:hAnsi="宋体" w:hint="eastAsia"/>
          <w:sz w:val="24"/>
          <w:szCs w:val="24"/>
        </w:rPr>
        <w:t>不</w:t>
      </w:r>
      <w:proofErr w:type="gramEnd"/>
      <w:r w:rsidRPr="0081287F">
        <w:rPr>
          <w:rFonts w:ascii="宋体" w:eastAsia="宋体" w:hAnsi="宋体" w:hint="eastAsia"/>
          <w:sz w:val="24"/>
          <w:szCs w:val="24"/>
        </w:rPr>
        <w:t xml:space="preserve">锁定时的成本支出，从而造成损失。 </w:t>
      </w:r>
    </w:p>
    <w:p w14:paraId="62B3C3B1" w14:textId="4AEB40B2" w:rsidR="0081287F" w:rsidRPr="0081287F"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2、</w:t>
      </w:r>
      <w:r w:rsidRPr="0081287F">
        <w:rPr>
          <w:rFonts w:ascii="宋体" w:eastAsia="宋体" w:hAnsi="宋体" w:hint="eastAsia"/>
          <w:sz w:val="24"/>
          <w:szCs w:val="24"/>
        </w:rPr>
        <w:t>履约风险：在合约期限内合作的金融机构出现经营问题、市场失灵等重大不可</w:t>
      </w:r>
      <w:proofErr w:type="gramStart"/>
      <w:r w:rsidRPr="0081287F">
        <w:rPr>
          <w:rFonts w:ascii="宋体" w:eastAsia="宋体" w:hAnsi="宋体" w:hint="eastAsia"/>
          <w:sz w:val="24"/>
          <w:szCs w:val="24"/>
        </w:rPr>
        <w:t>控风险</w:t>
      </w:r>
      <w:proofErr w:type="gramEnd"/>
      <w:r w:rsidRPr="0081287F">
        <w:rPr>
          <w:rFonts w:ascii="宋体" w:eastAsia="宋体" w:hAnsi="宋体" w:hint="eastAsia"/>
          <w:sz w:val="24"/>
          <w:szCs w:val="24"/>
        </w:rPr>
        <w:t xml:space="preserve">情形或其他情形，导致合约到期时不能以合约价格交割原有外汇合约，即合约到期无法履约而带来的风险。 </w:t>
      </w:r>
    </w:p>
    <w:p w14:paraId="41D4B6BB" w14:textId="5BB90CC3" w:rsidR="00697292" w:rsidRPr="00697292"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3、</w:t>
      </w:r>
      <w:r w:rsidRPr="0081287F">
        <w:rPr>
          <w:rFonts w:ascii="宋体" w:eastAsia="宋体" w:hAnsi="宋体" w:hint="eastAsia"/>
          <w:sz w:val="24"/>
          <w:szCs w:val="24"/>
        </w:rPr>
        <w:t>客户违约风险：客户应收账款发生逾期，货款无法在预测的回收期内收回，会造成延期交割导致损失。</w:t>
      </w:r>
    </w:p>
    <w:p w14:paraId="1872EA98" w14:textId="77777777" w:rsidR="00697292" w:rsidRPr="0081287F" w:rsidRDefault="00697292" w:rsidP="00697292">
      <w:pPr>
        <w:spacing w:line="500" w:lineRule="exact"/>
        <w:ind w:firstLineChars="200" w:firstLine="482"/>
        <w:rPr>
          <w:rFonts w:ascii="宋体" w:eastAsia="宋体" w:hAnsi="宋体" w:hint="eastAsia"/>
          <w:b/>
          <w:bCs/>
          <w:sz w:val="24"/>
          <w:szCs w:val="24"/>
        </w:rPr>
      </w:pPr>
      <w:r w:rsidRPr="0081287F">
        <w:rPr>
          <w:rFonts w:ascii="宋体" w:eastAsia="宋体" w:hAnsi="宋体"/>
          <w:b/>
          <w:bCs/>
          <w:sz w:val="24"/>
          <w:szCs w:val="24"/>
        </w:rPr>
        <w:lastRenderedPageBreak/>
        <w:t>四、风险控制措施</w:t>
      </w:r>
    </w:p>
    <w:p w14:paraId="7DDE03EC" w14:textId="77777777" w:rsidR="0081287F" w:rsidRPr="0081287F" w:rsidRDefault="0081287F" w:rsidP="0081287F">
      <w:pPr>
        <w:spacing w:line="500" w:lineRule="exact"/>
        <w:ind w:firstLineChars="200" w:firstLine="480"/>
        <w:rPr>
          <w:rFonts w:ascii="宋体" w:eastAsia="宋体" w:hAnsi="宋体" w:hint="eastAsia"/>
          <w:sz w:val="24"/>
          <w:szCs w:val="24"/>
        </w:rPr>
      </w:pPr>
      <w:r w:rsidRPr="0081287F">
        <w:rPr>
          <w:rFonts w:ascii="宋体" w:eastAsia="宋体" w:hAnsi="宋体" w:hint="eastAsia"/>
          <w:sz w:val="24"/>
          <w:szCs w:val="24"/>
        </w:rPr>
        <w:t>为尽可能降低远期结售汇业务的上述风险，天海工业及明晖天海将积极采取措施控制相关风险：</w:t>
      </w:r>
    </w:p>
    <w:p w14:paraId="49497BD4" w14:textId="078DC4E1" w:rsidR="0081287F" w:rsidRPr="0081287F"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1、</w:t>
      </w:r>
      <w:r w:rsidRPr="0081287F">
        <w:rPr>
          <w:rFonts w:ascii="宋体" w:eastAsia="宋体" w:hAnsi="宋体" w:hint="eastAsia"/>
          <w:sz w:val="24"/>
          <w:szCs w:val="24"/>
        </w:rPr>
        <w:t xml:space="preserve">为避免汇率大幅波动风险，持续加强对汇率的研究分析，实时关注国际市场环境变化，适时调整策略，最大限度地避免汇兑损失。 </w:t>
      </w:r>
    </w:p>
    <w:p w14:paraId="2320610A" w14:textId="3D619F9A" w:rsidR="0081287F" w:rsidRPr="0081287F"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2、</w:t>
      </w:r>
      <w:r w:rsidRPr="0081287F">
        <w:rPr>
          <w:rFonts w:ascii="宋体" w:eastAsia="宋体" w:hAnsi="宋体" w:hint="eastAsia"/>
          <w:sz w:val="24"/>
          <w:szCs w:val="24"/>
        </w:rPr>
        <w:t>为控制履约风险，仅与具备</w:t>
      </w:r>
      <w:proofErr w:type="gramStart"/>
      <w:r w:rsidRPr="0081287F">
        <w:rPr>
          <w:rFonts w:ascii="宋体" w:eastAsia="宋体" w:hAnsi="宋体" w:hint="eastAsia"/>
          <w:sz w:val="24"/>
          <w:szCs w:val="24"/>
        </w:rPr>
        <w:t>合法业务</w:t>
      </w:r>
      <w:proofErr w:type="gramEnd"/>
      <w:r w:rsidRPr="0081287F">
        <w:rPr>
          <w:rFonts w:ascii="宋体" w:eastAsia="宋体" w:hAnsi="宋体" w:hint="eastAsia"/>
          <w:sz w:val="24"/>
          <w:szCs w:val="24"/>
        </w:rPr>
        <w:t>资质的大型银行等金融机构开展远期结售汇业务。</w:t>
      </w:r>
    </w:p>
    <w:p w14:paraId="2C377B20" w14:textId="30FBB661" w:rsidR="0081287F" w:rsidRDefault="0081287F"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3、</w:t>
      </w:r>
      <w:r w:rsidRPr="0081287F">
        <w:rPr>
          <w:rFonts w:ascii="宋体" w:eastAsia="宋体" w:hAnsi="宋体" w:hint="eastAsia"/>
          <w:sz w:val="24"/>
          <w:szCs w:val="24"/>
        </w:rPr>
        <w:t>为防止远期结售汇延期交割，会高度重视应收账款管理，避免出现应收账款逾期现象，降低客户违约风险。</w:t>
      </w:r>
    </w:p>
    <w:p w14:paraId="048AE040" w14:textId="75532570" w:rsidR="00F13B2D" w:rsidRPr="0081287F" w:rsidRDefault="00F13B2D" w:rsidP="0081287F">
      <w:pPr>
        <w:spacing w:line="500" w:lineRule="exact"/>
        <w:ind w:firstLineChars="200" w:firstLine="480"/>
        <w:rPr>
          <w:rFonts w:ascii="宋体" w:eastAsia="宋体" w:hAnsi="宋体" w:hint="eastAsia"/>
          <w:sz w:val="24"/>
          <w:szCs w:val="24"/>
        </w:rPr>
      </w:pPr>
      <w:r>
        <w:rPr>
          <w:rFonts w:ascii="宋体" w:eastAsia="宋体" w:hAnsi="宋体" w:hint="eastAsia"/>
          <w:sz w:val="24"/>
          <w:szCs w:val="24"/>
        </w:rPr>
        <w:t>4、</w:t>
      </w:r>
      <w:r w:rsidRPr="00F13B2D">
        <w:rPr>
          <w:rFonts w:ascii="宋体" w:eastAsia="宋体" w:hAnsi="宋体"/>
          <w:sz w:val="24"/>
          <w:szCs w:val="24"/>
        </w:rPr>
        <w:t>公司董事会审计委员会将定期或不定期对远期结售汇交易进行监督与检查。</w:t>
      </w:r>
    </w:p>
    <w:p w14:paraId="0F52D57D" w14:textId="1F9F3B57" w:rsidR="0081287F" w:rsidRPr="0081287F" w:rsidRDefault="0081287F" w:rsidP="0081287F">
      <w:pPr>
        <w:spacing w:line="500" w:lineRule="exact"/>
        <w:ind w:firstLineChars="200" w:firstLine="480"/>
        <w:rPr>
          <w:rFonts w:ascii="宋体" w:eastAsia="宋体" w:hAnsi="宋体" w:hint="eastAsia"/>
          <w:sz w:val="24"/>
          <w:szCs w:val="24"/>
        </w:rPr>
      </w:pPr>
      <w:r w:rsidRPr="0081287F">
        <w:rPr>
          <w:rFonts w:ascii="宋体" w:eastAsia="宋体" w:hAnsi="宋体" w:hint="eastAsia"/>
          <w:sz w:val="24"/>
          <w:szCs w:val="24"/>
        </w:rPr>
        <w:t>天海工业及明晖天海将在保障日常经营资金正常周转的前提下，根据公司《远期结售汇业务管理制度》的相关规定，严守风险管控底线，开展远期结售汇业务。</w:t>
      </w:r>
    </w:p>
    <w:p w14:paraId="1ACA0A8B" w14:textId="3108CF99" w:rsidR="00BD648D" w:rsidRPr="00E428E1" w:rsidRDefault="00BD648D" w:rsidP="00E428E1">
      <w:pPr>
        <w:spacing w:line="500" w:lineRule="exact"/>
        <w:ind w:firstLineChars="200" w:firstLine="480"/>
        <w:rPr>
          <w:rFonts w:ascii="宋体" w:eastAsia="宋体" w:hAnsi="宋体" w:cs="Times New Roman" w:hint="eastAsia"/>
          <w:sz w:val="24"/>
          <w:szCs w:val="24"/>
        </w:rPr>
      </w:pPr>
      <w:r w:rsidRPr="00E428E1">
        <w:rPr>
          <w:rFonts w:ascii="宋体" w:eastAsia="宋体" w:hAnsi="宋体" w:cs="Times New Roman"/>
          <w:sz w:val="24"/>
          <w:szCs w:val="24"/>
        </w:rPr>
        <w:t>特此公告。</w:t>
      </w:r>
    </w:p>
    <w:p w14:paraId="540348B1" w14:textId="77777777" w:rsidR="00BD648D" w:rsidRDefault="00BD648D" w:rsidP="00D10369">
      <w:pPr>
        <w:spacing w:line="500" w:lineRule="exact"/>
        <w:ind w:firstLineChars="200" w:firstLine="480"/>
        <w:rPr>
          <w:rFonts w:ascii="Times New Roman" w:eastAsia="宋体" w:hAnsi="Times New Roman" w:cs="Times New Roman"/>
          <w:sz w:val="24"/>
          <w:szCs w:val="24"/>
        </w:rPr>
      </w:pPr>
    </w:p>
    <w:p w14:paraId="6CD9ED8C" w14:textId="75EAF2A3" w:rsidR="00BD648D" w:rsidRPr="00245F61" w:rsidRDefault="00BD648D" w:rsidP="00CC16FE">
      <w:pPr>
        <w:spacing w:line="500" w:lineRule="exact"/>
        <w:ind w:firstLineChars="200" w:firstLine="480"/>
        <w:jc w:val="right"/>
        <w:rPr>
          <w:rFonts w:ascii="Times New Roman" w:eastAsia="宋体" w:hAnsi="Times New Roman" w:cs="Times New Roman"/>
          <w:sz w:val="24"/>
          <w:szCs w:val="24"/>
        </w:rPr>
      </w:pPr>
      <w:r w:rsidRPr="00245F61">
        <w:rPr>
          <w:rFonts w:ascii="Times New Roman" w:eastAsia="宋体" w:hAnsi="Times New Roman" w:cs="Times New Roman"/>
          <w:sz w:val="24"/>
          <w:szCs w:val="24"/>
        </w:rPr>
        <w:t>北京京城机电股份有限公司董事会</w:t>
      </w:r>
    </w:p>
    <w:p w14:paraId="2E05AF6C" w14:textId="0FE59753" w:rsidR="005B0DA7" w:rsidRPr="00245F61" w:rsidRDefault="005B0DA7" w:rsidP="00CC16FE">
      <w:pPr>
        <w:spacing w:line="500" w:lineRule="exact"/>
        <w:ind w:right="480" w:firstLineChars="200" w:firstLine="480"/>
        <w:jc w:val="right"/>
        <w:rPr>
          <w:rFonts w:ascii="Times New Roman" w:eastAsia="宋体" w:hAnsi="Times New Roman" w:cs="Times New Roman"/>
          <w:sz w:val="24"/>
          <w:szCs w:val="24"/>
        </w:rPr>
      </w:pPr>
      <w:r w:rsidRPr="00B30486">
        <w:rPr>
          <w:rFonts w:ascii="Times New Roman" w:eastAsia="宋体" w:hAnsi="Times New Roman" w:cs="Times New Roman"/>
          <w:sz w:val="24"/>
          <w:szCs w:val="24"/>
        </w:rPr>
        <w:t>202</w:t>
      </w:r>
      <w:r w:rsidR="00CE22F1">
        <w:rPr>
          <w:rFonts w:ascii="Times New Roman" w:eastAsia="宋体" w:hAnsi="Times New Roman" w:cs="Times New Roman" w:hint="eastAsia"/>
          <w:sz w:val="24"/>
          <w:szCs w:val="24"/>
        </w:rPr>
        <w:t>6</w:t>
      </w:r>
      <w:r w:rsidRPr="00B30486">
        <w:rPr>
          <w:rFonts w:ascii="Times New Roman" w:eastAsia="宋体" w:hAnsi="Times New Roman" w:cs="Times New Roman"/>
          <w:sz w:val="24"/>
          <w:szCs w:val="24"/>
        </w:rPr>
        <w:t>年</w:t>
      </w:r>
      <w:r w:rsidR="00D10369">
        <w:rPr>
          <w:rFonts w:ascii="Times New Roman" w:eastAsia="宋体" w:hAnsi="Times New Roman" w:cs="Times New Roman"/>
          <w:sz w:val="24"/>
          <w:szCs w:val="24"/>
        </w:rPr>
        <w:t>8</w:t>
      </w:r>
      <w:r w:rsidRPr="00B30486">
        <w:rPr>
          <w:rFonts w:ascii="Times New Roman" w:eastAsia="宋体" w:hAnsi="Times New Roman" w:cs="Times New Roman"/>
          <w:sz w:val="24"/>
          <w:szCs w:val="24"/>
        </w:rPr>
        <w:t>月</w:t>
      </w:r>
      <w:r w:rsidR="00D10369">
        <w:rPr>
          <w:rFonts w:ascii="Times New Roman" w:eastAsia="宋体" w:hAnsi="Times New Roman" w:cs="Times New Roman"/>
          <w:sz w:val="24"/>
          <w:szCs w:val="24"/>
        </w:rPr>
        <w:t>1</w:t>
      </w:r>
      <w:r w:rsidR="00CE22F1">
        <w:rPr>
          <w:rFonts w:ascii="Times New Roman" w:eastAsia="宋体" w:hAnsi="Times New Roman" w:cs="Times New Roman" w:hint="eastAsia"/>
          <w:sz w:val="24"/>
          <w:szCs w:val="24"/>
        </w:rPr>
        <w:t>4</w:t>
      </w:r>
      <w:r w:rsidRPr="00B30486">
        <w:rPr>
          <w:rFonts w:ascii="Times New Roman" w:eastAsia="宋体" w:hAnsi="Times New Roman" w:cs="Times New Roman"/>
          <w:sz w:val="24"/>
          <w:szCs w:val="24"/>
        </w:rPr>
        <w:t>日</w:t>
      </w:r>
    </w:p>
    <w:p w14:paraId="18A40807" w14:textId="7756BCF0" w:rsidR="00F31D98" w:rsidRPr="00EC04EB" w:rsidRDefault="005B0DA7" w:rsidP="007F7E39">
      <w:pPr>
        <w:spacing w:beforeLines="50" w:before="156" w:afterLines="50" w:after="156" w:line="360" w:lineRule="auto"/>
        <w:ind w:right="480" w:firstLineChars="200" w:firstLine="480"/>
        <w:jc w:val="right"/>
        <w:rPr>
          <w:rFonts w:ascii="Times New Roman" w:eastAsia="宋体" w:hAnsi="Times New Roman" w:cs="Times New Roman"/>
          <w:b/>
          <w:color w:val="000000" w:themeColor="text1"/>
          <w:sz w:val="24"/>
        </w:rPr>
      </w:pPr>
      <w:r w:rsidRPr="00245F61">
        <w:rPr>
          <w:rFonts w:ascii="Times New Roman" w:eastAsia="宋体" w:hAnsi="Times New Roman" w:cs="Times New Roman"/>
          <w:sz w:val="24"/>
          <w:szCs w:val="24"/>
        </w:rPr>
        <w:t xml:space="preserve">    </w:t>
      </w:r>
    </w:p>
    <w:sectPr w:rsidR="00F31D98" w:rsidRPr="00EC04EB" w:rsidSect="00586BFE">
      <w:footerReference w:type="default" r:id="rId7"/>
      <w:pgSz w:w="11906" w:h="16838"/>
      <w:pgMar w:top="1440" w:right="1800" w:bottom="1440" w:left="1800" w:header="17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82DD" w14:textId="77777777" w:rsidR="002D7A8C" w:rsidRDefault="002D7A8C" w:rsidP="00DE1847">
      <w:pPr>
        <w:rPr>
          <w:rFonts w:hint="eastAsia"/>
        </w:rPr>
      </w:pPr>
      <w:r>
        <w:separator/>
      </w:r>
    </w:p>
  </w:endnote>
  <w:endnote w:type="continuationSeparator" w:id="0">
    <w:p w14:paraId="39888906" w14:textId="77777777" w:rsidR="002D7A8C" w:rsidRDefault="002D7A8C" w:rsidP="00DE184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802521"/>
      <w:docPartObj>
        <w:docPartGallery w:val="Page Numbers (Bottom of Page)"/>
        <w:docPartUnique/>
      </w:docPartObj>
    </w:sdtPr>
    <w:sdtContent>
      <w:p w14:paraId="49A32A09" w14:textId="77777777" w:rsidR="00165D50" w:rsidRDefault="00165D50">
        <w:pPr>
          <w:pStyle w:val="a5"/>
          <w:jc w:val="center"/>
          <w:rPr>
            <w:rFonts w:hint="eastAsia"/>
          </w:rPr>
        </w:pPr>
        <w:r>
          <w:fldChar w:fldCharType="begin"/>
        </w:r>
        <w:r>
          <w:instrText>PAGE   \* MERGEFORMAT</w:instrText>
        </w:r>
        <w:r>
          <w:fldChar w:fldCharType="separate"/>
        </w:r>
        <w:r w:rsidR="00B30486" w:rsidRPr="00B30486">
          <w:rPr>
            <w:noProof/>
            <w:lang w:val="zh-CN"/>
          </w:rPr>
          <w:t>5</w:t>
        </w:r>
        <w:r>
          <w:fldChar w:fldCharType="end"/>
        </w:r>
      </w:p>
    </w:sdtContent>
  </w:sdt>
  <w:p w14:paraId="139070D7" w14:textId="77777777" w:rsidR="00165D50" w:rsidRDefault="00165D5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7C90" w14:textId="77777777" w:rsidR="002D7A8C" w:rsidRDefault="002D7A8C" w:rsidP="00DE1847">
      <w:pPr>
        <w:rPr>
          <w:rFonts w:hint="eastAsia"/>
        </w:rPr>
      </w:pPr>
      <w:r>
        <w:separator/>
      </w:r>
    </w:p>
  </w:footnote>
  <w:footnote w:type="continuationSeparator" w:id="0">
    <w:p w14:paraId="0122DCB1" w14:textId="77777777" w:rsidR="002D7A8C" w:rsidRDefault="002D7A8C" w:rsidP="00DE184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5AE"/>
    <w:rsid w:val="000024EF"/>
    <w:rsid w:val="00002A44"/>
    <w:rsid w:val="00033203"/>
    <w:rsid w:val="00042A68"/>
    <w:rsid w:val="00042DC1"/>
    <w:rsid w:val="00062DEA"/>
    <w:rsid w:val="000836B7"/>
    <w:rsid w:val="00092688"/>
    <w:rsid w:val="000A565B"/>
    <w:rsid w:val="000A5EF1"/>
    <w:rsid w:val="000C0C5F"/>
    <w:rsid w:val="000D275B"/>
    <w:rsid w:val="000E5794"/>
    <w:rsid w:val="00104641"/>
    <w:rsid w:val="00111671"/>
    <w:rsid w:val="00116760"/>
    <w:rsid w:val="00134F38"/>
    <w:rsid w:val="0014217C"/>
    <w:rsid w:val="00151EC4"/>
    <w:rsid w:val="00152DCE"/>
    <w:rsid w:val="00157525"/>
    <w:rsid w:val="00162B5D"/>
    <w:rsid w:val="00164BC4"/>
    <w:rsid w:val="00165D50"/>
    <w:rsid w:val="00180D2B"/>
    <w:rsid w:val="001A55AE"/>
    <w:rsid w:val="001B255B"/>
    <w:rsid w:val="001C1824"/>
    <w:rsid w:val="001D565A"/>
    <w:rsid w:val="001D60C3"/>
    <w:rsid w:val="001E0A02"/>
    <w:rsid w:val="001E220D"/>
    <w:rsid w:val="001F4520"/>
    <w:rsid w:val="00201FF3"/>
    <w:rsid w:val="00212E65"/>
    <w:rsid w:val="00214B5F"/>
    <w:rsid w:val="00223F98"/>
    <w:rsid w:val="00225752"/>
    <w:rsid w:val="00235164"/>
    <w:rsid w:val="00245F61"/>
    <w:rsid w:val="002613EF"/>
    <w:rsid w:val="00261951"/>
    <w:rsid w:val="0027262F"/>
    <w:rsid w:val="00273962"/>
    <w:rsid w:val="00283BED"/>
    <w:rsid w:val="00292B9F"/>
    <w:rsid w:val="00295978"/>
    <w:rsid w:val="0029785F"/>
    <w:rsid w:val="002A5350"/>
    <w:rsid w:val="002C75E8"/>
    <w:rsid w:val="002D2FA5"/>
    <w:rsid w:val="002D34F8"/>
    <w:rsid w:val="002D4D2A"/>
    <w:rsid w:val="002D7A8C"/>
    <w:rsid w:val="002E1A25"/>
    <w:rsid w:val="002F39E0"/>
    <w:rsid w:val="00300562"/>
    <w:rsid w:val="003175E2"/>
    <w:rsid w:val="00320F0C"/>
    <w:rsid w:val="003248AF"/>
    <w:rsid w:val="00334C27"/>
    <w:rsid w:val="003443F5"/>
    <w:rsid w:val="00345036"/>
    <w:rsid w:val="0034716C"/>
    <w:rsid w:val="003527B9"/>
    <w:rsid w:val="00352D13"/>
    <w:rsid w:val="00372026"/>
    <w:rsid w:val="00377316"/>
    <w:rsid w:val="003776BA"/>
    <w:rsid w:val="00380AC5"/>
    <w:rsid w:val="00385C3D"/>
    <w:rsid w:val="003872D9"/>
    <w:rsid w:val="003A16F9"/>
    <w:rsid w:val="003D4876"/>
    <w:rsid w:val="003F092D"/>
    <w:rsid w:val="003F2DBD"/>
    <w:rsid w:val="003F4AD0"/>
    <w:rsid w:val="00407914"/>
    <w:rsid w:val="00410007"/>
    <w:rsid w:val="00417E2F"/>
    <w:rsid w:val="00420770"/>
    <w:rsid w:val="00440A26"/>
    <w:rsid w:val="00461E11"/>
    <w:rsid w:val="00471248"/>
    <w:rsid w:val="004765BB"/>
    <w:rsid w:val="00477060"/>
    <w:rsid w:val="00487C5B"/>
    <w:rsid w:val="004902E0"/>
    <w:rsid w:val="00492441"/>
    <w:rsid w:val="004A2C74"/>
    <w:rsid w:val="004B2213"/>
    <w:rsid w:val="004B2FC2"/>
    <w:rsid w:val="004B5A5C"/>
    <w:rsid w:val="004C2E73"/>
    <w:rsid w:val="004C5EB3"/>
    <w:rsid w:val="004D021E"/>
    <w:rsid w:val="004D50B4"/>
    <w:rsid w:val="004D6CF2"/>
    <w:rsid w:val="004E6243"/>
    <w:rsid w:val="00507970"/>
    <w:rsid w:val="005139C4"/>
    <w:rsid w:val="005208B4"/>
    <w:rsid w:val="00520BB1"/>
    <w:rsid w:val="005241B8"/>
    <w:rsid w:val="00525275"/>
    <w:rsid w:val="00527F42"/>
    <w:rsid w:val="00544EFC"/>
    <w:rsid w:val="005702C7"/>
    <w:rsid w:val="0057360C"/>
    <w:rsid w:val="00575FD3"/>
    <w:rsid w:val="00584C63"/>
    <w:rsid w:val="00586BFE"/>
    <w:rsid w:val="00590854"/>
    <w:rsid w:val="0059275C"/>
    <w:rsid w:val="00597A79"/>
    <w:rsid w:val="005B0DA7"/>
    <w:rsid w:val="005C0EC1"/>
    <w:rsid w:val="005E14C7"/>
    <w:rsid w:val="005E4243"/>
    <w:rsid w:val="0060236D"/>
    <w:rsid w:val="006028E6"/>
    <w:rsid w:val="0060545C"/>
    <w:rsid w:val="006121CD"/>
    <w:rsid w:val="00615841"/>
    <w:rsid w:val="00616BD7"/>
    <w:rsid w:val="0062072F"/>
    <w:rsid w:val="00633631"/>
    <w:rsid w:val="00640DD1"/>
    <w:rsid w:val="00642E2E"/>
    <w:rsid w:val="00644BDA"/>
    <w:rsid w:val="00646B4A"/>
    <w:rsid w:val="00655AB5"/>
    <w:rsid w:val="00692052"/>
    <w:rsid w:val="00696251"/>
    <w:rsid w:val="00697292"/>
    <w:rsid w:val="006A14E8"/>
    <w:rsid w:val="006A19C7"/>
    <w:rsid w:val="006A5B75"/>
    <w:rsid w:val="006B19FD"/>
    <w:rsid w:val="006B76AB"/>
    <w:rsid w:val="006C7EAF"/>
    <w:rsid w:val="006E0508"/>
    <w:rsid w:val="006E35D6"/>
    <w:rsid w:val="006E3B30"/>
    <w:rsid w:val="006E51B9"/>
    <w:rsid w:val="006F28CD"/>
    <w:rsid w:val="006F3815"/>
    <w:rsid w:val="00700EFD"/>
    <w:rsid w:val="00721C59"/>
    <w:rsid w:val="0072499A"/>
    <w:rsid w:val="00727C6E"/>
    <w:rsid w:val="00727DB8"/>
    <w:rsid w:val="007361D3"/>
    <w:rsid w:val="00744D10"/>
    <w:rsid w:val="007615F6"/>
    <w:rsid w:val="00772561"/>
    <w:rsid w:val="00774E9B"/>
    <w:rsid w:val="007879E0"/>
    <w:rsid w:val="007A79C7"/>
    <w:rsid w:val="007C30C3"/>
    <w:rsid w:val="007D281A"/>
    <w:rsid w:val="007E191D"/>
    <w:rsid w:val="007F7E39"/>
    <w:rsid w:val="007F7F8D"/>
    <w:rsid w:val="00801F3B"/>
    <w:rsid w:val="008039BD"/>
    <w:rsid w:val="0081287F"/>
    <w:rsid w:val="008129C7"/>
    <w:rsid w:val="0083705C"/>
    <w:rsid w:val="00841288"/>
    <w:rsid w:val="0084139A"/>
    <w:rsid w:val="00847EC7"/>
    <w:rsid w:val="00854262"/>
    <w:rsid w:val="0085505A"/>
    <w:rsid w:val="00872E84"/>
    <w:rsid w:val="0087351E"/>
    <w:rsid w:val="00876618"/>
    <w:rsid w:val="00876E9D"/>
    <w:rsid w:val="00877120"/>
    <w:rsid w:val="008A11D8"/>
    <w:rsid w:val="008A4DD9"/>
    <w:rsid w:val="008E1A60"/>
    <w:rsid w:val="008F3A9D"/>
    <w:rsid w:val="008F57FE"/>
    <w:rsid w:val="008F7BAA"/>
    <w:rsid w:val="0090041A"/>
    <w:rsid w:val="00903E4A"/>
    <w:rsid w:val="0091038C"/>
    <w:rsid w:val="0092267C"/>
    <w:rsid w:val="00922CFA"/>
    <w:rsid w:val="00925814"/>
    <w:rsid w:val="0095175B"/>
    <w:rsid w:val="00965D6A"/>
    <w:rsid w:val="00967B65"/>
    <w:rsid w:val="009778C1"/>
    <w:rsid w:val="00985123"/>
    <w:rsid w:val="00993EB5"/>
    <w:rsid w:val="009A1DD2"/>
    <w:rsid w:val="009A73BE"/>
    <w:rsid w:val="009B0C48"/>
    <w:rsid w:val="009C3B7B"/>
    <w:rsid w:val="009D61C3"/>
    <w:rsid w:val="009E5300"/>
    <w:rsid w:val="00A04761"/>
    <w:rsid w:val="00A1468B"/>
    <w:rsid w:val="00A30C0F"/>
    <w:rsid w:val="00A357A6"/>
    <w:rsid w:val="00A40235"/>
    <w:rsid w:val="00A40F41"/>
    <w:rsid w:val="00A438E6"/>
    <w:rsid w:val="00A57DBF"/>
    <w:rsid w:val="00A604AF"/>
    <w:rsid w:val="00A744BE"/>
    <w:rsid w:val="00A806EA"/>
    <w:rsid w:val="00A94DB7"/>
    <w:rsid w:val="00AA2976"/>
    <w:rsid w:val="00AE6E2C"/>
    <w:rsid w:val="00B104D3"/>
    <w:rsid w:val="00B143E3"/>
    <w:rsid w:val="00B30486"/>
    <w:rsid w:val="00B346DE"/>
    <w:rsid w:val="00B4052A"/>
    <w:rsid w:val="00B46265"/>
    <w:rsid w:val="00B564DF"/>
    <w:rsid w:val="00B675A1"/>
    <w:rsid w:val="00B85C1C"/>
    <w:rsid w:val="00B871AC"/>
    <w:rsid w:val="00B93500"/>
    <w:rsid w:val="00B970C3"/>
    <w:rsid w:val="00BD4C64"/>
    <w:rsid w:val="00BD648D"/>
    <w:rsid w:val="00BE0F7E"/>
    <w:rsid w:val="00BE21C8"/>
    <w:rsid w:val="00C21F2A"/>
    <w:rsid w:val="00C23309"/>
    <w:rsid w:val="00C26935"/>
    <w:rsid w:val="00C37613"/>
    <w:rsid w:val="00C441FD"/>
    <w:rsid w:val="00C46FBA"/>
    <w:rsid w:val="00C470D9"/>
    <w:rsid w:val="00C474DC"/>
    <w:rsid w:val="00C51E88"/>
    <w:rsid w:val="00C54313"/>
    <w:rsid w:val="00C543A6"/>
    <w:rsid w:val="00C57731"/>
    <w:rsid w:val="00C64FC1"/>
    <w:rsid w:val="00C754FE"/>
    <w:rsid w:val="00C77A6D"/>
    <w:rsid w:val="00C95BCC"/>
    <w:rsid w:val="00CA1187"/>
    <w:rsid w:val="00CA1264"/>
    <w:rsid w:val="00CA63CE"/>
    <w:rsid w:val="00CC1395"/>
    <w:rsid w:val="00CC16FE"/>
    <w:rsid w:val="00CD02AE"/>
    <w:rsid w:val="00CD0666"/>
    <w:rsid w:val="00CD44A4"/>
    <w:rsid w:val="00CE0B03"/>
    <w:rsid w:val="00CE22F1"/>
    <w:rsid w:val="00CE69F0"/>
    <w:rsid w:val="00CF787F"/>
    <w:rsid w:val="00D10369"/>
    <w:rsid w:val="00D14128"/>
    <w:rsid w:val="00D14D86"/>
    <w:rsid w:val="00D16FE5"/>
    <w:rsid w:val="00D32689"/>
    <w:rsid w:val="00D367E9"/>
    <w:rsid w:val="00D37D99"/>
    <w:rsid w:val="00D4430E"/>
    <w:rsid w:val="00D50162"/>
    <w:rsid w:val="00D5378B"/>
    <w:rsid w:val="00D55AD0"/>
    <w:rsid w:val="00DA4C06"/>
    <w:rsid w:val="00DD23C7"/>
    <w:rsid w:val="00DE1847"/>
    <w:rsid w:val="00DE7D7C"/>
    <w:rsid w:val="00DF1A36"/>
    <w:rsid w:val="00DF2F68"/>
    <w:rsid w:val="00E01F7E"/>
    <w:rsid w:val="00E024FE"/>
    <w:rsid w:val="00E14819"/>
    <w:rsid w:val="00E33633"/>
    <w:rsid w:val="00E364BD"/>
    <w:rsid w:val="00E428E1"/>
    <w:rsid w:val="00E43573"/>
    <w:rsid w:val="00E5252E"/>
    <w:rsid w:val="00E60DB7"/>
    <w:rsid w:val="00E6723D"/>
    <w:rsid w:val="00E96DFA"/>
    <w:rsid w:val="00EA65C2"/>
    <w:rsid w:val="00EA6A72"/>
    <w:rsid w:val="00EB2214"/>
    <w:rsid w:val="00EC04EB"/>
    <w:rsid w:val="00ED51F4"/>
    <w:rsid w:val="00ED643A"/>
    <w:rsid w:val="00EE1F08"/>
    <w:rsid w:val="00EE24DF"/>
    <w:rsid w:val="00EE3D7F"/>
    <w:rsid w:val="00EF211E"/>
    <w:rsid w:val="00EF4C63"/>
    <w:rsid w:val="00F11E92"/>
    <w:rsid w:val="00F13B2D"/>
    <w:rsid w:val="00F14ECC"/>
    <w:rsid w:val="00F15B80"/>
    <w:rsid w:val="00F26366"/>
    <w:rsid w:val="00F30680"/>
    <w:rsid w:val="00F31D98"/>
    <w:rsid w:val="00F320DA"/>
    <w:rsid w:val="00F41B85"/>
    <w:rsid w:val="00F65431"/>
    <w:rsid w:val="00F70D7D"/>
    <w:rsid w:val="00F72EB6"/>
    <w:rsid w:val="00F7670E"/>
    <w:rsid w:val="00F848D0"/>
    <w:rsid w:val="00F92362"/>
    <w:rsid w:val="00F94B96"/>
    <w:rsid w:val="00F971C8"/>
    <w:rsid w:val="00FA0E12"/>
    <w:rsid w:val="00FB49D7"/>
    <w:rsid w:val="00FD333A"/>
    <w:rsid w:val="00FD7B9F"/>
    <w:rsid w:val="00FD7C57"/>
    <w:rsid w:val="00FE2650"/>
    <w:rsid w:val="00FE336E"/>
    <w:rsid w:val="00FE3BD4"/>
    <w:rsid w:val="00FE6F51"/>
    <w:rsid w:val="00FE7A30"/>
    <w:rsid w:val="00FF6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23A87"/>
  <w15:docId w15:val="{F75A11C3-97DC-497D-BFEE-738F1525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4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4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1847"/>
    <w:rPr>
      <w:sz w:val="18"/>
      <w:szCs w:val="18"/>
    </w:rPr>
  </w:style>
  <w:style w:type="paragraph" w:styleId="a5">
    <w:name w:val="footer"/>
    <w:basedOn w:val="a"/>
    <w:link w:val="a6"/>
    <w:uiPriority w:val="99"/>
    <w:unhideWhenUsed/>
    <w:rsid w:val="00DE1847"/>
    <w:pPr>
      <w:tabs>
        <w:tab w:val="center" w:pos="4153"/>
        <w:tab w:val="right" w:pos="8306"/>
      </w:tabs>
      <w:snapToGrid w:val="0"/>
      <w:jc w:val="left"/>
    </w:pPr>
    <w:rPr>
      <w:sz w:val="18"/>
      <w:szCs w:val="18"/>
    </w:rPr>
  </w:style>
  <w:style w:type="character" w:customStyle="1" w:styleId="a6">
    <w:name w:val="页脚 字符"/>
    <w:basedOn w:val="a0"/>
    <w:link w:val="a5"/>
    <w:uiPriority w:val="99"/>
    <w:rsid w:val="00DE1847"/>
    <w:rPr>
      <w:sz w:val="18"/>
      <w:szCs w:val="18"/>
    </w:rPr>
  </w:style>
  <w:style w:type="character" w:styleId="a7">
    <w:name w:val="annotation reference"/>
    <w:basedOn w:val="a0"/>
    <w:uiPriority w:val="99"/>
    <w:semiHidden/>
    <w:unhideWhenUsed/>
    <w:rsid w:val="00CE69F0"/>
    <w:rPr>
      <w:sz w:val="21"/>
      <w:szCs w:val="21"/>
    </w:rPr>
  </w:style>
  <w:style w:type="paragraph" w:styleId="a8">
    <w:name w:val="annotation text"/>
    <w:basedOn w:val="a"/>
    <w:link w:val="a9"/>
    <w:uiPriority w:val="99"/>
    <w:semiHidden/>
    <w:unhideWhenUsed/>
    <w:rsid w:val="00CE69F0"/>
    <w:pPr>
      <w:jc w:val="left"/>
    </w:pPr>
  </w:style>
  <w:style w:type="character" w:customStyle="1" w:styleId="a9">
    <w:name w:val="批注文字 字符"/>
    <w:basedOn w:val="a0"/>
    <w:link w:val="a8"/>
    <w:uiPriority w:val="99"/>
    <w:semiHidden/>
    <w:rsid w:val="00CE69F0"/>
  </w:style>
  <w:style w:type="paragraph" w:styleId="aa">
    <w:name w:val="annotation subject"/>
    <w:basedOn w:val="a8"/>
    <w:next w:val="a8"/>
    <w:link w:val="ab"/>
    <w:uiPriority w:val="99"/>
    <w:semiHidden/>
    <w:unhideWhenUsed/>
    <w:rsid w:val="00CE69F0"/>
    <w:rPr>
      <w:b/>
      <w:bCs/>
    </w:rPr>
  </w:style>
  <w:style w:type="character" w:customStyle="1" w:styleId="ab">
    <w:name w:val="批注主题 字符"/>
    <w:basedOn w:val="a9"/>
    <w:link w:val="aa"/>
    <w:uiPriority w:val="99"/>
    <w:semiHidden/>
    <w:rsid w:val="00CE69F0"/>
    <w:rPr>
      <w:b/>
      <w:bCs/>
    </w:rPr>
  </w:style>
  <w:style w:type="paragraph" w:styleId="ac">
    <w:name w:val="Balloon Text"/>
    <w:basedOn w:val="a"/>
    <w:link w:val="ad"/>
    <w:uiPriority w:val="99"/>
    <w:semiHidden/>
    <w:unhideWhenUsed/>
    <w:rsid w:val="00CE69F0"/>
    <w:rPr>
      <w:sz w:val="18"/>
      <w:szCs w:val="18"/>
    </w:rPr>
  </w:style>
  <w:style w:type="character" w:customStyle="1" w:styleId="ad">
    <w:name w:val="批注框文本 字符"/>
    <w:basedOn w:val="a0"/>
    <w:link w:val="ac"/>
    <w:uiPriority w:val="99"/>
    <w:semiHidden/>
    <w:rsid w:val="00CE69F0"/>
    <w:rPr>
      <w:sz w:val="18"/>
      <w:szCs w:val="18"/>
    </w:rPr>
  </w:style>
  <w:style w:type="paragraph" w:styleId="ae">
    <w:name w:val="Document Map"/>
    <w:basedOn w:val="a"/>
    <w:link w:val="af"/>
    <w:uiPriority w:val="99"/>
    <w:semiHidden/>
    <w:unhideWhenUsed/>
    <w:rsid w:val="00D50162"/>
    <w:rPr>
      <w:rFonts w:ascii="宋体" w:eastAsia="宋体"/>
      <w:sz w:val="18"/>
      <w:szCs w:val="18"/>
    </w:rPr>
  </w:style>
  <w:style w:type="character" w:customStyle="1" w:styleId="af">
    <w:name w:val="文档结构图 字符"/>
    <w:basedOn w:val="a0"/>
    <w:link w:val="ae"/>
    <w:uiPriority w:val="99"/>
    <w:semiHidden/>
    <w:rsid w:val="00D50162"/>
    <w:rPr>
      <w:rFonts w:ascii="宋体" w:eastAsia="宋体"/>
      <w:sz w:val="18"/>
      <w:szCs w:val="18"/>
    </w:rPr>
  </w:style>
  <w:style w:type="paragraph" w:styleId="af0">
    <w:name w:val="Date"/>
    <w:basedOn w:val="a"/>
    <w:next w:val="a"/>
    <w:link w:val="af1"/>
    <w:uiPriority w:val="99"/>
    <w:semiHidden/>
    <w:unhideWhenUsed/>
    <w:rsid w:val="00F31D98"/>
    <w:pPr>
      <w:ind w:leftChars="2500" w:left="100"/>
    </w:pPr>
  </w:style>
  <w:style w:type="character" w:customStyle="1" w:styleId="af1">
    <w:name w:val="日期 字符"/>
    <w:basedOn w:val="a0"/>
    <w:link w:val="af0"/>
    <w:uiPriority w:val="99"/>
    <w:semiHidden/>
    <w:rsid w:val="00F31D98"/>
  </w:style>
  <w:style w:type="paragraph" w:customStyle="1" w:styleId="af2">
    <w:name w:val="一级标题"/>
    <w:basedOn w:val="a"/>
    <w:link w:val="af3"/>
    <w:qFormat/>
    <w:rsid w:val="00985123"/>
    <w:pPr>
      <w:spacing w:line="460" w:lineRule="atLeast"/>
      <w:ind w:firstLineChars="200" w:firstLine="723"/>
      <w:outlineLvl w:val="0"/>
    </w:pPr>
    <w:rPr>
      <w:rFonts w:ascii="Times New Roman" w:eastAsia="黑体" w:hAnsi="Times New Roman" w:cs="Times New Roman"/>
      <w:b/>
      <w:bCs/>
      <w:sz w:val="24"/>
      <w:szCs w:val="24"/>
    </w:rPr>
  </w:style>
  <w:style w:type="character" w:customStyle="1" w:styleId="af3">
    <w:name w:val="一级标题 字符"/>
    <w:basedOn w:val="a0"/>
    <w:link w:val="af2"/>
    <w:qFormat/>
    <w:rsid w:val="00985123"/>
    <w:rPr>
      <w:rFonts w:ascii="Times New Roman" w:eastAsia="黑体" w:hAnsi="Times New Roman" w:cs="Times New Roman"/>
      <w:b/>
      <w:bCs/>
      <w:sz w:val="24"/>
      <w:szCs w:val="24"/>
    </w:rPr>
  </w:style>
  <w:style w:type="paragraph" w:customStyle="1" w:styleId="ylx">
    <w:name w:val="正文ylx"/>
    <w:basedOn w:val="a"/>
    <w:link w:val="ylx0"/>
    <w:qFormat/>
    <w:rsid w:val="00EF4C63"/>
    <w:pPr>
      <w:adjustRightInd w:val="0"/>
      <w:snapToGrid w:val="0"/>
      <w:spacing w:beforeLines="50" w:before="50" w:line="360" w:lineRule="auto"/>
      <w:ind w:firstLineChars="200" w:firstLine="200"/>
    </w:pPr>
    <w:rPr>
      <w:rFonts w:ascii="Times New Roman" w:eastAsia="宋体" w:hAnsi="Times New Roman" w:cs="Times New Roman"/>
      <w:sz w:val="24"/>
      <w:szCs w:val="21"/>
    </w:rPr>
  </w:style>
  <w:style w:type="character" w:customStyle="1" w:styleId="ylx0">
    <w:name w:val="正文ylx 字符"/>
    <w:link w:val="ylx"/>
    <w:qFormat/>
    <w:rsid w:val="00EF4C63"/>
    <w:rPr>
      <w:rFonts w:ascii="Times New Roman" w:eastAsia="宋体" w:hAnsi="Times New Roman" w:cs="Times New Roman"/>
      <w:sz w:val="24"/>
      <w:szCs w:val="21"/>
    </w:rPr>
  </w:style>
  <w:style w:type="paragraph" w:styleId="af4">
    <w:name w:val="Revision"/>
    <w:hidden/>
    <w:uiPriority w:val="99"/>
    <w:semiHidden/>
    <w:rsid w:val="00201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3746">
      <w:bodyDiv w:val="1"/>
      <w:marLeft w:val="0"/>
      <w:marRight w:val="0"/>
      <w:marTop w:val="0"/>
      <w:marBottom w:val="0"/>
      <w:divBdr>
        <w:top w:val="none" w:sz="0" w:space="0" w:color="auto"/>
        <w:left w:val="none" w:sz="0" w:space="0" w:color="auto"/>
        <w:bottom w:val="none" w:sz="0" w:space="0" w:color="auto"/>
        <w:right w:val="none" w:sz="0" w:space="0" w:color="auto"/>
      </w:divBdr>
    </w:div>
    <w:div w:id="98642720">
      <w:bodyDiv w:val="1"/>
      <w:marLeft w:val="0"/>
      <w:marRight w:val="0"/>
      <w:marTop w:val="0"/>
      <w:marBottom w:val="0"/>
      <w:divBdr>
        <w:top w:val="none" w:sz="0" w:space="0" w:color="auto"/>
        <w:left w:val="none" w:sz="0" w:space="0" w:color="auto"/>
        <w:bottom w:val="none" w:sz="0" w:space="0" w:color="auto"/>
        <w:right w:val="none" w:sz="0" w:space="0" w:color="auto"/>
      </w:divBdr>
    </w:div>
    <w:div w:id="141238578">
      <w:bodyDiv w:val="1"/>
      <w:marLeft w:val="0"/>
      <w:marRight w:val="0"/>
      <w:marTop w:val="0"/>
      <w:marBottom w:val="0"/>
      <w:divBdr>
        <w:top w:val="none" w:sz="0" w:space="0" w:color="auto"/>
        <w:left w:val="none" w:sz="0" w:space="0" w:color="auto"/>
        <w:bottom w:val="none" w:sz="0" w:space="0" w:color="auto"/>
        <w:right w:val="none" w:sz="0" w:space="0" w:color="auto"/>
      </w:divBdr>
    </w:div>
    <w:div w:id="182285341">
      <w:bodyDiv w:val="1"/>
      <w:marLeft w:val="0"/>
      <w:marRight w:val="0"/>
      <w:marTop w:val="0"/>
      <w:marBottom w:val="0"/>
      <w:divBdr>
        <w:top w:val="none" w:sz="0" w:space="0" w:color="auto"/>
        <w:left w:val="none" w:sz="0" w:space="0" w:color="auto"/>
        <w:bottom w:val="none" w:sz="0" w:space="0" w:color="auto"/>
        <w:right w:val="none" w:sz="0" w:space="0" w:color="auto"/>
      </w:divBdr>
    </w:div>
    <w:div w:id="445126276">
      <w:bodyDiv w:val="1"/>
      <w:marLeft w:val="0"/>
      <w:marRight w:val="0"/>
      <w:marTop w:val="0"/>
      <w:marBottom w:val="0"/>
      <w:divBdr>
        <w:top w:val="none" w:sz="0" w:space="0" w:color="auto"/>
        <w:left w:val="none" w:sz="0" w:space="0" w:color="auto"/>
        <w:bottom w:val="none" w:sz="0" w:space="0" w:color="auto"/>
        <w:right w:val="none" w:sz="0" w:space="0" w:color="auto"/>
      </w:divBdr>
    </w:div>
    <w:div w:id="458109948">
      <w:bodyDiv w:val="1"/>
      <w:marLeft w:val="0"/>
      <w:marRight w:val="0"/>
      <w:marTop w:val="0"/>
      <w:marBottom w:val="0"/>
      <w:divBdr>
        <w:top w:val="none" w:sz="0" w:space="0" w:color="auto"/>
        <w:left w:val="none" w:sz="0" w:space="0" w:color="auto"/>
        <w:bottom w:val="none" w:sz="0" w:space="0" w:color="auto"/>
        <w:right w:val="none" w:sz="0" w:space="0" w:color="auto"/>
      </w:divBdr>
    </w:div>
    <w:div w:id="492184305">
      <w:bodyDiv w:val="1"/>
      <w:marLeft w:val="0"/>
      <w:marRight w:val="0"/>
      <w:marTop w:val="0"/>
      <w:marBottom w:val="0"/>
      <w:divBdr>
        <w:top w:val="none" w:sz="0" w:space="0" w:color="auto"/>
        <w:left w:val="none" w:sz="0" w:space="0" w:color="auto"/>
        <w:bottom w:val="none" w:sz="0" w:space="0" w:color="auto"/>
        <w:right w:val="none" w:sz="0" w:space="0" w:color="auto"/>
      </w:divBdr>
    </w:div>
    <w:div w:id="520627481">
      <w:bodyDiv w:val="1"/>
      <w:marLeft w:val="0"/>
      <w:marRight w:val="0"/>
      <w:marTop w:val="0"/>
      <w:marBottom w:val="0"/>
      <w:divBdr>
        <w:top w:val="none" w:sz="0" w:space="0" w:color="auto"/>
        <w:left w:val="none" w:sz="0" w:space="0" w:color="auto"/>
        <w:bottom w:val="none" w:sz="0" w:space="0" w:color="auto"/>
        <w:right w:val="none" w:sz="0" w:space="0" w:color="auto"/>
      </w:divBdr>
    </w:div>
    <w:div w:id="560137352">
      <w:bodyDiv w:val="1"/>
      <w:marLeft w:val="0"/>
      <w:marRight w:val="0"/>
      <w:marTop w:val="0"/>
      <w:marBottom w:val="0"/>
      <w:divBdr>
        <w:top w:val="none" w:sz="0" w:space="0" w:color="auto"/>
        <w:left w:val="none" w:sz="0" w:space="0" w:color="auto"/>
        <w:bottom w:val="none" w:sz="0" w:space="0" w:color="auto"/>
        <w:right w:val="none" w:sz="0" w:space="0" w:color="auto"/>
      </w:divBdr>
    </w:div>
    <w:div w:id="621500691">
      <w:bodyDiv w:val="1"/>
      <w:marLeft w:val="0"/>
      <w:marRight w:val="0"/>
      <w:marTop w:val="0"/>
      <w:marBottom w:val="0"/>
      <w:divBdr>
        <w:top w:val="none" w:sz="0" w:space="0" w:color="auto"/>
        <w:left w:val="none" w:sz="0" w:space="0" w:color="auto"/>
        <w:bottom w:val="none" w:sz="0" w:space="0" w:color="auto"/>
        <w:right w:val="none" w:sz="0" w:space="0" w:color="auto"/>
      </w:divBdr>
    </w:div>
    <w:div w:id="655032925">
      <w:bodyDiv w:val="1"/>
      <w:marLeft w:val="0"/>
      <w:marRight w:val="0"/>
      <w:marTop w:val="0"/>
      <w:marBottom w:val="0"/>
      <w:divBdr>
        <w:top w:val="none" w:sz="0" w:space="0" w:color="auto"/>
        <w:left w:val="none" w:sz="0" w:space="0" w:color="auto"/>
        <w:bottom w:val="none" w:sz="0" w:space="0" w:color="auto"/>
        <w:right w:val="none" w:sz="0" w:space="0" w:color="auto"/>
      </w:divBdr>
    </w:div>
    <w:div w:id="670254507">
      <w:bodyDiv w:val="1"/>
      <w:marLeft w:val="0"/>
      <w:marRight w:val="0"/>
      <w:marTop w:val="0"/>
      <w:marBottom w:val="0"/>
      <w:divBdr>
        <w:top w:val="none" w:sz="0" w:space="0" w:color="auto"/>
        <w:left w:val="none" w:sz="0" w:space="0" w:color="auto"/>
        <w:bottom w:val="none" w:sz="0" w:space="0" w:color="auto"/>
        <w:right w:val="none" w:sz="0" w:space="0" w:color="auto"/>
      </w:divBdr>
    </w:div>
    <w:div w:id="1026371439">
      <w:bodyDiv w:val="1"/>
      <w:marLeft w:val="0"/>
      <w:marRight w:val="0"/>
      <w:marTop w:val="0"/>
      <w:marBottom w:val="0"/>
      <w:divBdr>
        <w:top w:val="none" w:sz="0" w:space="0" w:color="auto"/>
        <w:left w:val="none" w:sz="0" w:space="0" w:color="auto"/>
        <w:bottom w:val="none" w:sz="0" w:space="0" w:color="auto"/>
        <w:right w:val="none" w:sz="0" w:space="0" w:color="auto"/>
      </w:divBdr>
    </w:div>
    <w:div w:id="1127433327">
      <w:bodyDiv w:val="1"/>
      <w:marLeft w:val="0"/>
      <w:marRight w:val="0"/>
      <w:marTop w:val="0"/>
      <w:marBottom w:val="0"/>
      <w:divBdr>
        <w:top w:val="none" w:sz="0" w:space="0" w:color="auto"/>
        <w:left w:val="none" w:sz="0" w:space="0" w:color="auto"/>
        <w:bottom w:val="none" w:sz="0" w:space="0" w:color="auto"/>
        <w:right w:val="none" w:sz="0" w:space="0" w:color="auto"/>
      </w:divBdr>
    </w:div>
    <w:div w:id="1533688954">
      <w:bodyDiv w:val="1"/>
      <w:marLeft w:val="0"/>
      <w:marRight w:val="0"/>
      <w:marTop w:val="0"/>
      <w:marBottom w:val="0"/>
      <w:divBdr>
        <w:top w:val="none" w:sz="0" w:space="0" w:color="auto"/>
        <w:left w:val="none" w:sz="0" w:space="0" w:color="auto"/>
        <w:bottom w:val="none" w:sz="0" w:space="0" w:color="auto"/>
        <w:right w:val="none" w:sz="0" w:space="0" w:color="auto"/>
      </w:divBdr>
    </w:div>
    <w:div w:id="1637293831">
      <w:bodyDiv w:val="1"/>
      <w:marLeft w:val="0"/>
      <w:marRight w:val="0"/>
      <w:marTop w:val="0"/>
      <w:marBottom w:val="0"/>
      <w:divBdr>
        <w:top w:val="none" w:sz="0" w:space="0" w:color="auto"/>
        <w:left w:val="none" w:sz="0" w:space="0" w:color="auto"/>
        <w:bottom w:val="none" w:sz="0" w:space="0" w:color="auto"/>
        <w:right w:val="none" w:sz="0" w:space="0" w:color="auto"/>
      </w:divBdr>
    </w:div>
    <w:div w:id="1720931980">
      <w:bodyDiv w:val="1"/>
      <w:marLeft w:val="0"/>
      <w:marRight w:val="0"/>
      <w:marTop w:val="0"/>
      <w:marBottom w:val="0"/>
      <w:divBdr>
        <w:top w:val="none" w:sz="0" w:space="0" w:color="auto"/>
        <w:left w:val="none" w:sz="0" w:space="0" w:color="auto"/>
        <w:bottom w:val="none" w:sz="0" w:space="0" w:color="auto"/>
        <w:right w:val="none" w:sz="0" w:space="0" w:color="auto"/>
      </w:divBdr>
    </w:div>
    <w:div w:id="1757508183">
      <w:bodyDiv w:val="1"/>
      <w:marLeft w:val="0"/>
      <w:marRight w:val="0"/>
      <w:marTop w:val="0"/>
      <w:marBottom w:val="0"/>
      <w:divBdr>
        <w:top w:val="none" w:sz="0" w:space="0" w:color="auto"/>
        <w:left w:val="none" w:sz="0" w:space="0" w:color="auto"/>
        <w:bottom w:val="none" w:sz="0" w:space="0" w:color="auto"/>
        <w:right w:val="none" w:sz="0" w:space="0" w:color="auto"/>
      </w:divBdr>
    </w:div>
    <w:div w:id="1780489866">
      <w:bodyDiv w:val="1"/>
      <w:marLeft w:val="0"/>
      <w:marRight w:val="0"/>
      <w:marTop w:val="0"/>
      <w:marBottom w:val="0"/>
      <w:divBdr>
        <w:top w:val="none" w:sz="0" w:space="0" w:color="auto"/>
        <w:left w:val="none" w:sz="0" w:space="0" w:color="auto"/>
        <w:bottom w:val="none" w:sz="0" w:space="0" w:color="auto"/>
        <w:right w:val="none" w:sz="0" w:space="0" w:color="auto"/>
      </w:divBdr>
    </w:div>
    <w:div w:id="1798140962">
      <w:bodyDiv w:val="1"/>
      <w:marLeft w:val="0"/>
      <w:marRight w:val="0"/>
      <w:marTop w:val="0"/>
      <w:marBottom w:val="0"/>
      <w:divBdr>
        <w:top w:val="none" w:sz="0" w:space="0" w:color="auto"/>
        <w:left w:val="none" w:sz="0" w:space="0" w:color="auto"/>
        <w:bottom w:val="none" w:sz="0" w:space="0" w:color="auto"/>
        <w:right w:val="none" w:sz="0" w:space="0" w:color="auto"/>
      </w:divBdr>
    </w:div>
    <w:div w:id="1956011733">
      <w:bodyDiv w:val="1"/>
      <w:marLeft w:val="0"/>
      <w:marRight w:val="0"/>
      <w:marTop w:val="0"/>
      <w:marBottom w:val="0"/>
      <w:divBdr>
        <w:top w:val="none" w:sz="0" w:space="0" w:color="auto"/>
        <w:left w:val="none" w:sz="0" w:space="0" w:color="auto"/>
        <w:bottom w:val="none" w:sz="0" w:space="0" w:color="auto"/>
        <w:right w:val="none" w:sz="0" w:space="0" w:color="auto"/>
      </w:divBdr>
    </w:div>
    <w:div w:id="2051369186">
      <w:bodyDiv w:val="1"/>
      <w:marLeft w:val="0"/>
      <w:marRight w:val="0"/>
      <w:marTop w:val="0"/>
      <w:marBottom w:val="0"/>
      <w:divBdr>
        <w:top w:val="none" w:sz="0" w:space="0" w:color="auto"/>
        <w:left w:val="none" w:sz="0" w:space="0" w:color="auto"/>
        <w:bottom w:val="none" w:sz="0" w:space="0" w:color="auto"/>
        <w:right w:val="none" w:sz="0" w:space="0" w:color="auto"/>
      </w:divBdr>
    </w:div>
    <w:div w:id="20806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4D1F4-F295-4775-871A-EB29F8AE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liuao</dc:creator>
  <cp:lastModifiedBy>Chris Green</cp:lastModifiedBy>
  <cp:revision>4</cp:revision>
  <dcterms:created xsi:type="dcterms:W3CDTF">2026-08-13T08:14:00Z</dcterms:created>
  <dcterms:modified xsi:type="dcterms:W3CDTF">2026-08-13T08:23:00Z</dcterms:modified>
</cp:coreProperties>
</file>